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9C6ED86">
      <w:pPr>
        <w:pStyle w:val="29"/>
        <w:jc w:val="center"/>
        <w:outlineLvl w:val="0"/>
        <w:rPr>
          <w:rFonts w:hint="default" w:ascii="Times New Roman" w:hAnsi="Times New Roman" w:eastAsia="黑体" w:cs="Times New Roman"/>
          <w:snapToGrid w:val="0"/>
          <w:color w:val="auto"/>
          <w:sz w:val="30"/>
          <w:szCs w:val="30"/>
        </w:rPr>
      </w:pPr>
      <w:bookmarkStart w:id="0" w:name="_Toc27506"/>
      <w:r>
        <w:rPr>
          <w:rFonts w:hint="default" w:ascii="Times New Roman" w:hAnsi="Times New Roman" w:eastAsia="黑体" w:cs="Times New Roman"/>
          <w:snapToGrid w:val="0"/>
          <w:color w:val="auto"/>
          <w:sz w:val="30"/>
          <w:szCs w:val="30"/>
        </w:rPr>
        <w:drawing>
          <wp:inline distT="0" distB="0" distL="114300" distR="114300">
            <wp:extent cx="5608955" cy="7939405"/>
            <wp:effectExtent l="0" t="0" r="10795" b="4445"/>
            <wp:docPr id="83" name="图片 83" descr="华诚新材料资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华诚新材料资质_01"/>
                    <pic:cNvPicPr>
                      <a:picLocks noChangeAspect="1"/>
                    </pic:cNvPicPr>
                  </pic:nvPicPr>
                  <pic:blipFill>
                    <a:blip r:embed="rId8"/>
                    <a:stretch>
                      <a:fillRect/>
                    </a:stretch>
                  </pic:blipFill>
                  <pic:spPr>
                    <a:xfrm>
                      <a:off x="0" y="0"/>
                      <a:ext cx="5608955" cy="7939405"/>
                    </a:xfrm>
                    <a:prstGeom prst="rect">
                      <a:avLst/>
                    </a:prstGeom>
                  </pic:spPr>
                </pic:pic>
              </a:graphicData>
            </a:graphic>
          </wp:inline>
        </w:drawing>
      </w:r>
      <w:r>
        <w:rPr>
          <w:rFonts w:hint="default" w:ascii="Times New Roman" w:hAnsi="Times New Roman" w:eastAsia="黑体" w:cs="Times New Roman"/>
          <w:snapToGrid w:val="0"/>
          <w:color w:val="auto"/>
          <w:sz w:val="30"/>
          <w:szCs w:val="30"/>
        </w:rPr>
        <w:drawing>
          <wp:inline distT="0" distB="0" distL="114300" distR="114300">
            <wp:extent cx="5608955" cy="7939405"/>
            <wp:effectExtent l="0" t="0" r="10795" b="4445"/>
            <wp:docPr id="84" name="图片 84" descr="华诚新材料资质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华诚新材料资质_02"/>
                    <pic:cNvPicPr>
                      <a:picLocks noChangeAspect="1"/>
                    </pic:cNvPicPr>
                  </pic:nvPicPr>
                  <pic:blipFill>
                    <a:blip r:embed="rId9"/>
                    <a:stretch>
                      <a:fillRect/>
                    </a:stretch>
                  </pic:blipFill>
                  <pic:spPr>
                    <a:xfrm>
                      <a:off x="0" y="0"/>
                      <a:ext cx="5608955" cy="7939405"/>
                    </a:xfrm>
                    <a:prstGeom prst="rect">
                      <a:avLst/>
                    </a:prstGeom>
                  </pic:spPr>
                </pic:pic>
              </a:graphicData>
            </a:graphic>
          </wp:inline>
        </w:drawing>
      </w:r>
      <w:r>
        <w:rPr>
          <w:rFonts w:hint="default" w:ascii="Times New Roman" w:hAnsi="Times New Roman" w:eastAsia="黑体" w:cs="Times New Roman"/>
          <w:snapToGrid w:val="0"/>
          <w:color w:val="auto"/>
          <w:sz w:val="30"/>
          <w:szCs w:val="30"/>
        </w:rPr>
        <w:drawing>
          <wp:inline distT="0" distB="0" distL="114300" distR="114300">
            <wp:extent cx="5611495" cy="7717790"/>
            <wp:effectExtent l="0" t="0" r="8255" b="16510"/>
            <wp:docPr id="87" name="图片 87" descr="1562c7c3604bdc232f7e13f84294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1562c7c3604bdc232f7e13f842948727"/>
                    <pic:cNvPicPr>
                      <a:picLocks noChangeAspect="1"/>
                    </pic:cNvPicPr>
                  </pic:nvPicPr>
                  <pic:blipFill>
                    <a:blip r:embed="rId10"/>
                    <a:stretch>
                      <a:fillRect/>
                    </a:stretch>
                  </pic:blipFill>
                  <pic:spPr>
                    <a:xfrm>
                      <a:off x="0" y="0"/>
                      <a:ext cx="5611495" cy="7717790"/>
                    </a:xfrm>
                    <a:prstGeom prst="rect">
                      <a:avLst/>
                    </a:prstGeom>
                  </pic:spPr>
                </pic:pic>
              </a:graphicData>
            </a:graphic>
          </wp:inline>
        </w:drawing>
      </w:r>
      <w:r>
        <w:rPr>
          <w:rFonts w:hint="default" w:ascii="Times New Roman" w:hAnsi="Times New Roman" w:eastAsia="黑体" w:cs="Times New Roman"/>
          <w:snapToGrid w:val="0"/>
          <w:color w:val="auto"/>
          <w:sz w:val="30"/>
          <w:szCs w:val="30"/>
        </w:rPr>
        <w:drawing>
          <wp:inline distT="0" distB="0" distL="114300" distR="114300">
            <wp:extent cx="5608955" cy="7939405"/>
            <wp:effectExtent l="0" t="0" r="10795" b="4445"/>
            <wp:docPr id="85" name="图片 85" descr="编制人员承诺书--韩光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编制人员承诺书--韩光_01"/>
                    <pic:cNvPicPr>
                      <a:picLocks noChangeAspect="1"/>
                    </pic:cNvPicPr>
                  </pic:nvPicPr>
                  <pic:blipFill>
                    <a:blip r:embed="rId11"/>
                    <a:stretch>
                      <a:fillRect/>
                    </a:stretch>
                  </pic:blipFill>
                  <pic:spPr>
                    <a:xfrm>
                      <a:off x="0" y="0"/>
                      <a:ext cx="5608955" cy="7939405"/>
                    </a:xfrm>
                    <a:prstGeom prst="rect">
                      <a:avLst/>
                    </a:prstGeom>
                  </pic:spPr>
                </pic:pic>
              </a:graphicData>
            </a:graphic>
          </wp:inline>
        </w:drawing>
      </w:r>
      <w:r>
        <w:rPr>
          <w:rFonts w:hint="default" w:ascii="Times New Roman" w:hAnsi="Times New Roman" w:eastAsia="黑体" w:cs="Times New Roman"/>
          <w:snapToGrid w:val="0"/>
          <w:color w:val="auto"/>
          <w:sz w:val="30"/>
          <w:szCs w:val="30"/>
        </w:rPr>
        <w:drawing>
          <wp:inline distT="0" distB="0" distL="114300" distR="114300">
            <wp:extent cx="5612765" cy="6805295"/>
            <wp:effectExtent l="0" t="0" r="6985" b="14605"/>
            <wp:docPr id="86" name="图片 86" descr="27cf43ae8af871050b6625394ca3f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27cf43ae8af871050b6625394ca3f925"/>
                    <pic:cNvPicPr>
                      <a:picLocks noChangeAspect="1"/>
                    </pic:cNvPicPr>
                  </pic:nvPicPr>
                  <pic:blipFill>
                    <a:blip r:embed="rId12"/>
                    <a:stretch>
                      <a:fillRect/>
                    </a:stretch>
                  </pic:blipFill>
                  <pic:spPr>
                    <a:xfrm>
                      <a:off x="0" y="0"/>
                      <a:ext cx="5612765" cy="6805295"/>
                    </a:xfrm>
                    <a:prstGeom prst="rect">
                      <a:avLst/>
                    </a:prstGeom>
                  </pic:spPr>
                </pic:pic>
              </a:graphicData>
            </a:graphic>
          </wp:inline>
        </w:drawing>
      </w:r>
    </w:p>
    <w:p w14:paraId="2242EBA1">
      <w:pPr>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br w:type="page"/>
      </w:r>
    </w:p>
    <w:p w14:paraId="0CB1A05B">
      <w:pPr>
        <w:pStyle w:val="29"/>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t>一、建设项目基本情况</w:t>
      </w:r>
      <w:bookmarkEnd w:id="0"/>
    </w:p>
    <w:tbl>
      <w:tblPr>
        <w:tblStyle w:val="3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108"/>
        <w:gridCol w:w="2911"/>
        <w:gridCol w:w="2212"/>
        <w:gridCol w:w="2639"/>
      </w:tblGrid>
      <w:tr w14:paraId="2CFA58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08" w:type="dxa"/>
            <w:noWrap w:val="0"/>
            <w:tcMar>
              <w:top w:w="16" w:type="dxa"/>
              <w:left w:w="16" w:type="dxa"/>
              <w:right w:w="16" w:type="dxa"/>
            </w:tcMar>
            <w:vAlign w:val="center"/>
          </w:tcPr>
          <w:p w14:paraId="3D409C3B">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建设项目名称</w:t>
            </w:r>
          </w:p>
        </w:tc>
        <w:tc>
          <w:tcPr>
            <w:tcW w:w="7762" w:type="dxa"/>
            <w:gridSpan w:val="3"/>
            <w:noWrap w:val="0"/>
            <w:vAlign w:val="center"/>
          </w:tcPr>
          <w:p w14:paraId="7B6D6F48">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lang w:eastAsia="zh-CN"/>
              </w:rPr>
              <w:t>昌吉华诚新材料有限公司年产10万吨高磁感取向硅钢、6万吨铁芯项目</w:t>
            </w:r>
          </w:p>
        </w:tc>
      </w:tr>
      <w:tr w14:paraId="0B03AE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08" w:type="dxa"/>
            <w:noWrap w:val="0"/>
            <w:tcMar>
              <w:top w:w="16" w:type="dxa"/>
              <w:left w:w="16" w:type="dxa"/>
              <w:right w:w="16" w:type="dxa"/>
            </w:tcMar>
            <w:vAlign w:val="center"/>
          </w:tcPr>
          <w:p w14:paraId="6908653B">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项目代码</w:t>
            </w:r>
          </w:p>
        </w:tc>
        <w:tc>
          <w:tcPr>
            <w:tcW w:w="7762" w:type="dxa"/>
            <w:gridSpan w:val="3"/>
            <w:noWrap w:val="0"/>
            <w:vAlign w:val="center"/>
          </w:tcPr>
          <w:p w14:paraId="45B257E9">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2512-652312-04-01-637363</w:t>
            </w:r>
          </w:p>
        </w:tc>
      </w:tr>
      <w:tr w14:paraId="593AF8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08" w:type="dxa"/>
            <w:noWrap w:val="0"/>
            <w:tcMar>
              <w:top w:w="16" w:type="dxa"/>
              <w:left w:w="16" w:type="dxa"/>
              <w:right w:w="16" w:type="dxa"/>
            </w:tcMar>
            <w:vAlign w:val="center"/>
          </w:tcPr>
          <w:p w14:paraId="0EEF2619">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建设单位联系人</w:t>
            </w:r>
          </w:p>
        </w:tc>
        <w:tc>
          <w:tcPr>
            <w:tcW w:w="2911" w:type="dxa"/>
            <w:noWrap w:val="0"/>
            <w:vAlign w:val="center"/>
          </w:tcPr>
          <w:p w14:paraId="0B68A53A">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olor w:val="auto"/>
                <w:lang w:val="en-US" w:eastAsia="zh-CN"/>
              </w:rPr>
              <w:t>严九江</w:t>
            </w:r>
          </w:p>
        </w:tc>
        <w:tc>
          <w:tcPr>
            <w:tcW w:w="2212" w:type="dxa"/>
            <w:noWrap w:val="0"/>
            <w:vAlign w:val="center"/>
          </w:tcPr>
          <w:p w14:paraId="791F552B">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联系方式</w:t>
            </w:r>
          </w:p>
        </w:tc>
        <w:tc>
          <w:tcPr>
            <w:tcW w:w="2639" w:type="dxa"/>
            <w:noWrap w:val="0"/>
            <w:vAlign w:val="center"/>
          </w:tcPr>
          <w:p w14:paraId="3883DA49">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olor w:val="auto"/>
                <w:lang w:val="en-US" w:eastAsia="zh-CN"/>
              </w:rPr>
              <w:t>13615226978</w:t>
            </w:r>
          </w:p>
        </w:tc>
      </w:tr>
      <w:tr w14:paraId="4FA0A2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08" w:type="dxa"/>
            <w:noWrap w:val="0"/>
            <w:tcMar>
              <w:top w:w="16" w:type="dxa"/>
              <w:left w:w="16" w:type="dxa"/>
              <w:right w:w="16" w:type="dxa"/>
            </w:tcMar>
            <w:vAlign w:val="center"/>
          </w:tcPr>
          <w:p w14:paraId="1FEA54BD">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建设地点</w:t>
            </w:r>
          </w:p>
        </w:tc>
        <w:tc>
          <w:tcPr>
            <w:tcW w:w="7762" w:type="dxa"/>
            <w:gridSpan w:val="3"/>
            <w:noWrap w:val="0"/>
            <w:vAlign w:val="center"/>
          </w:tcPr>
          <w:p w14:paraId="448981F1">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昌吉高新技术产业开发区科技大道以北、经六路以西</w:t>
            </w:r>
          </w:p>
        </w:tc>
      </w:tr>
      <w:tr w14:paraId="4FF7D7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08" w:type="dxa"/>
            <w:noWrap w:val="0"/>
            <w:tcMar>
              <w:top w:w="16" w:type="dxa"/>
              <w:left w:w="16" w:type="dxa"/>
              <w:right w:w="16" w:type="dxa"/>
            </w:tcMar>
            <w:vAlign w:val="center"/>
          </w:tcPr>
          <w:p w14:paraId="54B28CBB">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地理坐标</w:t>
            </w:r>
          </w:p>
        </w:tc>
        <w:tc>
          <w:tcPr>
            <w:tcW w:w="7762" w:type="dxa"/>
            <w:gridSpan w:val="3"/>
            <w:noWrap w:val="0"/>
            <w:vAlign w:val="center"/>
          </w:tcPr>
          <w:p w14:paraId="098A217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eastAsia="zh-CN"/>
              </w:rPr>
              <w:t>东经</w:t>
            </w:r>
            <w:r>
              <w:rPr>
                <w:rFonts w:hint="default" w:ascii="Times New Roman" w:hAnsi="Times New Roman" w:cs="Times New Roman"/>
                <w:color w:val="auto"/>
                <w:sz w:val="21"/>
                <w:szCs w:val="21"/>
                <w:highlight w:val="none"/>
                <w:u w:val="single"/>
              </w:rPr>
              <w:t>8</w:t>
            </w:r>
            <w:r>
              <w:rPr>
                <w:rFonts w:hint="default" w:ascii="Times New Roman" w:hAnsi="Times New Roman" w:cs="Times New Roman"/>
                <w:color w:val="auto"/>
                <w:sz w:val="21"/>
                <w:szCs w:val="21"/>
                <w:highlight w:val="none"/>
                <w:u w:val="single"/>
                <w:lang w:val="en-US"/>
              </w:rPr>
              <w:t>7</w:t>
            </w:r>
            <w:r>
              <w:rPr>
                <w:rFonts w:hint="default" w:ascii="Times New Roman" w:hAnsi="Times New Roman" w:cs="Times New Roman"/>
                <w:color w:val="auto"/>
                <w:sz w:val="21"/>
                <w:szCs w:val="21"/>
                <w:highlight w:val="none"/>
              </w:rPr>
              <w:t>度</w:t>
            </w:r>
            <w:r>
              <w:rPr>
                <w:rFonts w:hint="eastAsia" w:ascii="Times New Roman" w:hAnsi="Times New Roman" w:cs="Times New Roman"/>
                <w:color w:val="auto"/>
                <w:sz w:val="21"/>
                <w:szCs w:val="21"/>
                <w:highlight w:val="none"/>
                <w:u w:val="single"/>
                <w:lang w:val="en-US" w:eastAsia="zh-CN"/>
              </w:rPr>
              <w:t>01</w:t>
            </w:r>
            <w:r>
              <w:rPr>
                <w:rFonts w:hint="default" w:ascii="Times New Roman" w:hAnsi="Times New Roman" w:cs="Times New Roman"/>
                <w:color w:val="auto"/>
                <w:sz w:val="21"/>
                <w:szCs w:val="21"/>
                <w:highlight w:val="none"/>
              </w:rPr>
              <w:t>分</w:t>
            </w:r>
            <w:r>
              <w:rPr>
                <w:rFonts w:hint="eastAsia" w:ascii="Times New Roman" w:hAnsi="Times New Roman" w:cs="Times New Roman"/>
                <w:color w:val="auto"/>
                <w:sz w:val="21"/>
                <w:szCs w:val="21"/>
                <w:highlight w:val="none"/>
                <w:u w:val="single"/>
                <w:lang w:val="en-US" w:eastAsia="zh-CN"/>
              </w:rPr>
              <w:t>57.227</w:t>
            </w:r>
            <w:r>
              <w:rPr>
                <w:rFonts w:hint="default" w:ascii="Times New Roman" w:hAnsi="Times New Roman" w:cs="Times New Roman"/>
                <w:color w:val="auto"/>
                <w:sz w:val="21"/>
                <w:szCs w:val="21"/>
                <w:highlight w:val="none"/>
              </w:rPr>
              <w:t>秒，</w:t>
            </w:r>
            <w:r>
              <w:rPr>
                <w:rFonts w:hint="eastAsia" w:ascii="Times New Roman" w:hAnsi="Times New Roman" w:cs="Times New Roman"/>
                <w:color w:val="auto"/>
                <w:sz w:val="21"/>
                <w:szCs w:val="21"/>
                <w:highlight w:val="none"/>
                <w:lang w:eastAsia="zh-CN"/>
              </w:rPr>
              <w:t>北纬</w:t>
            </w:r>
            <w:r>
              <w:rPr>
                <w:rFonts w:hint="default" w:ascii="Times New Roman" w:hAnsi="Times New Roman" w:cs="Times New Roman"/>
                <w:color w:val="auto"/>
                <w:sz w:val="21"/>
                <w:szCs w:val="21"/>
                <w:highlight w:val="none"/>
                <w:u w:val="single"/>
              </w:rPr>
              <w:t>44</w:t>
            </w:r>
            <w:r>
              <w:rPr>
                <w:rFonts w:hint="default" w:ascii="Times New Roman" w:hAnsi="Times New Roman" w:cs="Times New Roman"/>
                <w:color w:val="auto"/>
                <w:sz w:val="21"/>
                <w:szCs w:val="21"/>
                <w:highlight w:val="none"/>
              </w:rPr>
              <w:t>度</w:t>
            </w:r>
            <w:r>
              <w:rPr>
                <w:rFonts w:hint="default" w:ascii="Times New Roman" w:hAnsi="Times New Roman" w:cs="Times New Roman"/>
                <w:color w:val="auto"/>
                <w:sz w:val="21"/>
                <w:szCs w:val="21"/>
                <w:highlight w:val="none"/>
                <w:u w:val="single"/>
                <w:lang w:val="en-US"/>
              </w:rPr>
              <w:t>0</w:t>
            </w:r>
            <w:r>
              <w:rPr>
                <w:rFonts w:hint="eastAsia" w:ascii="Times New Roman" w:hAnsi="Times New Roman" w:cs="Times New Roman"/>
                <w:color w:val="auto"/>
                <w:sz w:val="21"/>
                <w:szCs w:val="21"/>
                <w:highlight w:val="none"/>
                <w:u w:val="single"/>
                <w:lang w:val="en-US" w:eastAsia="zh-CN"/>
              </w:rPr>
              <w:t>6</w:t>
            </w:r>
            <w:r>
              <w:rPr>
                <w:rFonts w:hint="default" w:ascii="Times New Roman" w:hAnsi="Times New Roman" w:cs="Times New Roman"/>
                <w:color w:val="auto"/>
                <w:sz w:val="21"/>
                <w:szCs w:val="21"/>
                <w:highlight w:val="none"/>
              </w:rPr>
              <w:t>分</w:t>
            </w:r>
            <w:r>
              <w:rPr>
                <w:rFonts w:hint="eastAsia" w:ascii="Times New Roman" w:hAnsi="Times New Roman" w:cs="Times New Roman"/>
                <w:color w:val="auto"/>
                <w:sz w:val="21"/>
                <w:szCs w:val="21"/>
                <w:highlight w:val="none"/>
                <w:u w:val="single"/>
                <w:lang w:val="en-US" w:eastAsia="zh-CN"/>
              </w:rPr>
              <w:t>41.054</w:t>
            </w:r>
            <w:r>
              <w:rPr>
                <w:rFonts w:hint="default" w:ascii="Times New Roman" w:hAnsi="Times New Roman" w:cs="Times New Roman"/>
                <w:color w:val="auto"/>
                <w:sz w:val="21"/>
                <w:szCs w:val="21"/>
                <w:highlight w:val="none"/>
              </w:rPr>
              <w:t>秒）</w:t>
            </w:r>
          </w:p>
        </w:tc>
      </w:tr>
      <w:tr w14:paraId="377D9E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43" w:hRule="atLeast"/>
          <w:jc w:val="center"/>
        </w:trPr>
        <w:tc>
          <w:tcPr>
            <w:tcW w:w="1108" w:type="dxa"/>
            <w:noWrap w:val="0"/>
            <w:tcMar>
              <w:top w:w="16" w:type="dxa"/>
              <w:left w:w="16" w:type="dxa"/>
              <w:right w:w="16" w:type="dxa"/>
            </w:tcMar>
            <w:vAlign w:val="center"/>
          </w:tcPr>
          <w:p w14:paraId="6B467869">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国民经济</w:t>
            </w:r>
          </w:p>
          <w:p w14:paraId="242018C0">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行业类别</w:t>
            </w:r>
          </w:p>
        </w:tc>
        <w:tc>
          <w:tcPr>
            <w:tcW w:w="2911" w:type="dxa"/>
            <w:noWrap w:val="0"/>
            <w:vAlign w:val="center"/>
          </w:tcPr>
          <w:p w14:paraId="751ED6BC">
            <w:pPr>
              <w:adjustRightInd w:val="0"/>
              <w:snapToGrid w:val="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C3130</w:t>
            </w:r>
            <w:r>
              <w:rPr>
                <w:rFonts w:hint="default" w:ascii="Times New Roman" w:hAnsi="Times New Roman" w:cs="Times New Roman"/>
                <w:color w:val="auto"/>
                <w:sz w:val="21"/>
                <w:szCs w:val="21"/>
                <w:lang w:val="en-US" w:eastAsia="zh-CN"/>
              </w:rPr>
              <w:t>钢压延加工</w:t>
            </w:r>
          </w:p>
        </w:tc>
        <w:tc>
          <w:tcPr>
            <w:tcW w:w="2212" w:type="dxa"/>
            <w:noWrap w:val="0"/>
            <w:vAlign w:val="center"/>
          </w:tcPr>
          <w:p w14:paraId="4A44AF83">
            <w:pPr>
              <w:adjustRightInd w:val="0"/>
              <w:snapToGrid w:val="0"/>
              <w:jc w:val="center"/>
              <w:rPr>
                <w:rFonts w:hint="default" w:ascii="Times New Roman" w:hAnsi="Times New Roman" w:cs="Times New Roman"/>
                <w:color w:val="auto"/>
                <w:sz w:val="21"/>
                <w:szCs w:val="21"/>
              </w:rPr>
            </w:pPr>
            <w:bookmarkStart w:id="1" w:name="_Hlk49843745"/>
            <w:r>
              <w:rPr>
                <w:rFonts w:hint="default" w:ascii="Times New Roman" w:hAnsi="Times New Roman" w:cs="Times New Roman"/>
                <w:color w:val="auto"/>
                <w:sz w:val="21"/>
                <w:szCs w:val="21"/>
              </w:rPr>
              <w:t>建设项目</w:t>
            </w:r>
          </w:p>
          <w:p w14:paraId="0EB5A347">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行业类别</w:t>
            </w:r>
            <w:bookmarkEnd w:id="1"/>
          </w:p>
        </w:tc>
        <w:tc>
          <w:tcPr>
            <w:tcW w:w="2639" w:type="dxa"/>
            <w:noWrap w:val="0"/>
            <w:vAlign w:val="center"/>
          </w:tcPr>
          <w:p w14:paraId="63808E43">
            <w:pPr>
              <w:adjustRightInd w:val="0"/>
              <w:snapToGrid w:val="0"/>
              <w:jc w:val="center"/>
              <w:rPr>
                <w:rFonts w:hint="default" w:cs="Times New Roman"/>
                <w:color w:val="auto"/>
                <w:sz w:val="21"/>
                <w:szCs w:val="21"/>
                <w:lang w:val="en-US" w:eastAsia="zh-CN"/>
              </w:rPr>
            </w:pPr>
            <w:r>
              <w:rPr>
                <w:rFonts w:hint="eastAsia" w:cs="Times New Roman"/>
                <w:color w:val="auto"/>
                <w:sz w:val="21"/>
                <w:szCs w:val="21"/>
                <w:lang w:val="en-US" w:eastAsia="zh-CN"/>
              </w:rPr>
              <w:t>二十八</w:t>
            </w:r>
            <w:r>
              <w:rPr>
                <w:rFonts w:hint="eastAsia" w:ascii="Times New Roman" w:hAnsi="Times New Roman" w:eastAsia="宋体" w:cs="Times New Roman"/>
                <w:color w:val="auto"/>
                <w:sz w:val="21"/>
                <w:szCs w:val="21"/>
                <w:lang w:val="en-US" w:eastAsia="zh-CN"/>
              </w:rPr>
              <w:t>、黑色金属冶炼和压延加工业31</w:t>
            </w:r>
            <w:r>
              <w:rPr>
                <w:rFonts w:hint="eastAsia" w:cs="Times New Roman"/>
                <w:color w:val="auto"/>
                <w:sz w:val="21"/>
                <w:szCs w:val="21"/>
                <w:lang w:val="en-US" w:eastAsia="zh-CN"/>
              </w:rPr>
              <w:t>—63钢压延加工313—其他</w:t>
            </w:r>
          </w:p>
        </w:tc>
      </w:tr>
      <w:tr w14:paraId="65CC89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108" w:type="dxa"/>
            <w:noWrap w:val="0"/>
            <w:tcMar>
              <w:top w:w="16" w:type="dxa"/>
              <w:left w:w="16" w:type="dxa"/>
              <w:right w:w="16" w:type="dxa"/>
            </w:tcMar>
            <w:vAlign w:val="center"/>
          </w:tcPr>
          <w:p w14:paraId="7D571DAA">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建设性质</w:t>
            </w:r>
          </w:p>
        </w:tc>
        <w:tc>
          <w:tcPr>
            <w:tcW w:w="2911" w:type="dxa"/>
            <w:noWrap w:val="0"/>
            <w:vAlign w:val="center"/>
          </w:tcPr>
          <w:p w14:paraId="563188B3">
            <w:pPr>
              <w:jc w:val="left"/>
              <w:rPr>
                <w:rFonts w:hint="default" w:ascii="Times New Roman" w:hAnsi="Times New Roman" w:cs="Times New Roman"/>
                <w:color w:val="auto"/>
                <w:sz w:val="21"/>
                <w:szCs w:val="21"/>
              </w:rPr>
            </w:pPr>
            <w:r>
              <w:rPr>
                <w:rFonts w:hint="eastAsia" w:cs="Times New Roman"/>
                <w:color w:val="auto"/>
                <w:sz w:val="21"/>
                <w:szCs w:val="21"/>
                <w:lang w:eastAsia="zh-CN"/>
              </w:rPr>
              <w:sym w:font="Wingdings 2" w:char="0052"/>
            </w:r>
            <w:r>
              <w:rPr>
                <w:rFonts w:hint="default" w:ascii="Times New Roman" w:hAnsi="Times New Roman" w:cs="Times New Roman"/>
                <w:color w:val="auto"/>
                <w:sz w:val="21"/>
                <w:szCs w:val="21"/>
              </w:rPr>
              <w:t>新建（迁建）</w:t>
            </w:r>
          </w:p>
          <w:p w14:paraId="16AF5E12">
            <w:pPr>
              <w:jc w:val="left"/>
              <w:rPr>
                <w:rFonts w:hint="default" w:ascii="Times New Roman" w:hAnsi="Times New Roman" w:cs="Times New Roman"/>
                <w:color w:val="auto"/>
                <w:sz w:val="21"/>
                <w:szCs w:val="21"/>
              </w:rPr>
            </w:pPr>
            <w:r>
              <w:rPr>
                <w:rFonts w:hint="eastAsia" w:cs="Times New Roman"/>
                <w:color w:val="auto"/>
                <w:sz w:val="21"/>
                <w:szCs w:val="21"/>
                <w:lang w:eastAsia="zh-CN"/>
              </w:rPr>
              <w:sym w:font="Wingdings 2" w:char="00A3"/>
            </w:r>
            <w:r>
              <w:rPr>
                <w:rFonts w:hint="default" w:ascii="Times New Roman" w:hAnsi="Times New Roman" w:cs="Times New Roman"/>
                <w:color w:val="auto"/>
                <w:sz w:val="21"/>
                <w:szCs w:val="21"/>
              </w:rPr>
              <w:t>改建</w:t>
            </w:r>
          </w:p>
          <w:p w14:paraId="34300570">
            <w:pPr>
              <w:jc w:val="left"/>
              <w:rPr>
                <w:rFonts w:hint="default" w:ascii="Times New Roman" w:hAnsi="Times New Roman" w:cs="Times New Roman"/>
                <w:color w:val="auto"/>
                <w:sz w:val="21"/>
                <w:szCs w:val="21"/>
              </w:rPr>
            </w:pPr>
            <w:r>
              <w:rPr>
                <w:rFonts w:hint="eastAsia" w:cs="Times New Roman"/>
                <w:color w:val="auto"/>
                <w:sz w:val="21"/>
                <w:szCs w:val="21"/>
                <w:lang w:eastAsia="zh-CN"/>
              </w:rPr>
              <w:sym w:font="Wingdings 2" w:char="00A3"/>
            </w:r>
            <w:r>
              <w:rPr>
                <w:rFonts w:hint="default" w:ascii="Times New Roman" w:hAnsi="Times New Roman" w:cs="Times New Roman"/>
                <w:color w:val="auto"/>
                <w:sz w:val="21"/>
                <w:szCs w:val="21"/>
              </w:rPr>
              <w:t>扩建</w:t>
            </w:r>
          </w:p>
          <w:p w14:paraId="4A0E5A1F">
            <w:pPr>
              <w:jc w:val="left"/>
              <w:rPr>
                <w:rFonts w:hint="default" w:ascii="Times New Roman" w:hAnsi="Times New Roman" w:cs="Times New Roman"/>
                <w:color w:val="auto"/>
                <w:sz w:val="21"/>
                <w:szCs w:val="21"/>
              </w:rPr>
            </w:pPr>
            <w:r>
              <w:rPr>
                <w:rFonts w:hint="eastAsia" w:cs="Times New Roman"/>
                <w:color w:val="auto"/>
                <w:sz w:val="21"/>
                <w:szCs w:val="21"/>
                <w:lang w:eastAsia="zh-CN"/>
              </w:rPr>
              <w:sym w:font="Wingdings 2" w:char="00A3"/>
            </w:r>
            <w:r>
              <w:rPr>
                <w:rFonts w:hint="default" w:ascii="Times New Roman" w:hAnsi="Times New Roman" w:cs="Times New Roman"/>
                <w:color w:val="auto"/>
                <w:sz w:val="21"/>
                <w:szCs w:val="21"/>
              </w:rPr>
              <w:t>技术改造</w:t>
            </w:r>
          </w:p>
        </w:tc>
        <w:tc>
          <w:tcPr>
            <w:tcW w:w="2212" w:type="dxa"/>
            <w:noWrap w:val="0"/>
            <w:vAlign w:val="center"/>
          </w:tcPr>
          <w:p w14:paraId="5A690546">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建设项目</w:t>
            </w:r>
          </w:p>
          <w:p w14:paraId="7C7A3C86">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申报情形</w:t>
            </w:r>
          </w:p>
        </w:tc>
        <w:tc>
          <w:tcPr>
            <w:tcW w:w="2639" w:type="dxa"/>
            <w:noWrap w:val="0"/>
            <w:vAlign w:val="center"/>
          </w:tcPr>
          <w:p w14:paraId="67821666">
            <w:pPr>
              <w:jc w:val="left"/>
              <w:rPr>
                <w:rFonts w:hint="default" w:ascii="Times New Roman" w:hAnsi="Times New Roman" w:cs="Times New Roman"/>
                <w:color w:val="auto"/>
                <w:sz w:val="21"/>
                <w:szCs w:val="21"/>
              </w:rPr>
            </w:pPr>
            <w:r>
              <w:rPr>
                <w:rFonts w:hint="eastAsia" w:cs="Times New Roman"/>
                <w:color w:val="auto"/>
                <w:sz w:val="21"/>
                <w:szCs w:val="21"/>
                <w:lang w:eastAsia="zh-CN"/>
              </w:rPr>
              <w:sym w:font="Wingdings 2" w:char="0052"/>
            </w:r>
            <w:r>
              <w:rPr>
                <w:rFonts w:hint="default" w:ascii="Times New Roman" w:hAnsi="Times New Roman" w:cs="Times New Roman"/>
                <w:color w:val="auto"/>
                <w:sz w:val="21"/>
                <w:szCs w:val="21"/>
              </w:rPr>
              <w:t>首次申报项目</w:t>
            </w:r>
          </w:p>
          <w:p w14:paraId="1006F6FB">
            <w:pPr>
              <w:jc w:val="left"/>
              <w:rPr>
                <w:rFonts w:hint="default" w:ascii="Times New Roman" w:hAnsi="Times New Roman" w:cs="Times New Roman"/>
                <w:color w:val="auto"/>
                <w:sz w:val="21"/>
                <w:szCs w:val="21"/>
              </w:rPr>
            </w:pPr>
            <w:r>
              <w:rPr>
                <w:rFonts w:hint="eastAsia" w:cs="Times New Roman"/>
                <w:color w:val="auto"/>
                <w:sz w:val="21"/>
                <w:szCs w:val="21"/>
                <w:lang w:eastAsia="zh-CN"/>
              </w:rPr>
              <w:sym w:font="Wingdings 2" w:char="00A3"/>
            </w:r>
            <w:r>
              <w:rPr>
                <w:rFonts w:hint="default" w:ascii="Times New Roman" w:hAnsi="Times New Roman" w:cs="Times New Roman"/>
                <w:color w:val="auto"/>
                <w:sz w:val="21"/>
                <w:szCs w:val="21"/>
              </w:rPr>
              <w:t>不予批准后再次申报项目</w:t>
            </w:r>
          </w:p>
          <w:p w14:paraId="78EC36FE">
            <w:pPr>
              <w:jc w:val="left"/>
              <w:rPr>
                <w:rFonts w:hint="default" w:ascii="Times New Roman" w:hAnsi="Times New Roman" w:cs="Times New Roman"/>
                <w:color w:val="auto"/>
                <w:sz w:val="21"/>
                <w:szCs w:val="21"/>
              </w:rPr>
            </w:pPr>
            <w:r>
              <w:rPr>
                <w:rFonts w:hint="eastAsia" w:cs="Times New Roman"/>
                <w:color w:val="auto"/>
                <w:sz w:val="21"/>
                <w:szCs w:val="21"/>
                <w:lang w:eastAsia="zh-CN"/>
              </w:rPr>
              <w:sym w:font="Wingdings 2" w:char="00A3"/>
            </w:r>
            <w:r>
              <w:rPr>
                <w:rFonts w:hint="default" w:ascii="Times New Roman" w:hAnsi="Times New Roman" w:cs="Times New Roman"/>
                <w:color w:val="auto"/>
                <w:sz w:val="21"/>
                <w:szCs w:val="21"/>
              </w:rPr>
              <w:t>超五年重新审核项目</w:t>
            </w:r>
          </w:p>
          <w:p w14:paraId="2CD99B4B">
            <w:pPr>
              <w:jc w:val="left"/>
              <w:rPr>
                <w:rFonts w:hint="default" w:ascii="Times New Roman" w:hAnsi="Times New Roman" w:cs="Times New Roman"/>
                <w:color w:val="auto"/>
                <w:sz w:val="21"/>
                <w:szCs w:val="21"/>
              </w:rPr>
            </w:pPr>
            <w:r>
              <w:rPr>
                <w:rFonts w:hint="eastAsia" w:cs="Times New Roman"/>
                <w:color w:val="auto"/>
                <w:sz w:val="21"/>
                <w:szCs w:val="21"/>
                <w:lang w:eastAsia="zh-CN"/>
              </w:rPr>
              <w:sym w:font="Wingdings 2" w:char="00A3"/>
            </w:r>
            <w:r>
              <w:rPr>
                <w:rFonts w:hint="default" w:ascii="Times New Roman" w:hAnsi="Times New Roman" w:cs="Times New Roman"/>
                <w:color w:val="auto"/>
                <w:sz w:val="21"/>
                <w:szCs w:val="21"/>
              </w:rPr>
              <w:t>重大变动重新报批项目</w:t>
            </w:r>
          </w:p>
        </w:tc>
      </w:tr>
      <w:tr w14:paraId="6C7D2C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108" w:type="dxa"/>
            <w:noWrap w:val="0"/>
            <w:tcMar>
              <w:top w:w="16" w:type="dxa"/>
              <w:left w:w="16" w:type="dxa"/>
              <w:right w:w="16" w:type="dxa"/>
            </w:tcMar>
            <w:vAlign w:val="center"/>
          </w:tcPr>
          <w:p w14:paraId="1A687768">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项目审批（核准/</w:t>
            </w:r>
          </w:p>
          <w:p w14:paraId="1149A950">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备案）部门（选填）</w:t>
            </w:r>
          </w:p>
        </w:tc>
        <w:tc>
          <w:tcPr>
            <w:tcW w:w="2911" w:type="dxa"/>
            <w:noWrap w:val="0"/>
            <w:vAlign w:val="center"/>
          </w:tcPr>
          <w:p w14:paraId="669362F6">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lang w:val="en-US" w:eastAsia="zh-CN"/>
              </w:rPr>
              <w:t>昌吉高新技术产业开发区产业发展科技局</w:t>
            </w:r>
          </w:p>
        </w:tc>
        <w:tc>
          <w:tcPr>
            <w:tcW w:w="2212" w:type="dxa"/>
            <w:noWrap w:val="0"/>
            <w:vAlign w:val="center"/>
          </w:tcPr>
          <w:p w14:paraId="280293C4">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项目审批（核准/备案）文号（选填）</w:t>
            </w:r>
          </w:p>
        </w:tc>
        <w:tc>
          <w:tcPr>
            <w:tcW w:w="2639" w:type="dxa"/>
            <w:shd w:val="clear" w:color="auto" w:fill="auto"/>
            <w:noWrap w:val="0"/>
            <w:vAlign w:val="center"/>
          </w:tcPr>
          <w:p w14:paraId="1621F210">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2512021727652312000062</w:t>
            </w:r>
          </w:p>
        </w:tc>
      </w:tr>
      <w:tr w14:paraId="6973FA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41" w:hRule="atLeast"/>
          <w:jc w:val="center"/>
        </w:trPr>
        <w:tc>
          <w:tcPr>
            <w:tcW w:w="1108" w:type="dxa"/>
            <w:noWrap w:val="0"/>
            <w:tcMar>
              <w:top w:w="16" w:type="dxa"/>
              <w:left w:w="16" w:type="dxa"/>
              <w:right w:w="16" w:type="dxa"/>
            </w:tcMar>
            <w:vAlign w:val="center"/>
          </w:tcPr>
          <w:p w14:paraId="3F0E200E">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总投资（万元）</w:t>
            </w:r>
          </w:p>
        </w:tc>
        <w:tc>
          <w:tcPr>
            <w:tcW w:w="2911" w:type="dxa"/>
            <w:noWrap w:val="0"/>
            <w:vAlign w:val="center"/>
          </w:tcPr>
          <w:p w14:paraId="05582772">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lang w:val="en-US" w:eastAsia="zh-CN"/>
              </w:rPr>
              <w:t>68000</w:t>
            </w:r>
          </w:p>
        </w:tc>
        <w:tc>
          <w:tcPr>
            <w:tcW w:w="2212" w:type="dxa"/>
            <w:noWrap w:val="0"/>
            <w:tcMar>
              <w:top w:w="16" w:type="dxa"/>
              <w:left w:w="16" w:type="dxa"/>
              <w:right w:w="16" w:type="dxa"/>
            </w:tcMar>
            <w:vAlign w:val="center"/>
          </w:tcPr>
          <w:p w14:paraId="3D390E0C">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环保投资（万元）</w:t>
            </w:r>
          </w:p>
        </w:tc>
        <w:tc>
          <w:tcPr>
            <w:tcW w:w="2639" w:type="dxa"/>
            <w:noWrap w:val="0"/>
            <w:vAlign w:val="center"/>
          </w:tcPr>
          <w:p w14:paraId="4B0A0457">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2690</w:t>
            </w:r>
          </w:p>
        </w:tc>
      </w:tr>
      <w:tr w14:paraId="4F9AD1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43" w:hRule="atLeast"/>
          <w:jc w:val="center"/>
        </w:trPr>
        <w:tc>
          <w:tcPr>
            <w:tcW w:w="1108" w:type="dxa"/>
            <w:noWrap w:val="0"/>
            <w:tcMar>
              <w:top w:w="16" w:type="dxa"/>
              <w:left w:w="16" w:type="dxa"/>
              <w:right w:w="16" w:type="dxa"/>
            </w:tcMar>
            <w:vAlign w:val="center"/>
          </w:tcPr>
          <w:p w14:paraId="59A00856">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环保投资占比（%）</w:t>
            </w:r>
          </w:p>
        </w:tc>
        <w:tc>
          <w:tcPr>
            <w:tcW w:w="2911" w:type="dxa"/>
            <w:noWrap w:val="0"/>
            <w:vAlign w:val="center"/>
          </w:tcPr>
          <w:p w14:paraId="6194A6FD">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3.96%</w:t>
            </w:r>
          </w:p>
        </w:tc>
        <w:tc>
          <w:tcPr>
            <w:tcW w:w="2212" w:type="dxa"/>
            <w:noWrap w:val="0"/>
            <w:tcMar>
              <w:top w:w="16" w:type="dxa"/>
              <w:left w:w="16" w:type="dxa"/>
              <w:right w:w="16" w:type="dxa"/>
            </w:tcMar>
            <w:vAlign w:val="center"/>
          </w:tcPr>
          <w:p w14:paraId="01D3D7C8">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施工工期</w:t>
            </w:r>
          </w:p>
        </w:tc>
        <w:tc>
          <w:tcPr>
            <w:tcW w:w="2639" w:type="dxa"/>
            <w:noWrap w:val="0"/>
            <w:vAlign w:val="center"/>
          </w:tcPr>
          <w:p w14:paraId="553EC43F">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14个月</w:t>
            </w:r>
          </w:p>
        </w:tc>
      </w:tr>
      <w:tr w14:paraId="461C8E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42" w:hRule="atLeast"/>
          <w:jc w:val="center"/>
        </w:trPr>
        <w:tc>
          <w:tcPr>
            <w:tcW w:w="1108" w:type="dxa"/>
            <w:noWrap w:val="0"/>
            <w:tcMar>
              <w:top w:w="16" w:type="dxa"/>
              <w:left w:w="16" w:type="dxa"/>
              <w:right w:w="16" w:type="dxa"/>
            </w:tcMar>
            <w:vAlign w:val="center"/>
          </w:tcPr>
          <w:p w14:paraId="06BEC708">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是否开工建设</w:t>
            </w:r>
          </w:p>
        </w:tc>
        <w:tc>
          <w:tcPr>
            <w:tcW w:w="2911" w:type="dxa"/>
            <w:noWrap w:val="0"/>
            <w:vAlign w:val="center"/>
          </w:tcPr>
          <w:p w14:paraId="5C5A0A46">
            <w:pPr>
              <w:adjustRightInd w:val="0"/>
              <w:snapToGrid w:val="0"/>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sym w:font="Wingdings 2" w:char="0052"/>
            </w:r>
            <w:r>
              <w:rPr>
                <w:rFonts w:hint="default" w:ascii="Times New Roman" w:hAnsi="Times New Roman" w:cs="Times New Roman"/>
                <w:color w:val="auto"/>
                <w:sz w:val="21"/>
                <w:szCs w:val="21"/>
                <w:highlight w:val="none"/>
              </w:rPr>
              <w:t>否</w:t>
            </w:r>
          </w:p>
          <w:p w14:paraId="21C28630">
            <w:pPr>
              <w:adjustRightInd w:val="0"/>
              <w:snapToGrid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eastAsia="zh-CN"/>
              </w:rPr>
              <w:sym w:font="Wingdings 2" w:char="00A3"/>
            </w:r>
            <w:r>
              <w:rPr>
                <w:rFonts w:hint="default" w:ascii="Times New Roman" w:hAnsi="Times New Roman" w:cs="Times New Roman"/>
                <w:color w:val="auto"/>
                <w:sz w:val="21"/>
                <w:szCs w:val="21"/>
                <w:highlight w:val="none"/>
              </w:rPr>
              <w:t>是</w:t>
            </w:r>
            <w:r>
              <w:rPr>
                <w:rFonts w:hint="eastAsia" w:cs="Times New Roman"/>
                <w:color w:val="auto"/>
                <w:sz w:val="21"/>
                <w:szCs w:val="21"/>
                <w:highlight w:val="none"/>
                <w:lang w:eastAsia="zh-CN"/>
              </w:rPr>
              <w:t>：</w:t>
            </w:r>
          </w:p>
        </w:tc>
        <w:tc>
          <w:tcPr>
            <w:tcW w:w="2212" w:type="dxa"/>
            <w:noWrap w:val="0"/>
            <w:tcMar>
              <w:top w:w="16" w:type="dxa"/>
              <w:left w:w="16" w:type="dxa"/>
              <w:right w:w="16" w:type="dxa"/>
            </w:tcMar>
            <w:vAlign w:val="center"/>
          </w:tcPr>
          <w:p w14:paraId="7CC7E2D3">
            <w:pPr>
              <w:adjustRightInd w:val="0"/>
              <w:snapToGrid w:val="0"/>
              <w:jc w:val="center"/>
              <w:rPr>
                <w:rFonts w:hint="default" w:ascii="Times New Roman" w:hAnsi="Times New Roman" w:cs="Times New Roman"/>
                <w:color w:val="auto"/>
                <w:spacing w:val="-6"/>
                <w:sz w:val="21"/>
                <w:szCs w:val="21"/>
                <w:highlight w:val="none"/>
              </w:rPr>
            </w:pPr>
            <w:r>
              <w:rPr>
                <w:rFonts w:hint="default" w:ascii="Times New Roman" w:hAnsi="Times New Roman" w:cs="Times New Roman"/>
                <w:color w:val="auto"/>
                <w:spacing w:val="-6"/>
                <w:sz w:val="21"/>
                <w:szCs w:val="21"/>
                <w:highlight w:val="none"/>
              </w:rPr>
              <w:t>用地（用海）</w:t>
            </w:r>
          </w:p>
          <w:p w14:paraId="6519E1D4">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面积（m</w:t>
            </w:r>
            <w:r>
              <w:rPr>
                <w:rFonts w:hint="default" w:ascii="Times New Roman" w:hAnsi="Times New Roman" w:cs="Times New Roman"/>
                <w:color w:val="auto"/>
                <w:spacing w:val="-6"/>
                <w:sz w:val="21"/>
                <w:szCs w:val="21"/>
                <w:highlight w:val="none"/>
                <w:vertAlign w:val="superscript"/>
              </w:rPr>
              <w:t>2</w:t>
            </w:r>
            <w:r>
              <w:rPr>
                <w:rFonts w:hint="default" w:ascii="Times New Roman" w:hAnsi="Times New Roman" w:cs="Times New Roman"/>
                <w:color w:val="auto"/>
                <w:spacing w:val="-6"/>
                <w:sz w:val="21"/>
                <w:szCs w:val="21"/>
                <w:highlight w:val="none"/>
              </w:rPr>
              <w:t>）</w:t>
            </w:r>
          </w:p>
        </w:tc>
        <w:tc>
          <w:tcPr>
            <w:tcW w:w="2639" w:type="dxa"/>
            <w:noWrap w:val="0"/>
            <w:vAlign w:val="center"/>
          </w:tcPr>
          <w:p w14:paraId="1F8B723E">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192822.71</w:t>
            </w:r>
          </w:p>
        </w:tc>
      </w:tr>
      <w:tr w14:paraId="2BBBA8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1108" w:type="dxa"/>
            <w:noWrap w:val="0"/>
            <w:vAlign w:val="center"/>
          </w:tcPr>
          <w:p w14:paraId="16D467DC">
            <w:pPr>
              <w:autoSpaceDE w:val="0"/>
              <w:autoSpaceDN w:val="0"/>
              <w:adjustRightInd w:val="0"/>
              <w:snapToGrid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专项评价设置情况</w:t>
            </w:r>
          </w:p>
        </w:tc>
        <w:tc>
          <w:tcPr>
            <w:tcW w:w="7762" w:type="dxa"/>
            <w:gridSpan w:val="3"/>
            <w:noWrap w:val="0"/>
            <w:vAlign w:val="center"/>
          </w:tcPr>
          <w:tbl>
            <w:tblPr>
              <w:tblStyle w:val="34"/>
              <w:tblW w:w="7522"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118"/>
              <w:gridCol w:w="3178"/>
              <w:gridCol w:w="2099"/>
              <w:gridCol w:w="1127"/>
            </w:tblGrid>
            <w:tr w14:paraId="3F27DDC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18" w:type="dxa"/>
                  <w:tcBorders>
                    <w:tl2br w:val="nil"/>
                    <w:tr2bl w:val="nil"/>
                  </w:tcBorders>
                  <w:noWrap w:val="0"/>
                  <w:vAlign w:val="center"/>
                </w:tcPr>
                <w:p w14:paraId="5792D06C">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专项评</w:t>
                  </w:r>
                </w:p>
                <w:p w14:paraId="32E150C3">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价类别</w:t>
                  </w:r>
                </w:p>
              </w:tc>
              <w:tc>
                <w:tcPr>
                  <w:tcW w:w="3178" w:type="dxa"/>
                  <w:tcBorders>
                    <w:tl2br w:val="nil"/>
                    <w:tr2bl w:val="nil"/>
                  </w:tcBorders>
                  <w:noWrap w:val="0"/>
                  <w:vAlign w:val="center"/>
                </w:tcPr>
                <w:p w14:paraId="1CC2B9E0">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设置原则</w:t>
                  </w:r>
                </w:p>
              </w:tc>
              <w:tc>
                <w:tcPr>
                  <w:tcW w:w="2099" w:type="dxa"/>
                  <w:tcBorders>
                    <w:tl2br w:val="nil"/>
                    <w:tr2bl w:val="nil"/>
                  </w:tcBorders>
                  <w:noWrap w:val="0"/>
                  <w:vAlign w:val="center"/>
                </w:tcPr>
                <w:p w14:paraId="370E2AC0">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项目情况</w:t>
                  </w:r>
                </w:p>
              </w:tc>
              <w:tc>
                <w:tcPr>
                  <w:tcW w:w="1127" w:type="dxa"/>
                  <w:tcBorders>
                    <w:tl2br w:val="nil"/>
                    <w:tr2bl w:val="nil"/>
                  </w:tcBorders>
                  <w:noWrap w:val="0"/>
                  <w:vAlign w:val="center"/>
                </w:tcPr>
                <w:p w14:paraId="42945C0F">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设置</w:t>
                  </w:r>
                </w:p>
                <w:p w14:paraId="6456287F">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情况</w:t>
                  </w:r>
                </w:p>
              </w:tc>
            </w:tr>
            <w:tr w14:paraId="4153836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18" w:type="dxa"/>
                  <w:tcBorders>
                    <w:tl2br w:val="nil"/>
                    <w:tr2bl w:val="nil"/>
                  </w:tcBorders>
                  <w:noWrap w:val="0"/>
                  <w:vAlign w:val="center"/>
                </w:tcPr>
                <w:p w14:paraId="44C0B92C">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大气</w:t>
                  </w:r>
                </w:p>
              </w:tc>
              <w:tc>
                <w:tcPr>
                  <w:tcW w:w="3178" w:type="dxa"/>
                  <w:tcBorders>
                    <w:tl2br w:val="nil"/>
                    <w:tr2bl w:val="nil"/>
                  </w:tcBorders>
                  <w:noWrap w:val="0"/>
                  <w:vAlign w:val="center"/>
                </w:tcPr>
                <w:p w14:paraId="764469E0">
                  <w:pPr>
                    <w:pStyle w:val="8"/>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排放废气含有毒有害污染物、</w:t>
                  </w:r>
                  <w:r>
                    <w:rPr>
                      <w:rFonts w:hint="eastAsia" w:eastAsia="宋体" w:cs="Times New Roman"/>
                      <w:color w:val="auto"/>
                      <w:sz w:val="21"/>
                      <w:szCs w:val="21"/>
                      <w:highlight w:val="none"/>
                      <w:vertAlign w:val="baseline"/>
                      <w:lang w:eastAsia="zh-CN"/>
                    </w:rPr>
                    <w:t>二噁英</w:t>
                  </w:r>
                  <w:r>
                    <w:rPr>
                      <w:rFonts w:hint="default" w:ascii="Times New Roman" w:hAnsi="Times New Roman" w:eastAsia="宋体" w:cs="Times New Roman"/>
                      <w:color w:val="auto"/>
                      <w:sz w:val="21"/>
                      <w:szCs w:val="21"/>
                      <w:highlight w:val="none"/>
                      <w:vertAlign w:val="baseline"/>
                    </w:rPr>
                    <w:t>、</w:t>
                  </w:r>
                  <w:r>
                    <w:rPr>
                      <w:rFonts w:hint="eastAsia" w:eastAsia="宋体" w:cs="Times New Roman"/>
                      <w:color w:val="auto"/>
                      <w:sz w:val="21"/>
                      <w:szCs w:val="21"/>
                      <w:highlight w:val="none"/>
                      <w:vertAlign w:val="baseline"/>
                      <w:lang w:eastAsia="zh-CN"/>
                    </w:rPr>
                    <w:t>苯并[a]芘</w:t>
                  </w:r>
                  <w:r>
                    <w:rPr>
                      <w:rFonts w:hint="default" w:ascii="Times New Roman" w:hAnsi="Times New Roman" w:eastAsia="宋体" w:cs="Times New Roman"/>
                      <w:color w:val="auto"/>
                      <w:sz w:val="21"/>
                      <w:szCs w:val="21"/>
                      <w:highlight w:val="none"/>
                      <w:vertAlign w:val="baseline"/>
                    </w:rPr>
                    <w:t>、氰化物、氯气且厂界外500米范围内有环境空气保护目标的建设项目</w:t>
                  </w:r>
                </w:p>
              </w:tc>
              <w:tc>
                <w:tcPr>
                  <w:tcW w:w="2099" w:type="dxa"/>
                  <w:tcBorders>
                    <w:tl2br w:val="nil"/>
                    <w:tr2bl w:val="nil"/>
                  </w:tcBorders>
                  <w:noWrap w:val="0"/>
                  <w:vAlign w:val="center"/>
                </w:tcPr>
                <w:p w14:paraId="02841AF2">
                  <w:pPr>
                    <w:pStyle w:val="8"/>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本项目</w:t>
                  </w:r>
                  <w:r>
                    <w:rPr>
                      <w:rFonts w:hint="eastAsia" w:ascii="Times New Roman" w:hAnsi="Times New Roman" w:eastAsia="宋体" w:cs="Times New Roman"/>
                      <w:color w:val="auto"/>
                      <w:sz w:val="21"/>
                      <w:szCs w:val="21"/>
                      <w:highlight w:val="none"/>
                      <w:vertAlign w:val="baseline"/>
                      <w:lang w:val="en-US" w:eastAsia="zh-CN"/>
                    </w:rPr>
                    <w:t>不涉及有毒有害污染物</w:t>
                  </w:r>
                  <w:r>
                    <w:rPr>
                      <w:rFonts w:hint="default" w:ascii="Times New Roman" w:hAnsi="Times New Roman" w:eastAsia="宋体" w:cs="Times New Roman"/>
                      <w:color w:val="auto"/>
                      <w:sz w:val="21"/>
                      <w:szCs w:val="21"/>
                      <w:highlight w:val="none"/>
                      <w:vertAlign w:val="baseline"/>
                      <w:lang w:val="en-US" w:eastAsia="zh-CN"/>
                    </w:rPr>
                    <w:t>，厂界外500m范围内无环境空气保护目标</w:t>
                  </w:r>
                </w:p>
              </w:tc>
              <w:tc>
                <w:tcPr>
                  <w:tcW w:w="1127" w:type="dxa"/>
                  <w:tcBorders>
                    <w:tl2br w:val="nil"/>
                    <w:tr2bl w:val="nil"/>
                  </w:tcBorders>
                  <w:noWrap w:val="0"/>
                  <w:vAlign w:val="center"/>
                </w:tcPr>
                <w:p w14:paraId="19F5531B">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1"/>
                      <w:szCs w:val="21"/>
                      <w:highlight w:val="none"/>
                      <w:vertAlign w:val="baseline"/>
                      <w:lang w:val="en-US" w:eastAsia="zh-CN"/>
                    </w:rPr>
                    <w:t>不需设置</w:t>
                  </w:r>
                </w:p>
              </w:tc>
            </w:tr>
            <w:tr w14:paraId="568116D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18" w:type="dxa"/>
                  <w:tcBorders>
                    <w:tl2br w:val="nil"/>
                    <w:tr2bl w:val="nil"/>
                  </w:tcBorders>
                  <w:noWrap w:val="0"/>
                  <w:vAlign w:val="center"/>
                </w:tcPr>
                <w:p w14:paraId="54FDAE20">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地表水</w:t>
                  </w:r>
                </w:p>
              </w:tc>
              <w:tc>
                <w:tcPr>
                  <w:tcW w:w="3178" w:type="dxa"/>
                  <w:tcBorders>
                    <w:tl2br w:val="nil"/>
                    <w:tr2bl w:val="nil"/>
                  </w:tcBorders>
                  <w:noWrap w:val="0"/>
                  <w:vAlign w:val="center"/>
                </w:tcPr>
                <w:p w14:paraId="688D0FFF">
                  <w:pPr>
                    <w:pStyle w:val="8"/>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新增工业废水直排建设项目(槽罐车外送污水处理厂的除外)；新增废水直排的污水集中处理厂</w:t>
                  </w:r>
                </w:p>
              </w:tc>
              <w:tc>
                <w:tcPr>
                  <w:tcW w:w="2099" w:type="dxa"/>
                  <w:tcBorders>
                    <w:tl2br w:val="nil"/>
                    <w:tr2bl w:val="nil"/>
                  </w:tcBorders>
                  <w:noWrap w:val="0"/>
                  <w:vAlign w:val="center"/>
                </w:tcPr>
                <w:p w14:paraId="02F5860C">
                  <w:pPr>
                    <w:pStyle w:val="8"/>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本项目</w:t>
                  </w:r>
                  <w:r>
                    <w:rPr>
                      <w:rFonts w:hint="eastAsia" w:ascii="Times New Roman" w:hAnsi="Times New Roman" w:eastAsia="宋体" w:cs="Times New Roman"/>
                      <w:color w:val="auto"/>
                      <w:sz w:val="21"/>
                      <w:szCs w:val="21"/>
                      <w:highlight w:val="none"/>
                      <w:vertAlign w:val="baseline"/>
                      <w:lang w:val="en-US" w:eastAsia="zh-CN"/>
                    </w:rPr>
                    <w:t>废水不直接排放</w:t>
                  </w:r>
                </w:p>
              </w:tc>
              <w:tc>
                <w:tcPr>
                  <w:tcW w:w="1127" w:type="dxa"/>
                  <w:tcBorders>
                    <w:tl2br w:val="nil"/>
                    <w:tr2bl w:val="nil"/>
                  </w:tcBorders>
                  <w:noWrap w:val="0"/>
                  <w:vAlign w:val="center"/>
                </w:tcPr>
                <w:p w14:paraId="4C8E6A05">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lang w:val="en-US" w:eastAsia="zh-CN"/>
                    </w:rPr>
                    <w:t>不需设置</w:t>
                  </w:r>
                </w:p>
              </w:tc>
            </w:tr>
            <w:tr w14:paraId="416D61E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1118" w:type="dxa"/>
                  <w:tcBorders>
                    <w:tl2br w:val="nil"/>
                    <w:tr2bl w:val="nil"/>
                  </w:tcBorders>
                  <w:noWrap w:val="0"/>
                  <w:vAlign w:val="center"/>
                </w:tcPr>
                <w:p w14:paraId="05CAFFEE">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环境风险</w:t>
                  </w:r>
                </w:p>
              </w:tc>
              <w:tc>
                <w:tcPr>
                  <w:tcW w:w="3178" w:type="dxa"/>
                  <w:tcBorders>
                    <w:tl2br w:val="nil"/>
                    <w:tr2bl w:val="nil"/>
                  </w:tcBorders>
                  <w:noWrap w:val="0"/>
                  <w:vAlign w:val="center"/>
                </w:tcPr>
                <w:p w14:paraId="407E1308">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有毒有害和易燃易爆危险物质存储量超过临界量的建设项目</w:t>
                  </w:r>
                </w:p>
              </w:tc>
              <w:tc>
                <w:tcPr>
                  <w:tcW w:w="2099" w:type="dxa"/>
                  <w:tcBorders>
                    <w:tl2br w:val="nil"/>
                    <w:tr2bl w:val="nil"/>
                  </w:tcBorders>
                  <w:noWrap w:val="0"/>
                  <w:vAlign w:val="center"/>
                </w:tcPr>
                <w:p w14:paraId="7DF7135B">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本项目环境风险物质为</w:t>
                  </w:r>
                  <w:r>
                    <w:rPr>
                      <w:rFonts w:hint="eastAsia" w:ascii="Times New Roman" w:hAnsi="Times New Roman" w:eastAsia="宋体" w:cs="Times New Roman"/>
                      <w:color w:val="auto"/>
                      <w:sz w:val="21"/>
                      <w:szCs w:val="21"/>
                      <w:highlight w:val="none"/>
                      <w:vertAlign w:val="baseline"/>
                      <w:lang w:val="en-US" w:eastAsia="zh-CN"/>
                    </w:rPr>
                    <w:t>31%盐酸、氯化氢、98%硫酸、液氨、轧制油、液压油、齿轮油、</w:t>
                  </w:r>
                  <w:r>
                    <w:rPr>
                      <w:rFonts w:hint="default" w:ascii="Times New Roman" w:hAnsi="Times New Roman" w:eastAsia="宋体" w:cs="Times New Roman"/>
                      <w:color w:val="auto"/>
                      <w:sz w:val="21"/>
                      <w:szCs w:val="21"/>
                      <w:highlight w:val="none"/>
                      <w:vertAlign w:val="baseline"/>
                      <w:lang w:val="en-US" w:eastAsia="zh-CN"/>
                    </w:rPr>
                    <w:t>天然气（甲烷），经计算1≤Q＜1</w:t>
                  </w:r>
                  <w:r>
                    <w:rPr>
                      <w:rFonts w:hint="eastAsia" w:ascii="Times New Roman" w:hAnsi="Times New Roman" w:eastAsia="宋体" w:cs="Times New Roman"/>
                      <w:color w:val="auto"/>
                      <w:sz w:val="21"/>
                      <w:szCs w:val="21"/>
                      <w:highlight w:val="none"/>
                      <w:vertAlign w:val="baseline"/>
                      <w:lang w:val="en-US" w:eastAsia="zh-CN"/>
                    </w:rPr>
                    <w:t>0</w:t>
                  </w:r>
                </w:p>
              </w:tc>
              <w:tc>
                <w:tcPr>
                  <w:tcW w:w="1127" w:type="dxa"/>
                  <w:tcBorders>
                    <w:tl2br w:val="nil"/>
                    <w:tr2bl w:val="nil"/>
                  </w:tcBorders>
                  <w:noWrap w:val="0"/>
                  <w:vAlign w:val="center"/>
                </w:tcPr>
                <w:p w14:paraId="4B545781">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sz w:val="21"/>
                      <w:szCs w:val="21"/>
                      <w:highlight w:val="none"/>
                      <w:vertAlign w:val="baseline"/>
                      <w:lang w:val="en-US" w:eastAsia="zh-CN"/>
                    </w:rPr>
                    <w:t>需要</w:t>
                  </w:r>
                  <w:r>
                    <w:rPr>
                      <w:rFonts w:hint="default" w:ascii="Times New Roman" w:hAnsi="Times New Roman" w:eastAsia="宋体" w:cs="Times New Roman"/>
                      <w:color w:val="auto"/>
                      <w:sz w:val="21"/>
                      <w:szCs w:val="21"/>
                      <w:highlight w:val="none"/>
                      <w:vertAlign w:val="baseline"/>
                      <w:lang w:val="en-US" w:eastAsia="zh-CN"/>
                    </w:rPr>
                    <w:t>设置</w:t>
                  </w:r>
                </w:p>
              </w:tc>
            </w:tr>
            <w:tr w14:paraId="548EA72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18" w:type="dxa"/>
                  <w:tcBorders>
                    <w:tl2br w:val="nil"/>
                    <w:tr2bl w:val="nil"/>
                  </w:tcBorders>
                  <w:noWrap w:val="0"/>
                  <w:vAlign w:val="center"/>
                </w:tcPr>
                <w:p w14:paraId="22778677">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生态</w:t>
                  </w:r>
                </w:p>
              </w:tc>
              <w:tc>
                <w:tcPr>
                  <w:tcW w:w="3178" w:type="dxa"/>
                  <w:tcBorders>
                    <w:tl2br w:val="nil"/>
                    <w:tr2bl w:val="nil"/>
                  </w:tcBorders>
                  <w:noWrap w:val="0"/>
                  <w:vAlign w:val="center"/>
                </w:tcPr>
                <w:p w14:paraId="6F1F2E4B">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取水口下游500米范围内有重要水生生物的自然产卵场、索饵场、越冬场和洄游通道的新增河道取水的污染类建设项目</w:t>
                  </w:r>
                </w:p>
              </w:tc>
              <w:tc>
                <w:tcPr>
                  <w:tcW w:w="2099" w:type="dxa"/>
                  <w:tcBorders>
                    <w:tl2br w:val="nil"/>
                    <w:tr2bl w:val="nil"/>
                  </w:tcBorders>
                  <w:noWrap w:val="0"/>
                  <w:vAlign w:val="center"/>
                </w:tcPr>
                <w:p w14:paraId="794300A5">
                  <w:pPr>
                    <w:pStyle w:val="8"/>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项目用水由园区供水管网供水，不</w:t>
                  </w:r>
                  <w:r>
                    <w:rPr>
                      <w:rFonts w:hint="eastAsia" w:eastAsia="宋体" w:cs="Times New Roman"/>
                      <w:color w:val="auto"/>
                      <w:sz w:val="21"/>
                      <w:szCs w:val="21"/>
                      <w:highlight w:val="none"/>
                      <w:vertAlign w:val="baseline"/>
                      <w:lang w:val="en-US" w:eastAsia="zh-CN"/>
                    </w:rPr>
                    <w:t>属于</w:t>
                  </w:r>
                  <w:r>
                    <w:rPr>
                      <w:rFonts w:hint="default" w:ascii="Times New Roman" w:hAnsi="Times New Roman" w:eastAsia="宋体" w:cs="Times New Roman"/>
                      <w:color w:val="auto"/>
                      <w:sz w:val="21"/>
                      <w:szCs w:val="21"/>
                      <w:highlight w:val="none"/>
                      <w:vertAlign w:val="baseline"/>
                      <w:lang w:val="en-US" w:eastAsia="zh-CN"/>
                    </w:rPr>
                    <w:t>生态类项目</w:t>
                  </w:r>
                </w:p>
              </w:tc>
              <w:tc>
                <w:tcPr>
                  <w:tcW w:w="1127" w:type="dxa"/>
                  <w:tcBorders>
                    <w:tl2br w:val="nil"/>
                    <w:tr2bl w:val="nil"/>
                  </w:tcBorders>
                  <w:noWrap w:val="0"/>
                  <w:vAlign w:val="center"/>
                </w:tcPr>
                <w:p w14:paraId="2505514B">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lang w:val="en-US" w:eastAsia="zh-CN"/>
                    </w:rPr>
                    <w:t>不需设置</w:t>
                  </w:r>
                </w:p>
              </w:tc>
            </w:tr>
            <w:tr w14:paraId="211069A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18" w:type="dxa"/>
                  <w:tcBorders>
                    <w:tl2br w:val="nil"/>
                    <w:tr2bl w:val="nil"/>
                  </w:tcBorders>
                  <w:noWrap w:val="0"/>
                  <w:vAlign w:val="center"/>
                </w:tcPr>
                <w:p w14:paraId="49593C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0"/>
                      <w:sz w:val="21"/>
                      <w:szCs w:val="21"/>
                      <w:lang w:val="en-US" w:eastAsia="zh-CN" w:bidi="ar"/>
                    </w:rPr>
                    <w:t>海洋</w:t>
                  </w:r>
                </w:p>
              </w:tc>
              <w:tc>
                <w:tcPr>
                  <w:tcW w:w="3178" w:type="dxa"/>
                  <w:tcBorders>
                    <w:tl2br w:val="nil"/>
                    <w:tr2bl w:val="nil"/>
                  </w:tcBorders>
                  <w:noWrap w:val="0"/>
                  <w:vAlign w:val="center"/>
                </w:tcPr>
                <w:p w14:paraId="1DBF9575">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直接向海排放污染物的海洋工程建设项目</w:t>
                  </w:r>
                </w:p>
              </w:tc>
              <w:tc>
                <w:tcPr>
                  <w:tcW w:w="2099" w:type="dxa"/>
                  <w:tcBorders>
                    <w:tl2br w:val="nil"/>
                    <w:tr2bl w:val="nil"/>
                  </w:tcBorders>
                  <w:noWrap w:val="0"/>
                  <w:vAlign w:val="center"/>
                </w:tcPr>
                <w:p w14:paraId="4CB4B6A3">
                  <w:pPr>
                    <w:pStyle w:val="8"/>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本项目不属于海洋工程建设项目</w:t>
                  </w:r>
                </w:p>
              </w:tc>
              <w:tc>
                <w:tcPr>
                  <w:tcW w:w="1127" w:type="dxa"/>
                  <w:tcBorders>
                    <w:tl2br w:val="nil"/>
                    <w:tr2bl w:val="nil"/>
                  </w:tcBorders>
                  <w:noWrap w:val="0"/>
                  <w:vAlign w:val="center"/>
                </w:tcPr>
                <w:p w14:paraId="6E12044B">
                  <w:pPr>
                    <w:pStyle w:val="8"/>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lang w:val="en-US" w:eastAsia="zh-CN"/>
                    </w:rPr>
                    <w:t>不需设置</w:t>
                  </w:r>
                </w:p>
              </w:tc>
            </w:tr>
          </w:tbl>
          <w:p w14:paraId="08796077">
            <w:pPr>
              <w:autoSpaceDE w:val="0"/>
              <w:autoSpaceDN w:val="0"/>
              <w:adjustRightInd w:val="0"/>
              <w:snapToGrid w:val="0"/>
              <w:jc w:val="center"/>
              <w:rPr>
                <w:rFonts w:hint="default" w:ascii="Times New Roman" w:hAnsi="Times New Roman" w:eastAsia="宋体" w:cs="Times New Roman"/>
                <w:color w:val="auto"/>
                <w:kern w:val="0"/>
                <w:sz w:val="21"/>
                <w:szCs w:val="21"/>
                <w:lang w:val="en-US" w:eastAsia="zh-CN"/>
              </w:rPr>
            </w:pPr>
          </w:p>
        </w:tc>
      </w:tr>
      <w:tr w14:paraId="1BAD60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1108" w:type="dxa"/>
            <w:noWrap w:val="0"/>
            <w:vAlign w:val="center"/>
          </w:tcPr>
          <w:p w14:paraId="4C5B178B">
            <w:pPr>
              <w:autoSpaceDE w:val="0"/>
              <w:autoSpaceDN w:val="0"/>
              <w:adjustRightInd w:val="0"/>
              <w:snapToGrid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规划情况</w:t>
            </w:r>
          </w:p>
        </w:tc>
        <w:tc>
          <w:tcPr>
            <w:tcW w:w="7762" w:type="dxa"/>
            <w:gridSpan w:val="3"/>
            <w:shd w:val="clear" w:color="auto" w:fill="auto"/>
            <w:noWrap w:val="0"/>
            <w:vAlign w:val="center"/>
          </w:tcPr>
          <w:p w14:paraId="64C65CE6">
            <w:pPr>
              <w:keepNext w:val="0"/>
              <w:keepLines w:val="0"/>
              <w:pageBreakBefore w:val="0"/>
              <w:widowControl/>
              <w:kinsoku/>
              <w:wordWrap/>
              <w:overflowPunct w:val="0"/>
              <w:topLinePunct/>
              <w:autoSpaceDE/>
              <w:autoSpaceDN/>
              <w:bidi w:val="0"/>
              <w:adjustRightInd/>
              <w:snapToGrid/>
              <w:spacing w:line="360" w:lineRule="auto"/>
              <w:ind w:firstLine="422" w:firstLineChars="200"/>
              <w:jc w:val="both"/>
              <w:textAlignment w:val="auto"/>
              <w:rPr>
                <w:rFonts w:hint="default" w:ascii="Times New Roman" w:hAnsi="Times New Roman" w:eastAsia="宋体" w:cs="Times New Roman"/>
                <w:b w:val="0"/>
                <w:bCs w:val="0"/>
                <w:color w:val="auto"/>
                <w:kern w:val="0"/>
                <w:sz w:val="21"/>
                <w:szCs w:val="21"/>
                <w:lang w:val="en-US"/>
              </w:rPr>
            </w:pPr>
            <w:r>
              <w:rPr>
                <w:rFonts w:hint="default" w:ascii="Times New Roman" w:hAnsi="Times New Roman" w:eastAsia="宋体" w:cs="Times New Roman"/>
                <w:b/>
                <w:bCs/>
                <w:color w:val="auto"/>
                <w:kern w:val="0"/>
                <w:sz w:val="21"/>
                <w:szCs w:val="21"/>
                <w:lang w:val="en-US"/>
              </w:rPr>
              <w:t>规划名称：</w:t>
            </w:r>
            <w:r>
              <w:rPr>
                <w:rFonts w:hint="default" w:ascii="Times New Roman" w:hAnsi="Times New Roman" w:eastAsia="宋体" w:cs="Times New Roman"/>
                <w:b w:val="0"/>
                <w:bCs w:val="0"/>
                <w:color w:val="auto"/>
                <w:kern w:val="0"/>
                <w:sz w:val="21"/>
                <w:szCs w:val="21"/>
                <w:lang w:val="en-US"/>
              </w:rPr>
              <w:t>《昌吉高新技术产业开发区国土空间专项规划（2021</w:t>
            </w:r>
            <w:r>
              <w:rPr>
                <w:rFonts w:hint="eastAsia" w:cs="Times New Roman"/>
                <w:b w:val="0"/>
                <w:bCs w:val="0"/>
                <w:color w:val="auto"/>
                <w:kern w:val="0"/>
                <w:sz w:val="21"/>
                <w:szCs w:val="21"/>
                <w:lang w:val="en-US" w:eastAsia="zh-CN"/>
              </w:rPr>
              <w:t>—</w:t>
            </w:r>
            <w:r>
              <w:rPr>
                <w:rFonts w:hint="default" w:ascii="Times New Roman" w:hAnsi="Times New Roman" w:eastAsia="宋体" w:cs="Times New Roman"/>
                <w:b w:val="0"/>
                <w:bCs w:val="0"/>
                <w:color w:val="auto"/>
                <w:kern w:val="0"/>
                <w:sz w:val="21"/>
                <w:szCs w:val="21"/>
                <w:lang w:val="en-US"/>
              </w:rPr>
              <w:t>2035年）》</w:t>
            </w:r>
          </w:p>
          <w:p w14:paraId="3833E3B7">
            <w:pPr>
              <w:keepNext w:val="0"/>
              <w:keepLines w:val="0"/>
              <w:pageBreakBefore w:val="0"/>
              <w:widowControl w:val="0"/>
              <w:kinsoku/>
              <w:wordWrap/>
              <w:overflowPunct/>
              <w:topLinePunct w:val="0"/>
              <w:autoSpaceDE w:val="0"/>
              <w:autoSpaceDN w:val="0"/>
              <w:bidi w:val="0"/>
              <w:adjustRightInd/>
              <w:snapToGrid/>
              <w:spacing w:line="360" w:lineRule="auto"/>
              <w:ind w:firstLine="422" w:firstLineChars="20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kern w:val="0"/>
                <w:sz w:val="21"/>
                <w:szCs w:val="21"/>
                <w:lang w:val="en-US"/>
              </w:rPr>
              <w:t>审查机关、审批文件名称及文号：</w:t>
            </w:r>
            <w:r>
              <w:rPr>
                <w:rFonts w:hint="default" w:ascii="Times New Roman" w:hAnsi="Times New Roman" w:eastAsia="宋体" w:cs="Times New Roman"/>
                <w:b w:val="0"/>
                <w:bCs w:val="0"/>
                <w:color w:val="auto"/>
                <w:kern w:val="0"/>
                <w:sz w:val="21"/>
                <w:szCs w:val="21"/>
                <w:lang w:val="en-US"/>
              </w:rPr>
              <w:t>新疆维吾尔自治区人民政府，审查文件名称及文号</w:t>
            </w:r>
            <w:r>
              <w:rPr>
                <w:rFonts w:hint="eastAsia" w:cs="Times New Roman"/>
                <w:b w:val="0"/>
                <w:bCs w:val="0"/>
                <w:color w:val="auto"/>
                <w:kern w:val="0"/>
                <w:sz w:val="21"/>
                <w:szCs w:val="21"/>
                <w:lang w:val="en-US" w:eastAsia="zh-CN"/>
              </w:rPr>
              <w:t>：</w:t>
            </w:r>
            <w:r>
              <w:rPr>
                <w:rFonts w:hint="default" w:ascii="Times New Roman" w:hAnsi="Times New Roman" w:eastAsia="宋体" w:cs="Times New Roman"/>
                <w:b w:val="0"/>
                <w:bCs w:val="0"/>
                <w:color w:val="auto"/>
                <w:kern w:val="0"/>
                <w:sz w:val="21"/>
                <w:szCs w:val="21"/>
                <w:lang w:val="en-US"/>
              </w:rPr>
              <w:t>《关于昌吉市国土空间总体规划(2021</w:t>
            </w:r>
            <w:r>
              <w:rPr>
                <w:rFonts w:hint="eastAsia" w:cs="Times New Roman"/>
                <w:b w:val="0"/>
                <w:bCs w:val="0"/>
                <w:color w:val="auto"/>
                <w:kern w:val="0"/>
                <w:sz w:val="21"/>
                <w:szCs w:val="21"/>
                <w:lang w:val="en-US" w:eastAsia="zh-CN"/>
              </w:rPr>
              <w:t>—</w:t>
            </w:r>
            <w:r>
              <w:rPr>
                <w:rFonts w:hint="default" w:ascii="Times New Roman" w:hAnsi="Times New Roman" w:eastAsia="宋体" w:cs="Times New Roman"/>
                <w:b w:val="0"/>
                <w:bCs w:val="0"/>
                <w:color w:val="auto"/>
                <w:kern w:val="0"/>
                <w:sz w:val="21"/>
                <w:szCs w:val="21"/>
                <w:lang w:val="en-US"/>
              </w:rPr>
              <w:t>2035年)的批复》（新政函〔2024〕137号）</w:t>
            </w:r>
          </w:p>
        </w:tc>
      </w:tr>
      <w:tr w14:paraId="7E7FCC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08" w:type="dxa"/>
            <w:noWrap w:val="0"/>
            <w:vAlign w:val="center"/>
          </w:tcPr>
          <w:p w14:paraId="3E7E5519">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规划环境影响</w:t>
            </w:r>
          </w:p>
          <w:p w14:paraId="163901DF">
            <w:pPr>
              <w:adjustRightInd w:val="0"/>
              <w:snapToGrid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评价情况</w:t>
            </w:r>
          </w:p>
        </w:tc>
        <w:tc>
          <w:tcPr>
            <w:tcW w:w="7762" w:type="dxa"/>
            <w:gridSpan w:val="3"/>
            <w:shd w:val="clear" w:color="auto" w:fill="auto"/>
            <w:noWrap w:val="0"/>
            <w:vAlign w:val="center"/>
          </w:tcPr>
          <w:p w14:paraId="001E69FE">
            <w:pPr>
              <w:keepNext w:val="0"/>
              <w:keepLines w:val="0"/>
              <w:pageBreakBefore w:val="0"/>
              <w:widowControl w:val="0"/>
              <w:kinsoku/>
              <w:wordWrap/>
              <w:overflowPunct/>
              <w:topLinePunct w:val="0"/>
              <w:autoSpaceDE w:val="0"/>
              <w:autoSpaceDN w:val="0"/>
              <w:bidi w:val="0"/>
              <w:adjustRightInd w:val="0"/>
              <w:snapToGrid w:val="0"/>
              <w:spacing w:line="360" w:lineRule="auto"/>
              <w:ind w:firstLine="422" w:firstLineChars="200"/>
              <w:jc w:val="both"/>
              <w:textAlignment w:val="auto"/>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b/>
                <w:bCs/>
                <w:color w:val="auto"/>
                <w:kern w:val="0"/>
                <w:sz w:val="21"/>
                <w:szCs w:val="21"/>
                <w:lang w:val="en-US"/>
              </w:rPr>
              <w:t>规划环境影响评价文件：</w:t>
            </w:r>
            <w:r>
              <w:rPr>
                <w:rFonts w:hint="default" w:ascii="Times New Roman" w:hAnsi="Times New Roman" w:eastAsia="宋体" w:cs="Times New Roman"/>
                <w:color w:val="auto"/>
                <w:kern w:val="0"/>
                <w:sz w:val="21"/>
                <w:szCs w:val="21"/>
                <w:lang w:val="en-US"/>
              </w:rPr>
              <w:t>《昌吉高新技术产业开发区总体规划（2014</w:t>
            </w:r>
            <w:r>
              <w:rPr>
                <w:rFonts w:hint="eastAsia"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en-US"/>
              </w:rPr>
              <w:t>2030年）环境影响报告书》</w:t>
            </w:r>
          </w:p>
          <w:p w14:paraId="7EBE6EE4">
            <w:pPr>
              <w:autoSpaceDE w:val="0"/>
              <w:autoSpaceDN w:val="0"/>
              <w:adjustRightInd w:val="0"/>
              <w:snapToGrid w:val="0"/>
              <w:spacing w:line="360" w:lineRule="auto"/>
              <w:ind w:firstLine="422" w:firstLineChars="200"/>
              <w:jc w:val="left"/>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b/>
                <w:bCs/>
                <w:color w:val="auto"/>
                <w:kern w:val="0"/>
                <w:sz w:val="21"/>
                <w:szCs w:val="21"/>
                <w:lang w:val="en-US"/>
              </w:rPr>
              <w:t>召集审查机关：</w:t>
            </w:r>
            <w:r>
              <w:rPr>
                <w:rFonts w:hint="default" w:ascii="Times New Roman" w:hAnsi="Times New Roman" w:eastAsia="宋体" w:cs="Times New Roman"/>
                <w:color w:val="auto"/>
                <w:kern w:val="0"/>
                <w:sz w:val="21"/>
                <w:szCs w:val="21"/>
                <w:lang w:val="en-US"/>
              </w:rPr>
              <w:t>原新疆维吾尔自治区环境保护厅</w:t>
            </w:r>
          </w:p>
          <w:p w14:paraId="0FE7942B">
            <w:pPr>
              <w:keepNext w:val="0"/>
              <w:keepLines w:val="0"/>
              <w:pageBreakBefore w:val="0"/>
              <w:widowControl w:val="0"/>
              <w:kinsoku/>
              <w:wordWrap/>
              <w:overflowPunct/>
              <w:topLinePunct w:val="0"/>
              <w:autoSpaceDE w:val="0"/>
              <w:autoSpaceDN w:val="0"/>
              <w:bidi w:val="0"/>
              <w:adjustRightInd/>
              <w:snapToGrid/>
              <w:spacing w:line="360" w:lineRule="auto"/>
              <w:ind w:firstLine="398" w:firstLineChars="20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pacing w:val="-6"/>
                <w:kern w:val="0"/>
                <w:sz w:val="21"/>
                <w:szCs w:val="21"/>
                <w:lang w:val="en-US"/>
              </w:rPr>
              <w:t>审查文件名称及文号：</w:t>
            </w:r>
            <w:r>
              <w:rPr>
                <w:rFonts w:hint="default" w:ascii="Times New Roman" w:hAnsi="Times New Roman" w:eastAsia="宋体" w:cs="Times New Roman"/>
                <w:color w:val="auto"/>
                <w:spacing w:val="-6"/>
                <w:kern w:val="0"/>
                <w:sz w:val="21"/>
                <w:szCs w:val="21"/>
                <w:lang w:val="en-US"/>
              </w:rPr>
              <w:t>《关于昌吉高新技术产业开发区总体规划（2014</w:t>
            </w:r>
            <w:r>
              <w:rPr>
                <w:rFonts w:hint="eastAsia" w:cs="Times New Roman"/>
                <w:color w:val="auto"/>
                <w:spacing w:val="-6"/>
                <w:kern w:val="0"/>
                <w:sz w:val="21"/>
                <w:szCs w:val="21"/>
                <w:lang w:val="en-US" w:eastAsia="zh-CN"/>
              </w:rPr>
              <w:t>—</w:t>
            </w:r>
            <w:r>
              <w:rPr>
                <w:rFonts w:hint="default" w:ascii="Times New Roman" w:hAnsi="Times New Roman" w:eastAsia="宋体" w:cs="Times New Roman"/>
                <w:color w:val="auto"/>
                <w:spacing w:val="-6"/>
                <w:kern w:val="0"/>
                <w:sz w:val="21"/>
                <w:szCs w:val="21"/>
                <w:lang w:val="en-US"/>
              </w:rPr>
              <w:t>2030年）环境影响报告书的审查意见》（新环函</w:t>
            </w:r>
            <w:r>
              <w:rPr>
                <w:rFonts w:hint="eastAsia" w:ascii="Times New Roman" w:hAnsi="Times New Roman" w:eastAsia="宋体" w:cs="Times New Roman"/>
                <w:color w:val="auto"/>
                <w:spacing w:val="-6"/>
                <w:kern w:val="0"/>
                <w:sz w:val="21"/>
                <w:szCs w:val="21"/>
                <w:lang w:val="en-US" w:eastAsia="zh-CN"/>
              </w:rPr>
              <w:t>〔2015〕306号</w:t>
            </w:r>
            <w:r>
              <w:rPr>
                <w:rFonts w:hint="default" w:ascii="Times New Roman" w:hAnsi="Times New Roman" w:eastAsia="宋体" w:cs="Times New Roman"/>
                <w:color w:val="auto"/>
                <w:spacing w:val="-6"/>
                <w:kern w:val="0"/>
                <w:sz w:val="21"/>
                <w:szCs w:val="21"/>
                <w:lang w:val="en-US"/>
              </w:rPr>
              <w:t>）</w:t>
            </w:r>
            <w:r>
              <w:rPr>
                <w:rFonts w:hint="eastAsia" w:ascii="Times New Roman" w:hAnsi="Times New Roman" w:eastAsia="宋体" w:cs="Times New Roman"/>
                <w:color w:val="auto"/>
                <w:spacing w:val="-6"/>
                <w:kern w:val="0"/>
                <w:sz w:val="21"/>
                <w:szCs w:val="21"/>
                <w:lang w:val="en-US" w:eastAsia="zh-CN"/>
              </w:rPr>
              <w:t>（2015年3月31日）</w:t>
            </w:r>
          </w:p>
        </w:tc>
      </w:tr>
      <w:tr w14:paraId="503B00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08" w:type="dxa"/>
            <w:noWrap w:val="0"/>
            <w:vAlign w:val="center"/>
          </w:tcPr>
          <w:p w14:paraId="0BB31D39">
            <w:pPr>
              <w:autoSpaceDE w:val="0"/>
              <w:autoSpaceDN w:val="0"/>
              <w:adjustRightInd w:val="0"/>
              <w:snapToGrid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规划及规划环境影响评价符合性分析</w:t>
            </w:r>
          </w:p>
        </w:tc>
        <w:tc>
          <w:tcPr>
            <w:tcW w:w="7762" w:type="dxa"/>
            <w:gridSpan w:val="3"/>
            <w:noWrap w:val="0"/>
            <w:vAlign w:val="center"/>
          </w:tcPr>
          <w:p w14:paraId="13F74F50">
            <w:pPr>
              <w:keepNext w:val="0"/>
              <w:keepLines w:val="0"/>
              <w:pageBreakBefore w:val="0"/>
              <w:widowControl w:val="0"/>
              <w:kinsoku/>
              <w:wordWrap/>
              <w:overflowPunct/>
              <w:topLinePunct w:val="0"/>
              <w:autoSpaceDE w:val="0"/>
              <w:autoSpaceDN w:val="0"/>
              <w:bidi w:val="0"/>
              <w:adjustRightInd/>
              <w:snapToGrid/>
              <w:spacing w:line="360" w:lineRule="auto"/>
              <w:ind w:firstLine="422" w:firstLineChars="200"/>
              <w:jc w:val="both"/>
              <w:textAlignment w:val="auto"/>
              <w:rPr>
                <w:rFonts w:hint="default" w:ascii="Times New Roman" w:hAnsi="Times New Roman" w:eastAsia="宋体" w:cs="Times New Roman"/>
                <w:b/>
                <w:bCs/>
                <w:color w:val="auto"/>
                <w:kern w:val="0"/>
                <w:szCs w:val="21"/>
              </w:rPr>
            </w:pPr>
            <w:r>
              <w:rPr>
                <w:rFonts w:hint="eastAsia" w:cs="Times New Roman"/>
                <w:b/>
                <w:bCs/>
                <w:color w:val="auto"/>
                <w:kern w:val="0"/>
                <w:szCs w:val="21"/>
                <w:lang w:val="en-US" w:eastAsia="zh-CN"/>
              </w:rPr>
              <w:t>1.园区</w:t>
            </w:r>
            <w:r>
              <w:rPr>
                <w:rFonts w:hint="default" w:ascii="Times New Roman" w:hAnsi="Times New Roman" w:eastAsia="宋体" w:cs="Times New Roman"/>
                <w:b/>
                <w:bCs/>
                <w:color w:val="auto"/>
                <w:kern w:val="0"/>
                <w:szCs w:val="21"/>
                <w:lang w:val="en-US" w:eastAsia="zh-CN"/>
              </w:rPr>
              <w:t>规划符合性</w:t>
            </w:r>
          </w:p>
          <w:p w14:paraId="27395102">
            <w:pPr>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both"/>
              <w:textAlignment w:val="auto"/>
              <w:rPr>
                <w:rFonts w:hint="eastAsia"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昌吉高新技术产业开发区成立于1992年（前身系昌吉经济技术高新区），在市区占地面积11.26平方公里，以长宁路为核心区。2006年，为了寻求新的发展空间，在榆树沟镇201省道以南，利用国有荒地规划启动34平方公里的昌吉高新区建设。</w:t>
            </w:r>
            <w:r>
              <w:rPr>
                <w:rFonts w:hint="eastAsia" w:ascii="Times New Roman" w:hAnsi="Times New Roman" w:eastAsia="宋体" w:cs="Times New Roman"/>
                <w:color w:val="auto"/>
                <w:kern w:val="0"/>
                <w:szCs w:val="21"/>
                <w:lang w:val="en-US" w:eastAsia="zh-CN"/>
              </w:rPr>
              <w:t>昌吉国家高新技术产业开发区（以下简称昌吉高新区）于</w:t>
            </w:r>
            <w:r>
              <w:rPr>
                <w:rFonts w:hint="default" w:ascii="Times New Roman" w:hAnsi="Times New Roman" w:eastAsia="宋体" w:cs="Times New Roman"/>
                <w:color w:val="auto"/>
                <w:kern w:val="0"/>
                <w:szCs w:val="21"/>
                <w:lang w:val="en-US" w:eastAsia="zh-CN"/>
              </w:rPr>
              <w:t>2000</w:t>
            </w:r>
            <w:r>
              <w:rPr>
                <w:rFonts w:hint="eastAsia" w:ascii="Times New Roman" w:hAnsi="Times New Roman" w:eastAsia="宋体" w:cs="Times New Roman"/>
                <w:color w:val="auto"/>
                <w:kern w:val="0"/>
                <w:szCs w:val="21"/>
                <w:lang w:val="en-US" w:eastAsia="zh-CN"/>
              </w:rPr>
              <w:t>年</w:t>
            </w:r>
            <w:r>
              <w:rPr>
                <w:rFonts w:hint="default" w:ascii="Times New Roman" w:hAnsi="Times New Roman" w:eastAsia="宋体" w:cs="Times New Roman"/>
                <w:color w:val="auto"/>
                <w:kern w:val="0"/>
                <w:szCs w:val="21"/>
                <w:lang w:val="en-US" w:eastAsia="zh-CN"/>
              </w:rPr>
              <w:t>6</w:t>
            </w:r>
            <w:r>
              <w:rPr>
                <w:rFonts w:hint="eastAsia" w:ascii="Times New Roman" w:hAnsi="Times New Roman" w:eastAsia="宋体" w:cs="Times New Roman"/>
                <w:color w:val="auto"/>
                <w:kern w:val="0"/>
                <w:szCs w:val="21"/>
                <w:lang w:val="en-US" w:eastAsia="zh-CN"/>
              </w:rPr>
              <w:t>月被新疆维吾尔自治区人民政府批准为省级高新区，</w:t>
            </w:r>
            <w:r>
              <w:rPr>
                <w:rFonts w:hint="default" w:ascii="Times New Roman" w:hAnsi="Times New Roman" w:eastAsia="宋体" w:cs="Times New Roman"/>
                <w:color w:val="auto"/>
                <w:kern w:val="0"/>
                <w:szCs w:val="21"/>
                <w:lang w:val="en-US" w:eastAsia="zh-CN"/>
              </w:rPr>
              <w:t>2010</w:t>
            </w:r>
            <w:r>
              <w:rPr>
                <w:rFonts w:hint="eastAsia" w:ascii="Times New Roman" w:hAnsi="Times New Roman" w:eastAsia="宋体" w:cs="Times New Roman"/>
                <w:color w:val="auto"/>
                <w:kern w:val="0"/>
                <w:szCs w:val="21"/>
                <w:lang w:val="en-US" w:eastAsia="zh-CN"/>
              </w:rPr>
              <w:t>年</w:t>
            </w:r>
            <w:r>
              <w:rPr>
                <w:rFonts w:hint="default" w:ascii="Times New Roman" w:hAnsi="Times New Roman" w:eastAsia="宋体" w:cs="Times New Roman"/>
                <w:color w:val="auto"/>
                <w:kern w:val="0"/>
                <w:szCs w:val="21"/>
                <w:lang w:val="en-US" w:eastAsia="zh-CN"/>
              </w:rPr>
              <w:t>9</w:t>
            </w:r>
            <w:r>
              <w:rPr>
                <w:rFonts w:hint="eastAsia" w:ascii="Times New Roman" w:hAnsi="Times New Roman" w:eastAsia="宋体" w:cs="Times New Roman"/>
                <w:color w:val="auto"/>
                <w:kern w:val="0"/>
                <w:szCs w:val="21"/>
                <w:lang w:val="en-US" w:eastAsia="zh-CN"/>
              </w:rPr>
              <w:t>月经</w:t>
            </w:r>
            <w:r>
              <w:rPr>
                <w:rFonts w:hint="eastAsia" w:cs="Times New Roman"/>
                <w:color w:val="auto"/>
                <w:kern w:val="0"/>
                <w:szCs w:val="21"/>
                <w:lang w:val="en-US" w:eastAsia="zh-CN"/>
              </w:rPr>
              <w:t>国务院</w:t>
            </w:r>
            <w:r>
              <w:rPr>
                <w:rFonts w:hint="eastAsia" w:ascii="Times New Roman" w:hAnsi="Times New Roman" w:eastAsia="宋体" w:cs="Times New Roman"/>
                <w:color w:val="auto"/>
                <w:kern w:val="0"/>
                <w:szCs w:val="21"/>
                <w:lang w:val="en-US" w:eastAsia="zh-CN"/>
              </w:rPr>
              <w:t>批准为国家级高新区。</w:t>
            </w:r>
            <w:r>
              <w:rPr>
                <w:rFonts w:hint="default" w:ascii="Times New Roman" w:hAnsi="Times New Roman" w:eastAsia="宋体" w:cs="Times New Roman"/>
                <w:color w:val="auto"/>
                <w:kern w:val="0"/>
                <w:szCs w:val="21"/>
                <w:lang w:val="en-US" w:eastAsia="zh-CN"/>
              </w:rPr>
              <w:t>2014</w:t>
            </w:r>
            <w:r>
              <w:rPr>
                <w:rFonts w:hint="eastAsia" w:ascii="Times New Roman" w:hAnsi="Times New Roman" w:eastAsia="宋体" w:cs="Times New Roman"/>
                <w:color w:val="auto"/>
                <w:kern w:val="0"/>
                <w:szCs w:val="21"/>
                <w:lang w:val="en-US" w:eastAsia="zh-CN"/>
              </w:rPr>
              <w:t>年昌吉高新区委托新疆建筑设计研究院编制完成了《昌吉高新技术产业开发区总体规划（</w:t>
            </w:r>
            <w:r>
              <w:rPr>
                <w:rFonts w:hint="default" w:ascii="Times New Roman" w:hAnsi="Times New Roman" w:eastAsia="宋体" w:cs="Times New Roman"/>
                <w:color w:val="auto"/>
                <w:kern w:val="0"/>
                <w:szCs w:val="21"/>
                <w:lang w:val="en-US" w:eastAsia="zh-CN"/>
              </w:rPr>
              <w:t>2014—2030</w:t>
            </w:r>
            <w:r>
              <w:rPr>
                <w:rFonts w:hint="eastAsia" w:ascii="Times New Roman" w:hAnsi="Times New Roman" w:eastAsia="宋体" w:cs="Times New Roman"/>
                <w:color w:val="auto"/>
                <w:kern w:val="0"/>
                <w:szCs w:val="21"/>
                <w:lang w:val="en-US" w:eastAsia="zh-CN"/>
              </w:rPr>
              <w:t>）》，并于当年</w:t>
            </w:r>
            <w:r>
              <w:rPr>
                <w:rFonts w:hint="default" w:ascii="Times New Roman" w:hAnsi="Times New Roman" w:eastAsia="宋体" w:cs="Times New Roman"/>
                <w:color w:val="auto"/>
                <w:kern w:val="0"/>
                <w:szCs w:val="21"/>
                <w:lang w:val="en-US" w:eastAsia="zh-CN"/>
              </w:rPr>
              <w:t>10</w:t>
            </w:r>
            <w:r>
              <w:rPr>
                <w:rFonts w:hint="eastAsia" w:ascii="Times New Roman" w:hAnsi="Times New Roman" w:eastAsia="宋体" w:cs="Times New Roman"/>
                <w:color w:val="auto"/>
                <w:kern w:val="0"/>
                <w:szCs w:val="21"/>
                <w:lang w:val="en-US" w:eastAsia="zh-CN"/>
              </w:rPr>
              <w:t>月通过昌吉州政府的评审。规划</w:t>
            </w:r>
            <w:r>
              <w:rPr>
                <w:rFonts w:hint="eastAsia" w:cs="Times New Roman"/>
                <w:color w:val="auto"/>
                <w:kern w:val="0"/>
                <w:szCs w:val="21"/>
                <w:lang w:val="en-US" w:eastAsia="zh-CN"/>
              </w:rPr>
              <w:t>分为</w:t>
            </w:r>
            <w:r>
              <w:rPr>
                <w:rFonts w:hint="eastAsia" w:ascii="Times New Roman" w:hAnsi="Times New Roman" w:eastAsia="宋体" w:cs="Times New Roman"/>
                <w:color w:val="auto"/>
                <w:kern w:val="0"/>
                <w:szCs w:val="21"/>
                <w:lang w:val="en-US" w:eastAsia="zh-CN"/>
              </w:rPr>
              <w:t>昌吉高新技术产业开发区扩区规划和榆树沟镇区总体规划两部分，规划建设用地总面积</w:t>
            </w:r>
            <w:r>
              <w:rPr>
                <w:rFonts w:hint="default" w:ascii="Times New Roman" w:hAnsi="Times New Roman" w:eastAsia="宋体" w:cs="Times New Roman"/>
                <w:color w:val="auto"/>
                <w:kern w:val="0"/>
                <w:szCs w:val="21"/>
                <w:lang w:val="en-US" w:eastAsia="zh-CN"/>
              </w:rPr>
              <w:t>71.87km</w:t>
            </w:r>
            <w:r>
              <w:rPr>
                <w:rFonts w:hint="default" w:ascii="Times New Roman" w:hAnsi="Times New Roman" w:eastAsia="宋体" w:cs="Times New Roman"/>
                <w:color w:val="auto"/>
                <w:kern w:val="0"/>
                <w:szCs w:val="21"/>
                <w:vertAlign w:val="superscript"/>
                <w:lang w:val="en-US" w:eastAsia="zh-CN"/>
              </w:rPr>
              <w:t>2</w:t>
            </w:r>
            <w:r>
              <w:rPr>
                <w:rFonts w:hint="eastAsia" w:ascii="Times New Roman" w:hAnsi="Times New Roman" w:eastAsia="宋体" w:cs="Times New Roman"/>
                <w:color w:val="auto"/>
                <w:kern w:val="0"/>
                <w:szCs w:val="21"/>
                <w:lang w:val="en-US" w:eastAsia="zh-CN"/>
              </w:rPr>
              <w:t>，其中高新区规划建设用地面积</w:t>
            </w:r>
            <w:r>
              <w:rPr>
                <w:rFonts w:hint="default" w:ascii="Times New Roman" w:hAnsi="Times New Roman" w:eastAsia="宋体" w:cs="Times New Roman"/>
                <w:color w:val="auto"/>
                <w:kern w:val="0"/>
                <w:szCs w:val="21"/>
                <w:lang w:val="en-US" w:eastAsia="zh-CN"/>
              </w:rPr>
              <w:t>51km</w:t>
            </w:r>
            <w:r>
              <w:rPr>
                <w:rFonts w:hint="default" w:ascii="Times New Roman" w:hAnsi="Times New Roman" w:eastAsia="宋体" w:cs="Times New Roman"/>
                <w:color w:val="auto"/>
                <w:kern w:val="0"/>
                <w:szCs w:val="21"/>
                <w:vertAlign w:val="superscript"/>
                <w:lang w:val="en-US" w:eastAsia="zh-CN"/>
              </w:rPr>
              <w:t>2</w:t>
            </w:r>
            <w:r>
              <w:rPr>
                <w:rFonts w:hint="eastAsia" w:ascii="Times New Roman" w:hAnsi="Times New Roman" w:eastAsia="宋体" w:cs="Times New Roman"/>
                <w:color w:val="auto"/>
                <w:kern w:val="0"/>
                <w:szCs w:val="21"/>
                <w:lang w:val="en-US" w:eastAsia="zh-CN"/>
              </w:rPr>
              <w:t>，镇区规划建设用地面积</w:t>
            </w:r>
            <w:r>
              <w:rPr>
                <w:rFonts w:hint="default" w:ascii="Times New Roman" w:hAnsi="Times New Roman" w:eastAsia="宋体" w:cs="Times New Roman"/>
                <w:color w:val="auto"/>
                <w:kern w:val="0"/>
                <w:szCs w:val="21"/>
                <w:lang w:val="en-US" w:eastAsia="zh-CN"/>
              </w:rPr>
              <w:t>20.87km</w:t>
            </w:r>
            <w:r>
              <w:rPr>
                <w:rFonts w:hint="default" w:ascii="Times New Roman" w:hAnsi="Times New Roman" w:eastAsia="宋体" w:cs="Times New Roman"/>
                <w:color w:val="auto"/>
                <w:kern w:val="0"/>
                <w:szCs w:val="21"/>
                <w:vertAlign w:val="superscript"/>
                <w:lang w:val="en-US" w:eastAsia="zh-CN"/>
              </w:rPr>
              <w:t>2</w:t>
            </w:r>
            <w:r>
              <w:rPr>
                <w:rFonts w:hint="eastAsia" w:ascii="Times New Roman" w:hAnsi="Times New Roman" w:eastAsia="宋体" w:cs="Times New Roman"/>
                <w:color w:val="auto"/>
                <w:kern w:val="0"/>
                <w:szCs w:val="21"/>
                <w:lang w:val="en-US" w:eastAsia="zh-CN"/>
              </w:rPr>
              <w:t>。</w:t>
            </w:r>
          </w:p>
          <w:p w14:paraId="763B0839">
            <w:pPr>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both"/>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en-US"/>
              </w:rPr>
              <w:t>昌吉高新技术产业开发区总体规划（2014</w:t>
            </w:r>
            <w:r>
              <w:rPr>
                <w:rFonts w:hint="eastAsia"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en-US"/>
              </w:rPr>
              <w:t>2030年）环境影响报告书》</w:t>
            </w:r>
            <w:r>
              <w:rPr>
                <w:rFonts w:hint="eastAsia" w:ascii="Times New Roman" w:hAnsi="Times New Roman" w:eastAsia="宋体" w:cs="Times New Roman"/>
                <w:color w:val="auto"/>
                <w:kern w:val="0"/>
                <w:sz w:val="21"/>
                <w:szCs w:val="21"/>
                <w:lang w:val="en-US" w:eastAsia="zh-CN"/>
              </w:rPr>
              <w:t>于2015年3月31日取得原新疆维吾尔自治区环境保护厅</w:t>
            </w:r>
            <w:r>
              <w:rPr>
                <w:rFonts w:hint="default" w:ascii="Times New Roman" w:hAnsi="Times New Roman" w:eastAsia="宋体" w:cs="Times New Roman"/>
                <w:color w:val="auto"/>
                <w:spacing w:val="-6"/>
                <w:kern w:val="0"/>
                <w:sz w:val="21"/>
                <w:szCs w:val="21"/>
                <w:lang w:val="en-US"/>
              </w:rPr>
              <w:t>《关于昌吉高新技术产业开发区总体规划（2014</w:t>
            </w:r>
            <w:r>
              <w:rPr>
                <w:rFonts w:hint="eastAsia" w:cs="Times New Roman"/>
                <w:color w:val="auto"/>
                <w:spacing w:val="-6"/>
                <w:kern w:val="0"/>
                <w:sz w:val="21"/>
                <w:szCs w:val="21"/>
                <w:lang w:val="en-US" w:eastAsia="zh-CN"/>
              </w:rPr>
              <w:t>—</w:t>
            </w:r>
            <w:r>
              <w:rPr>
                <w:rFonts w:hint="default" w:ascii="Times New Roman" w:hAnsi="Times New Roman" w:eastAsia="宋体" w:cs="Times New Roman"/>
                <w:color w:val="auto"/>
                <w:spacing w:val="-6"/>
                <w:kern w:val="0"/>
                <w:sz w:val="21"/>
                <w:szCs w:val="21"/>
                <w:lang w:val="en-US"/>
              </w:rPr>
              <w:t>2030年）环境影响报告书的审查意见》（新环函</w:t>
            </w:r>
            <w:r>
              <w:rPr>
                <w:rFonts w:hint="eastAsia" w:ascii="Times New Roman" w:hAnsi="Times New Roman" w:eastAsia="宋体" w:cs="Times New Roman"/>
                <w:color w:val="auto"/>
                <w:spacing w:val="-6"/>
                <w:kern w:val="0"/>
                <w:sz w:val="21"/>
                <w:szCs w:val="21"/>
                <w:lang w:val="en-US" w:eastAsia="zh-CN"/>
              </w:rPr>
              <w:t>〔2015〕306号</w:t>
            </w:r>
            <w:r>
              <w:rPr>
                <w:rFonts w:hint="default" w:ascii="Times New Roman" w:hAnsi="Times New Roman" w:eastAsia="宋体" w:cs="Times New Roman"/>
                <w:color w:val="auto"/>
                <w:spacing w:val="-6"/>
                <w:kern w:val="0"/>
                <w:sz w:val="21"/>
                <w:szCs w:val="21"/>
                <w:lang w:val="en-US"/>
              </w:rPr>
              <w:t>）</w:t>
            </w:r>
            <w:r>
              <w:rPr>
                <w:rFonts w:hint="eastAsia" w:ascii="Times New Roman" w:hAnsi="Times New Roman" w:eastAsia="宋体" w:cs="Times New Roman"/>
                <w:color w:val="auto"/>
                <w:spacing w:val="-6"/>
                <w:kern w:val="0"/>
                <w:sz w:val="21"/>
                <w:szCs w:val="21"/>
                <w:lang w:val="en-US" w:eastAsia="zh-CN"/>
              </w:rPr>
              <w:t>。</w:t>
            </w:r>
            <w:r>
              <w:rPr>
                <w:rFonts w:hint="eastAsia" w:ascii="Times New Roman" w:hAnsi="Times New Roman" w:eastAsia="宋体" w:cs="Times New Roman"/>
                <w:color w:val="auto"/>
                <w:kern w:val="0"/>
                <w:sz w:val="21"/>
                <w:szCs w:val="21"/>
                <w:lang w:val="en-US" w:eastAsia="zh-CN"/>
              </w:rPr>
              <w:t>昌吉高新技术产业开发区规划建设用地总面积51.00平方公里。东到榆树沟镇行政边界，西到呼图壁边界，南到创新大道和乌奎高速路，北到S201省道和科兴路</w:t>
            </w:r>
            <w:r>
              <w:rPr>
                <w:rFonts w:hint="eastAsia" w:cs="Times New Roman"/>
                <w:color w:val="auto"/>
                <w:kern w:val="0"/>
                <w:sz w:val="21"/>
                <w:szCs w:val="21"/>
                <w:lang w:val="en-US" w:eastAsia="zh-CN"/>
              </w:rPr>
              <w:t>；</w:t>
            </w:r>
            <w:r>
              <w:rPr>
                <w:rFonts w:hint="eastAsia" w:ascii="Times New Roman" w:hAnsi="Times New Roman" w:eastAsia="宋体" w:cs="Times New Roman"/>
                <w:color w:val="auto"/>
                <w:kern w:val="0"/>
                <w:sz w:val="21"/>
                <w:szCs w:val="21"/>
                <w:lang w:val="en-US" w:eastAsia="zh-CN"/>
              </w:rPr>
              <w:t>生活服务配套区位于榆树沟集镇区</w:t>
            </w:r>
            <w:r>
              <w:rPr>
                <w:rFonts w:hint="eastAsia" w:cs="Times New Roman"/>
                <w:color w:val="auto"/>
                <w:kern w:val="0"/>
                <w:sz w:val="21"/>
                <w:szCs w:val="21"/>
                <w:lang w:val="en-US" w:eastAsia="zh-CN"/>
              </w:rPr>
              <w:t>：</w:t>
            </w:r>
            <w:r>
              <w:rPr>
                <w:rFonts w:hint="eastAsia" w:ascii="Times New Roman" w:hAnsi="Times New Roman" w:eastAsia="宋体" w:cs="Times New Roman"/>
                <w:color w:val="auto"/>
                <w:kern w:val="0"/>
                <w:sz w:val="21"/>
                <w:szCs w:val="21"/>
                <w:lang w:val="en-US" w:eastAsia="zh-CN"/>
              </w:rPr>
              <w:t>规划建设用地总面积20.87平方公里。东到榆树沟镇行政边界，西到高新区昌盛路，南到乌奎高速路，北到乌昌大道和创新大道。</w:t>
            </w:r>
          </w:p>
          <w:p w14:paraId="4630BF8E">
            <w:pPr>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both"/>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园区发展定位：以装备制造业、新材料产业、生物科技和食品产业为主，配套现代服务业，将园区打造成为全区重要先进制造业基地，昌吉州生产性服务业创新中心。</w:t>
            </w:r>
          </w:p>
          <w:p w14:paraId="5951AFF4">
            <w:pPr>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both"/>
              <w:textAlignment w:val="auto"/>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 w:val="21"/>
                <w:szCs w:val="21"/>
                <w:lang w:val="en-US" w:eastAsia="zh-CN"/>
              </w:rPr>
              <w:t>规划期限</w:t>
            </w:r>
            <w:r>
              <w:rPr>
                <w:rFonts w:hint="eastAsia" w:cs="Times New Roman"/>
                <w:color w:val="auto"/>
                <w:kern w:val="0"/>
                <w:sz w:val="21"/>
                <w:szCs w:val="21"/>
                <w:lang w:val="en-US" w:eastAsia="zh-CN"/>
              </w:rPr>
              <w:t>：</w:t>
            </w:r>
            <w:r>
              <w:rPr>
                <w:rFonts w:hint="eastAsia" w:ascii="Times New Roman" w:hAnsi="Times New Roman" w:eastAsia="宋体" w:cs="Times New Roman"/>
                <w:color w:val="auto"/>
                <w:kern w:val="0"/>
                <w:sz w:val="21"/>
                <w:szCs w:val="21"/>
                <w:lang w:val="en-US" w:eastAsia="zh-CN"/>
              </w:rPr>
              <w:t>昌吉高新区总体规划分为近期、中期和远期三个阶段，近期(2014</w:t>
            </w:r>
            <w:r>
              <w:rPr>
                <w:rFonts w:hint="eastAsia" w:cs="Times New Roman"/>
                <w:color w:val="auto"/>
                <w:kern w:val="0"/>
                <w:sz w:val="21"/>
                <w:szCs w:val="21"/>
                <w:lang w:val="en-US" w:eastAsia="zh-CN"/>
              </w:rPr>
              <w:t>—</w:t>
            </w:r>
            <w:r>
              <w:rPr>
                <w:rFonts w:hint="eastAsia" w:ascii="Times New Roman" w:hAnsi="Times New Roman" w:eastAsia="宋体" w:cs="Times New Roman"/>
                <w:color w:val="auto"/>
                <w:kern w:val="0"/>
                <w:sz w:val="21"/>
                <w:szCs w:val="21"/>
                <w:lang w:val="en-US" w:eastAsia="zh-CN"/>
              </w:rPr>
              <w:t>2020年)、中期(2021</w:t>
            </w:r>
            <w:r>
              <w:rPr>
                <w:rFonts w:hint="eastAsia" w:cs="Times New Roman"/>
                <w:color w:val="auto"/>
                <w:kern w:val="0"/>
                <w:sz w:val="21"/>
                <w:szCs w:val="21"/>
                <w:lang w:val="en-US" w:eastAsia="zh-CN"/>
              </w:rPr>
              <w:t>—</w:t>
            </w:r>
            <w:r>
              <w:rPr>
                <w:rFonts w:hint="eastAsia" w:ascii="Times New Roman" w:hAnsi="Times New Roman" w:eastAsia="宋体" w:cs="Times New Roman"/>
                <w:color w:val="auto"/>
                <w:kern w:val="0"/>
                <w:sz w:val="21"/>
                <w:szCs w:val="21"/>
                <w:lang w:val="en-US" w:eastAsia="zh-CN"/>
              </w:rPr>
              <w:t>2025年)和远期(2026</w:t>
            </w:r>
            <w:r>
              <w:rPr>
                <w:rFonts w:hint="eastAsia" w:cs="Times New Roman"/>
                <w:color w:val="auto"/>
                <w:kern w:val="0"/>
                <w:sz w:val="21"/>
                <w:szCs w:val="21"/>
                <w:lang w:val="en-US" w:eastAsia="zh-CN"/>
              </w:rPr>
              <w:t>—</w:t>
            </w:r>
            <w:r>
              <w:rPr>
                <w:rFonts w:hint="eastAsia" w:ascii="Times New Roman" w:hAnsi="Times New Roman" w:eastAsia="宋体" w:cs="Times New Roman"/>
                <w:color w:val="auto"/>
                <w:kern w:val="0"/>
                <w:sz w:val="21"/>
                <w:szCs w:val="21"/>
                <w:lang w:val="en-US" w:eastAsia="zh-CN"/>
              </w:rPr>
              <w:t>2030年)。近期规划规模为42.49平方公里，远期规划规模为71.87平方公里。</w:t>
            </w:r>
          </w:p>
          <w:p w14:paraId="54969ED2">
            <w:pPr>
              <w:keepNext/>
              <w:keepLines/>
              <w:pageBreakBefore w:val="0"/>
              <w:widowControl w:val="0"/>
              <w:kinsoku/>
              <w:wordWrap/>
              <w:overflowPunct/>
              <w:topLinePunct w:val="0"/>
              <w:autoSpaceDE/>
              <w:autoSpaceDN/>
              <w:bidi w:val="0"/>
              <w:adjustRightInd/>
              <w:snapToGrid/>
              <w:spacing w:line="360" w:lineRule="auto"/>
              <w:ind w:firstLine="420" w:firstLineChars="200"/>
              <w:jc w:val="both"/>
              <w:textAlignment w:val="auto"/>
              <w:outlineLvl w:val="1"/>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根据《昌吉高新技术产业开发区总体规划（2014-2030</w:t>
            </w:r>
            <w:r>
              <w:rPr>
                <w:rFonts w:hint="eastAsia" w:ascii="Times New Roman" w:hAnsi="Times New Roman" w:eastAsia="宋体" w:cs="Times New Roman"/>
                <w:color w:val="auto"/>
                <w:sz w:val="21"/>
                <w:szCs w:val="21"/>
                <w:highlight w:val="none"/>
                <w:lang w:val="en-US" w:eastAsia="zh-CN"/>
              </w:rPr>
              <w:t>年）</w:t>
            </w:r>
            <w:r>
              <w:rPr>
                <w:rFonts w:hint="default" w:ascii="Times New Roman" w:hAnsi="Times New Roman" w:eastAsia="宋体" w:cs="Times New Roman"/>
                <w:color w:val="auto"/>
                <w:sz w:val="21"/>
                <w:szCs w:val="21"/>
                <w:highlight w:val="none"/>
                <w:lang w:val="en-US" w:eastAsia="zh-CN"/>
              </w:rPr>
              <w:t>环境影响报告书》及审查意见的要求，禁止建设不符合国家经济政策、环保政策、技术政策及工业园区产业定位的</w:t>
            </w:r>
            <w:r>
              <w:rPr>
                <w:rFonts w:hint="eastAsia" w:ascii="Times New Roman" w:hAnsi="Times New Roman" w:eastAsia="宋体" w:cs="Times New Roman"/>
                <w:color w:val="auto"/>
                <w:sz w:val="21"/>
                <w:szCs w:val="21"/>
                <w:highlight w:val="none"/>
                <w:lang w:val="en-US" w:eastAsia="zh-CN"/>
              </w:rPr>
              <w:t>项目，</w:t>
            </w:r>
            <w:r>
              <w:rPr>
                <w:rFonts w:hint="default" w:ascii="Times New Roman" w:hAnsi="Times New Roman" w:eastAsia="宋体" w:cs="Times New Roman"/>
                <w:color w:val="auto"/>
                <w:sz w:val="21"/>
                <w:szCs w:val="21"/>
                <w:highlight w:val="none"/>
                <w:lang w:val="en-US" w:eastAsia="zh-CN"/>
              </w:rPr>
              <w:t>废水含难降解的有机物、“三致”污染物、重金属等物质含量高的项目</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废水经预处理达不到昌吉高新技术产业开发区污水处理厂接纳标准的项目</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污染严重的“十五小”及“新五小”企业项目</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污染难以治理或环保设施不稳定达标的项目入园。</w:t>
            </w:r>
          </w:p>
          <w:p w14:paraId="6D1B2B5B">
            <w:pPr>
              <w:keepNext/>
              <w:keepLines/>
              <w:pageBreakBefore w:val="0"/>
              <w:widowControl w:val="0"/>
              <w:kinsoku/>
              <w:wordWrap/>
              <w:overflowPunct/>
              <w:topLinePunct w:val="0"/>
              <w:autoSpaceDE/>
              <w:autoSpaceDN/>
              <w:bidi w:val="0"/>
              <w:adjustRightInd/>
              <w:snapToGrid/>
              <w:spacing w:line="360" w:lineRule="auto"/>
              <w:ind w:firstLine="420" w:firstLineChars="200"/>
              <w:jc w:val="both"/>
              <w:textAlignment w:val="auto"/>
              <w:outlineLvl w:val="1"/>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根据规划，园区总体划分五个排水分区，以312国道为界，国道以北为两个排水分区，国道以南为三个排水分区。规划污水干管沿东西和南北向主干道敷设，规划设置三条污水截流主干管，污水主干管径d800--1500mm。道路红线宽度超过50米的干道，在道路两侧布置排水管线。本项目所在园区排水管线完善。昌吉高新区内地下天然气储量丰富，新疆石油管理局呼图壁气田的五口彩旗经及其输管道位于园区内西北侧，集输管道管径</w:t>
            </w:r>
            <w:r>
              <w:rPr>
                <w:rFonts w:hint="default" w:ascii="Times New Roman" w:hAnsi="Times New Roman" w:eastAsia="宋体" w:cs="Times New Roman"/>
                <w:color w:val="auto"/>
                <w:sz w:val="21"/>
                <w:szCs w:val="21"/>
                <w:highlight w:val="none"/>
                <w:lang w:val="en-US" w:eastAsia="zh-CN"/>
              </w:rPr>
              <w:t>DN80</w:t>
            </w:r>
            <w:r>
              <w:rPr>
                <w:rFonts w:hint="eastAsia" w:ascii="Times New Roman" w:hAnsi="Times New Roman" w:eastAsia="宋体" w:cs="Times New Roman"/>
                <w:color w:val="auto"/>
                <w:sz w:val="21"/>
                <w:szCs w:val="21"/>
                <w:highlight w:val="none"/>
                <w:lang w:val="en-US" w:eastAsia="zh-CN"/>
              </w:rPr>
              <w:t>，平均埋深</w:t>
            </w:r>
            <w:r>
              <w:rPr>
                <w:rFonts w:hint="default" w:ascii="Times New Roman" w:hAnsi="Times New Roman" w:eastAsia="宋体" w:cs="Times New Roman"/>
                <w:color w:val="auto"/>
                <w:sz w:val="21"/>
                <w:szCs w:val="21"/>
                <w:highlight w:val="none"/>
                <w:lang w:val="en-US" w:eastAsia="zh-CN"/>
              </w:rPr>
              <w:t>1.5</w:t>
            </w:r>
            <w:r>
              <w:rPr>
                <w:rFonts w:hint="eastAsia" w:ascii="Times New Roman" w:hAnsi="Times New Roman" w:eastAsia="宋体" w:cs="Times New Roman"/>
                <w:color w:val="auto"/>
                <w:sz w:val="21"/>
                <w:szCs w:val="21"/>
                <w:highlight w:val="none"/>
                <w:lang w:val="en-US" w:eastAsia="zh-CN"/>
              </w:rPr>
              <w:t>米，气井以</w:t>
            </w:r>
            <w:r>
              <w:rPr>
                <w:rFonts w:hint="default" w:ascii="Times New Roman" w:hAnsi="Times New Roman" w:eastAsia="宋体" w:cs="Times New Roman"/>
                <w:color w:val="auto"/>
                <w:sz w:val="21"/>
                <w:szCs w:val="21"/>
                <w:highlight w:val="none"/>
                <w:lang w:val="en-US" w:eastAsia="zh-CN"/>
              </w:rPr>
              <w:t>1.4MPa~1.5MPa</w:t>
            </w:r>
            <w:r>
              <w:rPr>
                <w:rFonts w:hint="eastAsia" w:ascii="Times New Roman" w:hAnsi="Times New Roman" w:eastAsia="宋体" w:cs="Times New Roman"/>
                <w:color w:val="auto"/>
                <w:sz w:val="21"/>
                <w:szCs w:val="21"/>
                <w:highlight w:val="none"/>
                <w:lang w:val="en-US" w:eastAsia="zh-CN"/>
              </w:rPr>
              <w:t>的稳定压力供气，集输管向西至呼图壁整理站。园区内气源为新疆油田油气储运分公司</w:t>
            </w:r>
            <w:r>
              <w:rPr>
                <w:rFonts w:hint="default" w:ascii="Times New Roman" w:hAnsi="Times New Roman" w:eastAsia="宋体" w:cs="Times New Roman"/>
                <w:color w:val="auto"/>
                <w:sz w:val="21"/>
                <w:szCs w:val="21"/>
                <w:highlight w:val="none"/>
                <w:lang w:val="en-US" w:eastAsia="zh-CN"/>
              </w:rPr>
              <w:t>706</w:t>
            </w:r>
            <w:r>
              <w:rPr>
                <w:rFonts w:hint="eastAsia" w:ascii="Times New Roman" w:hAnsi="Times New Roman" w:eastAsia="宋体" w:cs="Times New Roman"/>
                <w:color w:val="auto"/>
                <w:sz w:val="21"/>
                <w:szCs w:val="21"/>
                <w:highlight w:val="none"/>
                <w:lang w:val="en-US" w:eastAsia="zh-CN"/>
              </w:rPr>
              <w:t>站，供气方式采用管道输送园区现有天然气门站一座，位于经七路,调压站一座，位于昌盛路,燃气供应可满足需求。根据园区规划，园区内企业产生的危险废物均送往危险废物持证单位统一处理。</w:t>
            </w:r>
          </w:p>
          <w:p w14:paraId="450D2545">
            <w:pPr>
              <w:keepNext/>
              <w:keepLines/>
              <w:pageBreakBefore w:val="0"/>
              <w:widowControl w:val="0"/>
              <w:kinsoku/>
              <w:wordWrap/>
              <w:overflowPunct/>
              <w:topLinePunct w:val="0"/>
              <w:autoSpaceDE/>
              <w:autoSpaceDN/>
              <w:bidi w:val="0"/>
              <w:adjustRightInd/>
              <w:snapToGrid/>
              <w:spacing w:line="360" w:lineRule="auto"/>
              <w:ind w:firstLine="420" w:firstLineChars="200"/>
              <w:jc w:val="both"/>
              <w:textAlignment w:val="auto"/>
              <w:outlineLvl w:val="1"/>
              <w:rPr>
                <w:rFonts w:hint="default" w:ascii="Times New Roman" w:hAnsi="Times New Roman" w:eastAsia="宋体" w:cs="Times New Roman"/>
                <w:color w:val="auto"/>
                <w:sz w:val="21"/>
                <w:szCs w:val="21"/>
                <w:highlight w:val="yellow"/>
                <w:lang w:val="en-US" w:eastAsia="zh-CN"/>
              </w:rPr>
            </w:pPr>
            <w:r>
              <w:rPr>
                <w:rFonts w:hint="eastAsia" w:ascii="Times New Roman" w:hAnsi="Times New Roman" w:eastAsia="宋体" w:cs="Times New Roman"/>
                <w:color w:val="auto"/>
                <w:sz w:val="21"/>
                <w:szCs w:val="21"/>
                <w:lang w:val="en-US" w:eastAsia="zh-CN"/>
              </w:rPr>
              <w:t>本项目位于</w:t>
            </w:r>
            <w:r>
              <w:rPr>
                <w:rFonts w:hint="default" w:ascii="Times New Roman" w:hAnsi="Times New Roman" w:eastAsia="宋体" w:cs="Times New Roman"/>
                <w:color w:val="auto"/>
                <w:sz w:val="21"/>
                <w:szCs w:val="21"/>
                <w:highlight w:val="none"/>
                <w:lang w:val="en-US" w:eastAsia="zh-CN"/>
              </w:rPr>
              <w:t>昌吉高新技术产业开发区</w:t>
            </w:r>
            <w:r>
              <w:rPr>
                <w:rFonts w:hint="eastAsia" w:ascii="Times New Roman" w:hAnsi="Times New Roman" w:eastAsia="宋体" w:cs="Times New Roman"/>
                <w:color w:val="auto"/>
                <w:sz w:val="21"/>
                <w:szCs w:val="21"/>
                <w:highlight w:val="none"/>
                <w:lang w:val="en-US" w:eastAsia="zh-CN"/>
              </w:rPr>
              <w:t>综合产业区，属于</w:t>
            </w:r>
            <w:r>
              <w:rPr>
                <w:rFonts w:hint="eastAsia" w:cs="Times New Roman"/>
                <w:color w:val="auto"/>
                <w:sz w:val="21"/>
                <w:szCs w:val="21"/>
                <w:highlight w:val="none"/>
                <w:lang w:val="en-US" w:eastAsia="zh-CN"/>
              </w:rPr>
              <w:t>钢</w:t>
            </w:r>
            <w:r>
              <w:rPr>
                <w:rFonts w:hint="eastAsia" w:ascii="Times New Roman" w:hAnsi="Times New Roman" w:eastAsia="宋体" w:cs="Times New Roman"/>
                <w:color w:val="auto"/>
                <w:sz w:val="21"/>
                <w:szCs w:val="21"/>
                <w:highlight w:val="none"/>
                <w:lang w:val="en-US" w:eastAsia="zh-CN"/>
              </w:rPr>
              <w:t>压延加工项目，项目用地为工业用地，符合园区产业发展定位，不属于园区限制和禁入产业</w:t>
            </w:r>
            <w:r>
              <w:rPr>
                <w:rFonts w:hint="default" w:ascii="Times New Roman" w:hAnsi="Times New Roman" w:eastAsia="宋体" w:cs="Times New Roman"/>
                <w:color w:val="auto"/>
                <w:sz w:val="21"/>
                <w:szCs w:val="21"/>
                <w:highlight w:val="none"/>
                <w:lang w:val="en-US" w:eastAsia="zh-CN"/>
              </w:rPr>
              <w:t>。</w:t>
            </w:r>
            <w:r>
              <w:rPr>
                <w:rFonts w:hint="eastAsia"/>
                <w:color w:val="auto"/>
                <w:sz w:val="21"/>
                <w:szCs w:val="21"/>
                <w:highlight w:val="none"/>
                <w:lang w:val="en-US" w:eastAsia="zh-CN"/>
              </w:rPr>
              <w:t>本项目与昌吉高新技术产业开发区功能区划相对位置图见附图5。</w:t>
            </w:r>
          </w:p>
          <w:p w14:paraId="3CFA36DF">
            <w:pPr>
              <w:keepNext/>
              <w:keepLines/>
              <w:pageBreakBefore w:val="0"/>
              <w:widowControl w:val="0"/>
              <w:kinsoku/>
              <w:wordWrap/>
              <w:overflowPunct/>
              <w:topLinePunct w:val="0"/>
              <w:autoSpaceDE/>
              <w:autoSpaceDN/>
              <w:bidi w:val="0"/>
              <w:adjustRightInd/>
              <w:snapToGrid/>
              <w:spacing w:line="360" w:lineRule="auto"/>
              <w:ind w:firstLine="420" w:firstLineChars="200"/>
              <w:jc w:val="both"/>
              <w:textAlignment w:val="auto"/>
              <w:outlineLvl w:val="1"/>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本项目与</w:t>
            </w:r>
            <w:r>
              <w:rPr>
                <w:rFonts w:hint="default" w:ascii="Times New Roman" w:hAnsi="Times New Roman" w:eastAsia="宋体" w:cs="Times New Roman"/>
                <w:color w:val="auto"/>
                <w:sz w:val="21"/>
                <w:szCs w:val="21"/>
                <w:lang w:val="en-US" w:eastAsia="zh-CN"/>
              </w:rPr>
              <w:t>《昌吉高新技术产业开发区总体规划（2014-2030）环境影响报告书》及审查意见符合性分析</w:t>
            </w:r>
            <w:r>
              <w:rPr>
                <w:rFonts w:hint="eastAsia" w:ascii="Times New Roman" w:hAnsi="Times New Roman" w:eastAsia="宋体" w:cs="Times New Roman"/>
                <w:color w:val="auto"/>
                <w:sz w:val="21"/>
                <w:szCs w:val="21"/>
                <w:lang w:val="en-US" w:eastAsia="zh-CN"/>
              </w:rPr>
              <w:t>见下表。</w:t>
            </w:r>
          </w:p>
          <w:p w14:paraId="0993A588">
            <w:pPr>
              <w:pStyle w:val="210"/>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表1-1本项目与《昌吉高新技术产业开发区总体规划（2014-2030）环境影响报告书》及审查意见符合性分析</w:t>
            </w:r>
          </w:p>
          <w:tbl>
            <w:tblPr>
              <w:tblStyle w:val="34"/>
              <w:tblW w:w="4998"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Layout w:type="autofit"/>
              <w:tblCellMar>
                <w:top w:w="0" w:type="dxa"/>
                <w:left w:w="108" w:type="dxa"/>
                <w:bottom w:w="0" w:type="dxa"/>
                <w:right w:w="108" w:type="dxa"/>
              </w:tblCellMar>
            </w:tblPr>
            <w:tblGrid>
              <w:gridCol w:w="1301"/>
              <w:gridCol w:w="3058"/>
              <w:gridCol w:w="2526"/>
              <w:gridCol w:w="643"/>
            </w:tblGrid>
            <w:tr w14:paraId="04761684">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c>
                <w:tcPr>
                  <w:tcW w:w="864" w:type="pct"/>
                  <w:tcBorders>
                    <w:tl2br w:val="nil"/>
                    <w:tr2bl w:val="nil"/>
                  </w:tcBorders>
                  <w:noWrap w:val="0"/>
                  <w:vAlign w:val="center"/>
                </w:tcPr>
                <w:p w14:paraId="0461B1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18"/>
                      <w:szCs w:val="18"/>
                      <w:lang w:val="en-US" w:eastAsia="zh-CN"/>
                    </w:rPr>
                  </w:pPr>
                  <w:r>
                    <w:rPr>
                      <w:rFonts w:hint="eastAsia"/>
                      <w:b/>
                      <w:bCs/>
                      <w:color w:val="auto"/>
                      <w:sz w:val="18"/>
                      <w:szCs w:val="18"/>
                      <w:lang w:val="en-US" w:eastAsia="zh-CN"/>
                    </w:rPr>
                    <w:t>文件</w:t>
                  </w:r>
                </w:p>
              </w:tc>
              <w:tc>
                <w:tcPr>
                  <w:tcW w:w="2030" w:type="pct"/>
                  <w:tcBorders>
                    <w:tl2br w:val="nil"/>
                    <w:tr2bl w:val="nil"/>
                  </w:tcBorders>
                  <w:noWrap w:val="0"/>
                  <w:vAlign w:val="center"/>
                </w:tcPr>
                <w:p w14:paraId="0F82E78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18"/>
                      <w:szCs w:val="18"/>
                      <w:lang w:val="en-US" w:eastAsia="zh-CN"/>
                    </w:rPr>
                  </w:pPr>
                  <w:r>
                    <w:rPr>
                      <w:rFonts w:hint="default"/>
                      <w:b/>
                      <w:bCs/>
                      <w:color w:val="auto"/>
                      <w:sz w:val="18"/>
                      <w:szCs w:val="18"/>
                      <w:lang w:val="en-US" w:eastAsia="zh-CN"/>
                    </w:rPr>
                    <w:t>规划要求</w:t>
                  </w:r>
                </w:p>
              </w:tc>
              <w:tc>
                <w:tcPr>
                  <w:tcW w:w="1677" w:type="pct"/>
                  <w:tcBorders>
                    <w:tl2br w:val="nil"/>
                    <w:tr2bl w:val="nil"/>
                  </w:tcBorders>
                  <w:noWrap w:val="0"/>
                  <w:vAlign w:val="center"/>
                </w:tcPr>
                <w:p w14:paraId="0FE621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18"/>
                      <w:szCs w:val="18"/>
                      <w:lang w:val="en-US" w:eastAsia="zh-CN"/>
                    </w:rPr>
                  </w:pPr>
                  <w:r>
                    <w:rPr>
                      <w:rFonts w:hint="default"/>
                      <w:b/>
                      <w:bCs/>
                      <w:color w:val="auto"/>
                      <w:sz w:val="18"/>
                      <w:szCs w:val="18"/>
                      <w:lang w:val="en-US" w:eastAsia="zh-CN"/>
                    </w:rPr>
                    <w:t>项目情况</w:t>
                  </w:r>
                </w:p>
              </w:tc>
              <w:tc>
                <w:tcPr>
                  <w:tcW w:w="427" w:type="pct"/>
                  <w:tcBorders>
                    <w:tl2br w:val="nil"/>
                    <w:tr2bl w:val="nil"/>
                  </w:tcBorders>
                  <w:noWrap w:val="0"/>
                  <w:vAlign w:val="center"/>
                </w:tcPr>
                <w:p w14:paraId="174FDE5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18"/>
                      <w:szCs w:val="18"/>
                      <w:lang w:val="en-US" w:eastAsia="zh-CN"/>
                    </w:rPr>
                  </w:pPr>
                  <w:r>
                    <w:rPr>
                      <w:rFonts w:hint="default"/>
                      <w:b/>
                      <w:bCs/>
                      <w:color w:val="auto"/>
                      <w:sz w:val="18"/>
                      <w:szCs w:val="18"/>
                      <w:lang w:val="en-US" w:eastAsia="zh-CN"/>
                    </w:rPr>
                    <w:t>符合性</w:t>
                  </w:r>
                </w:p>
              </w:tc>
            </w:tr>
            <w:tr w14:paraId="78913F64">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c>
                <w:tcPr>
                  <w:tcW w:w="864" w:type="pct"/>
                  <w:vMerge w:val="restart"/>
                  <w:tcBorders>
                    <w:tl2br w:val="nil"/>
                    <w:tr2bl w:val="nil"/>
                  </w:tcBorders>
                  <w:noWrap w:val="0"/>
                  <w:vAlign w:val="center"/>
                </w:tcPr>
                <w:p w14:paraId="717A96E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sz w:val="18"/>
                      <w:szCs w:val="18"/>
                      <w:lang w:val="en-US" w:eastAsia="zh-CN"/>
                    </w:rPr>
                  </w:pPr>
                  <w:r>
                    <w:rPr>
                      <w:rFonts w:hint="default" w:ascii="Times New Roman" w:hAnsi="Times New Roman" w:cs="Times New Roman"/>
                      <w:color w:val="auto"/>
                      <w:sz w:val="18"/>
                      <w:szCs w:val="18"/>
                      <w:highlight w:val="none"/>
                      <w:vertAlign w:val="baseline"/>
                      <w:lang w:eastAsia="zh-CN"/>
                    </w:rPr>
                    <w:t>《昌吉高新技术产业开发区总体规划（</w:t>
                  </w:r>
                  <w:r>
                    <w:rPr>
                      <w:rFonts w:hint="default" w:ascii="Times New Roman" w:hAnsi="Times New Roman" w:cs="Times New Roman"/>
                      <w:color w:val="auto"/>
                      <w:sz w:val="18"/>
                      <w:szCs w:val="18"/>
                      <w:highlight w:val="none"/>
                      <w:vertAlign w:val="baseline"/>
                      <w:lang w:val="en-US" w:eastAsia="zh-CN"/>
                    </w:rPr>
                    <w:t>2014</w:t>
                  </w:r>
                  <w:r>
                    <w:rPr>
                      <w:rFonts w:hint="eastAsia" w:cs="Times New Roman"/>
                      <w:color w:val="auto"/>
                      <w:sz w:val="18"/>
                      <w:szCs w:val="18"/>
                      <w:highlight w:val="none"/>
                      <w:vertAlign w:val="baseline"/>
                      <w:lang w:val="en-US" w:eastAsia="zh-CN"/>
                    </w:rPr>
                    <w:t>—</w:t>
                  </w:r>
                  <w:r>
                    <w:rPr>
                      <w:rFonts w:hint="default" w:ascii="Times New Roman" w:hAnsi="Times New Roman" w:cs="Times New Roman"/>
                      <w:color w:val="auto"/>
                      <w:sz w:val="18"/>
                      <w:szCs w:val="18"/>
                      <w:highlight w:val="none"/>
                      <w:vertAlign w:val="baseline"/>
                      <w:lang w:val="en-US" w:eastAsia="zh-CN"/>
                    </w:rPr>
                    <w:t>2030年</w:t>
                  </w:r>
                  <w:r>
                    <w:rPr>
                      <w:rFonts w:hint="default" w:ascii="Times New Roman" w:hAnsi="Times New Roman" w:cs="Times New Roman"/>
                      <w:color w:val="auto"/>
                      <w:sz w:val="18"/>
                      <w:szCs w:val="18"/>
                      <w:highlight w:val="none"/>
                      <w:vertAlign w:val="baseline"/>
                      <w:lang w:eastAsia="zh-CN"/>
                    </w:rPr>
                    <w:t>）环境影响报告书》</w:t>
                  </w:r>
                </w:p>
              </w:tc>
              <w:tc>
                <w:tcPr>
                  <w:tcW w:w="2030" w:type="pct"/>
                  <w:tcBorders>
                    <w:tl2br w:val="nil"/>
                    <w:tr2bl w:val="nil"/>
                  </w:tcBorders>
                  <w:noWrap w:val="0"/>
                  <w:vAlign w:val="top"/>
                </w:tcPr>
                <w:p w14:paraId="04399114">
                  <w:pPr>
                    <w:pStyle w:val="3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leftChars="0"/>
                    <w:jc w:val="left"/>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（1）大气环境影响</w:t>
                  </w:r>
                </w:p>
                <w:p w14:paraId="65B7DC73">
                  <w:pPr>
                    <w:pStyle w:val="3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left="0" w:leftChars="0" w:firstLine="0" w:firstLineChars="0"/>
                    <w:jc w:val="left"/>
                    <w:textAlignment w:val="auto"/>
                    <w:rPr>
                      <w:rFonts w:hint="default" w:ascii="Times New Roman" w:hAnsi="Times New Roman" w:cs="Times New Roman"/>
                      <w:b/>
                      <w:bCs/>
                      <w:color w:val="auto"/>
                      <w:sz w:val="18"/>
                      <w:szCs w:val="18"/>
                      <w:lang w:val="en-US" w:eastAsia="zh-CN"/>
                    </w:rPr>
                  </w:pPr>
                  <w:r>
                    <w:rPr>
                      <w:rFonts w:hint="default" w:ascii="Times New Roman" w:hAnsi="Times New Roman" w:cs="Times New Roman"/>
                      <w:color w:val="auto"/>
                      <w:sz w:val="18"/>
                      <w:szCs w:val="18"/>
                    </w:rPr>
                    <w:t>工业园区主要入驻企业污染物排放对评价区的SO</w:t>
                  </w:r>
                  <w:r>
                    <w:rPr>
                      <w:rFonts w:hint="default" w:ascii="Times New Roman" w:hAnsi="Times New Roman" w:cs="Times New Roman"/>
                      <w:color w:val="auto"/>
                      <w:sz w:val="18"/>
                      <w:szCs w:val="18"/>
                      <w:vertAlign w:val="subscript"/>
                    </w:rPr>
                    <w:t>2</w:t>
                  </w:r>
                  <w:r>
                    <w:rPr>
                      <w:rFonts w:hint="default" w:ascii="Times New Roman" w:hAnsi="Times New Roman" w:cs="Times New Roman"/>
                      <w:color w:val="auto"/>
                      <w:sz w:val="18"/>
                      <w:szCs w:val="18"/>
                    </w:rPr>
                    <w:t>、NOx、TSP浓度最大贡献值较低，主要污染物对评价区各敏感点环境空气质量产生影响较少。园区规划期环境影响是可以接受的</w:t>
                  </w:r>
                  <w:r>
                    <w:rPr>
                      <w:rFonts w:hint="default" w:ascii="Times New Roman" w:hAnsi="Times New Roman" w:cs="Times New Roman"/>
                      <w:color w:val="auto"/>
                      <w:sz w:val="18"/>
                      <w:szCs w:val="18"/>
                      <w:lang w:eastAsia="zh-CN"/>
                    </w:rPr>
                    <w:t>。</w:t>
                  </w:r>
                </w:p>
              </w:tc>
              <w:tc>
                <w:tcPr>
                  <w:tcW w:w="1677" w:type="pct"/>
                  <w:tcBorders>
                    <w:tl2br w:val="nil"/>
                    <w:tr2bl w:val="nil"/>
                  </w:tcBorders>
                  <w:noWrap w:val="0"/>
                  <w:vAlign w:val="center"/>
                </w:tcPr>
                <w:p w14:paraId="201AB3D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bCs/>
                      <w:color w:val="auto"/>
                      <w:sz w:val="18"/>
                      <w:szCs w:val="18"/>
                      <w:lang w:val="en-US" w:eastAsia="zh-CN"/>
                    </w:rPr>
                  </w:pPr>
                  <w:r>
                    <w:rPr>
                      <w:rFonts w:hint="eastAsia" w:cs="Times New Roman"/>
                      <w:b w:val="0"/>
                      <w:bCs w:val="0"/>
                      <w:color w:val="auto"/>
                      <w:sz w:val="18"/>
                      <w:szCs w:val="18"/>
                      <w:lang w:val="en-US" w:eastAsia="zh-CN"/>
                    </w:rPr>
                    <w:t>本项目废气全部达标排放</w:t>
                  </w:r>
                </w:p>
              </w:tc>
              <w:tc>
                <w:tcPr>
                  <w:tcW w:w="427" w:type="pct"/>
                  <w:tcBorders>
                    <w:tl2br w:val="nil"/>
                    <w:tr2bl w:val="nil"/>
                  </w:tcBorders>
                  <w:noWrap w:val="0"/>
                  <w:vAlign w:val="center"/>
                </w:tcPr>
                <w:p w14:paraId="0DAB2DF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18"/>
                      <w:szCs w:val="18"/>
                      <w:lang w:val="en-US" w:eastAsia="zh-CN"/>
                    </w:rPr>
                  </w:pPr>
                  <w:r>
                    <w:rPr>
                      <w:rFonts w:hint="eastAsia"/>
                      <w:b w:val="0"/>
                      <w:bCs w:val="0"/>
                      <w:color w:val="auto"/>
                      <w:sz w:val="18"/>
                      <w:szCs w:val="18"/>
                      <w:lang w:val="en-US" w:eastAsia="zh-CN"/>
                    </w:rPr>
                    <w:t>符合</w:t>
                  </w:r>
                </w:p>
              </w:tc>
            </w:tr>
            <w:tr w14:paraId="542E0420">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c>
                <w:tcPr>
                  <w:tcW w:w="864" w:type="pct"/>
                  <w:vMerge w:val="continue"/>
                  <w:tcBorders>
                    <w:tl2br w:val="nil"/>
                    <w:tr2bl w:val="nil"/>
                  </w:tcBorders>
                  <w:noWrap w:val="0"/>
                  <w:vAlign w:val="center"/>
                </w:tcPr>
                <w:p w14:paraId="7C1D00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sz w:val="18"/>
                      <w:szCs w:val="18"/>
                      <w:lang w:val="en-US" w:eastAsia="zh-CN"/>
                    </w:rPr>
                  </w:pPr>
                </w:p>
              </w:tc>
              <w:tc>
                <w:tcPr>
                  <w:tcW w:w="2030" w:type="pct"/>
                  <w:tcBorders>
                    <w:tl2br w:val="nil"/>
                    <w:tr2bl w:val="nil"/>
                  </w:tcBorders>
                  <w:noWrap w:val="0"/>
                  <w:vAlign w:val="top"/>
                </w:tcPr>
                <w:p w14:paraId="1FFEC15E">
                  <w:pPr>
                    <w:keepNext w:val="0"/>
                    <w:keepLines w:val="0"/>
                    <w:pageBreakBefore w:val="0"/>
                    <w:widowControl w:val="0"/>
                    <w:numPr>
                      <w:ilvl w:val="0"/>
                      <w:numId w:val="0"/>
                    </w:numPr>
                    <w:kinsoku/>
                    <w:wordWrap/>
                    <w:overflowPunct/>
                    <w:topLinePunct w:val="0"/>
                    <w:autoSpaceDE/>
                    <w:autoSpaceDN/>
                    <w:bidi w:val="0"/>
                    <w:adjustRightInd/>
                    <w:snapToGrid w:val="0"/>
                    <w:spacing w:line="240" w:lineRule="auto"/>
                    <w:ind w:leftChars="0"/>
                    <w:jc w:val="left"/>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（2）水环境影响</w:t>
                  </w:r>
                </w:p>
                <w:p w14:paraId="74216699">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left"/>
                    <w:textAlignment w:val="auto"/>
                    <w:rPr>
                      <w:rFonts w:hint="default"/>
                      <w:b/>
                      <w:bCs/>
                      <w:color w:val="auto"/>
                      <w:sz w:val="18"/>
                      <w:szCs w:val="18"/>
                      <w:lang w:val="en-US" w:eastAsia="zh-CN"/>
                    </w:rPr>
                  </w:pPr>
                  <w:r>
                    <w:rPr>
                      <w:rFonts w:hint="default" w:ascii="Times New Roman" w:hAnsi="Times New Roman" w:cs="Times New Roman"/>
                      <w:snapToGrid w:val="0"/>
                      <w:color w:val="auto"/>
                      <w:kern w:val="0"/>
                      <w:sz w:val="18"/>
                      <w:szCs w:val="18"/>
                    </w:rPr>
                    <w:t>依据《新疆维吾尔自治区地下水资源管理条例》和《昌吉市落实井电双控控制取用地下水实施方案》（昌市政办发〔2014〕66号）“除了生活饮用水以外，禁止任何形式的新增取用地下水，确保地下水开采量只减不增”，环评建议：高新区近期应加快落实三屯河地表水作为主要供水水源，辅助开采区域潜水和浅层承压水作为备用水源，远期应争取加大三屯河地表水供给量和采用大流域调水，保障园区用水需求。落实区域地下水总量控制和水位控制的“双控”措施，保证区域水资源采补平衡，并强化水资源管理，按照区域水资源规划在近期园区供水水源采用地表水的基础上</w:t>
                  </w:r>
                  <w:r>
                    <w:rPr>
                      <w:rFonts w:hint="eastAsia" w:cs="Times New Roman"/>
                      <w:snapToGrid w:val="0"/>
                      <w:color w:val="auto"/>
                      <w:kern w:val="0"/>
                      <w:sz w:val="18"/>
                      <w:szCs w:val="18"/>
                      <w:lang w:eastAsia="zh-CN"/>
                    </w:rPr>
                    <w:t>，</w:t>
                  </w:r>
                  <w:r>
                    <w:rPr>
                      <w:rFonts w:hint="default" w:ascii="Times New Roman" w:hAnsi="Times New Roman" w:cs="Times New Roman"/>
                      <w:color w:val="auto"/>
                      <w:sz w:val="18"/>
                      <w:szCs w:val="18"/>
                    </w:rPr>
                    <w:t>园区企业排放</w:t>
                  </w:r>
                  <w:r>
                    <w:rPr>
                      <w:rFonts w:hint="eastAsia" w:cs="Times New Roman"/>
                      <w:color w:val="auto"/>
                      <w:sz w:val="18"/>
                      <w:szCs w:val="18"/>
                      <w:lang w:eastAsia="zh-CN"/>
                    </w:rPr>
                    <w:t>的废水</w:t>
                  </w:r>
                  <w:r>
                    <w:rPr>
                      <w:rFonts w:hint="default" w:ascii="Times New Roman" w:hAnsi="Times New Roman" w:cs="Times New Roman"/>
                      <w:color w:val="auto"/>
                      <w:sz w:val="18"/>
                      <w:szCs w:val="18"/>
                    </w:rPr>
                    <w:t>先经企业自行处理达到《污水综合排放标准》三级标准后排入园区排水管道，最后进入园区污水处理厂，出水水质达到《城镇污水处理厂污染物排放标准》（GB18918-2002）一级B标准，符合《城市杂用水水质标准（绿化）》（GB/T18920-2002），在园区作为防护林绿化用水使用后，多余废水排放至50公里外的荒漠区作为生态恢复用水</w:t>
                  </w:r>
                  <w:r>
                    <w:rPr>
                      <w:rFonts w:hint="eastAsia" w:cs="Times New Roman"/>
                      <w:color w:val="auto"/>
                      <w:sz w:val="18"/>
                      <w:szCs w:val="18"/>
                      <w:lang w:eastAsia="zh-CN"/>
                    </w:rPr>
                    <w:t>。</w:t>
                  </w:r>
                  <w:r>
                    <w:rPr>
                      <w:rFonts w:hint="default" w:ascii="Times New Roman" w:hAnsi="Times New Roman" w:cs="Times New Roman"/>
                      <w:color w:val="auto"/>
                      <w:sz w:val="18"/>
                      <w:szCs w:val="18"/>
                    </w:rPr>
                    <w:t>在保证污水处理厂处理达标排放情况下，对荒漠区的生态恢复将产生积极影响。</w:t>
                  </w:r>
                </w:p>
              </w:tc>
              <w:tc>
                <w:tcPr>
                  <w:tcW w:w="1677" w:type="pct"/>
                  <w:tcBorders>
                    <w:tl2br w:val="nil"/>
                    <w:tr2bl w:val="nil"/>
                  </w:tcBorders>
                  <w:noWrap w:val="0"/>
                  <w:vAlign w:val="center"/>
                </w:tcPr>
                <w:p w14:paraId="253CDC58">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b/>
                      <w:bCs/>
                      <w:color w:val="auto"/>
                      <w:sz w:val="18"/>
                      <w:szCs w:val="18"/>
                      <w:lang w:val="en-US" w:eastAsia="zh-CN"/>
                    </w:rPr>
                  </w:pPr>
                  <w:r>
                    <w:rPr>
                      <w:rFonts w:hint="eastAsia"/>
                      <w:b w:val="0"/>
                      <w:bCs w:val="0"/>
                      <w:color w:val="auto"/>
                      <w:sz w:val="18"/>
                      <w:szCs w:val="18"/>
                      <w:lang w:val="en-US" w:eastAsia="zh-CN"/>
                    </w:rPr>
                    <w:t>本项目废水经处理后达标排至园区污水处理厂</w:t>
                  </w:r>
                </w:p>
              </w:tc>
              <w:tc>
                <w:tcPr>
                  <w:tcW w:w="427" w:type="pct"/>
                  <w:tcBorders>
                    <w:tl2br w:val="nil"/>
                    <w:tr2bl w:val="nil"/>
                  </w:tcBorders>
                  <w:noWrap w:val="0"/>
                  <w:vAlign w:val="center"/>
                </w:tcPr>
                <w:p w14:paraId="53BA222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18"/>
                      <w:szCs w:val="18"/>
                      <w:lang w:val="en-US" w:eastAsia="zh-CN"/>
                    </w:rPr>
                  </w:pPr>
                  <w:r>
                    <w:rPr>
                      <w:rFonts w:hint="eastAsia"/>
                      <w:b w:val="0"/>
                      <w:bCs w:val="0"/>
                      <w:color w:val="auto"/>
                      <w:sz w:val="18"/>
                      <w:szCs w:val="18"/>
                      <w:lang w:val="en-US" w:eastAsia="zh-CN"/>
                    </w:rPr>
                    <w:t>符合</w:t>
                  </w:r>
                </w:p>
              </w:tc>
            </w:tr>
            <w:tr w14:paraId="1C7347CA">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c>
                <w:tcPr>
                  <w:tcW w:w="864" w:type="pct"/>
                  <w:vMerge w:val="continue"/>
                  <w:tcBorders>
                    <w:tl2br w:val="nil"/>
                    <w:tr2bl w:val="nil"/>
                  </w:tcBorders>
                  <w:noWrap w:val="0"/>
                  <w:vAlign w:val="center"/>
                </w:tcPr>
                <w:p w14:paraId="77795B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sz w:val="18"/>
                      <w:szCs w:val="18"/>
                      <w:lang w:val="en-US" w:eastAsia="zh-CN"/>
                    </w:rPr>
                  </w:pPr>
                </w:p>
              </w:tc>
              <w:tc>
                <w:tcPr>
                  <w:tcW w:w="2030" w:type="pct"/>
                  <w:tcBorders>
                    <w:tl2br w:val="nil"/>
                    <w:tr2bl w:val="nil"/>
                  </w:tcBorders>
                  <w:noWrap w:val="0"/>
                  <w:vAlign w:val="top"/>
                </w:tcPr>
                <w:p w14:paraId="43AD99A1">
                  <w:pPr>
                    <w:keepNext w:val="0"/>
                    <w:keepLines w:val="0"/>
                    <w:pageBreakBefore w:val="0"/>
                    <w:widowControl w:val="0"/>
                    <w:numPr>
                      <w:ilvl w:val="0"/>
                      <w:numId w:val="0"/>
                    </w:numPr>
                    <w:tabs>
                      <w:tab w:val="center" w:pos="934"/>
                    </w:tabs>
                    <w:kinsoku/>
                    <w:wordWrap/>
                    <w:overflowPunct/>
                    <w:topLinePunct w:val="0"/>
                    <w:autoSpaceDE/>
                    <w:autoSpaceDN/>
                    <w:bidi w:val="0"/>
                    <w:adjustRightInd/>
                    <w:snapToGrid w:val="0"/>
                    <w:spacing w:line="240" w:lineRule="auto"/>
                    <w:ind w:leftChars="0"/>
                    <w:jc w:val="left"/>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（3）声环境影响</w:t>
                  </w:r>
                </w:p>
                <w:p w14:paraId="5B012629">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left"/>
                    <w:textAlignment w:val="auto"/>
                    <w:rPr>
                      <w:rFonts w:hint="default"/>
                      <w:b/>
                      <w:bCs/>
                      <w:color w:val="auto"/>
                      <w:sz w:val="18"/>
                      <w:szCs w:val="18"/>
                      <w:lang w:val="en-US" w:eastAsia="zh-CN"/>
                    </w:rPr>
                  </w:pPr>
                  <w:r>
                    <w:rPr>
                      <w:rFonts w:hint="default" w:ascii="Times New Roman" w:hAnsi="Times New Roman" w:cs="Times New Roman"/>
                      <w:color w:val="auto"/>
                      <w:sz w:val="18"/>
                      <w:szCs w:val="18"/>
                    </w:rPr>
                    <w:t>工业园区声环境现状符合《声环境质量标准》（GB3096-2008）中的相应标准。随着工业园区的建设，一些隔音降噪措施采用后区域声环境质量状况亦能够满足GB3096-2008中的相应标准要求。同时工业园区道路两侧、边界都设置了较宽的绿化带，可有效降低噪声的影响，保障区域声环境质量满足功能区划的要求。</w:t>
                  </w:r>
                </w:p>
              </w:tc>
              <w:tc>
                <w:tcPr>
                  <w:tcW w:w="1677" w:type="pct"/>
                  <w:tcBorders>
                    <w:tl2br w:val="nil"/>
                    <w:tr2bl w:val="nil"/>
                  </w:tcBorders>
                  <w:noWrap w:val="0"/>
                  <w:vAlign w:val="center"/>
                </w:tcPr>
                <w:p w14:paraId="497DD2E7">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b/>
                      <w:bCs/>
                      <w:color w:val="auto"/>
                      <w:sz w:val="18"/>
                      <w:szCs w:val="18"/>
                      <w:lang w:val="en-US" w:eastAsia="zh-CN"/>
                    </w:rPr>
                  </w:pPr>
                  <w:r>
                    <w:rPr>
                      <w:rFonts w:hint="eastAsia"/>
                      <w:b w:val="0"/>
                      <w:bCs w:val="0"/>
                      <w:color w:val="auto"/>
                      <w:sz w:val="18"/>
                      <w:szCs w:val="18"/>
                      <w:lang w:val="en-US" w:eastAsia="zh-CN"/>
                    </w:rPr>
                    <w:t>本项目运营期厂界噪声达标，对周围环境影响较小</w:t>
                  </w:r>
                </w:p>
              </w:tc>
              <w:tc>
                <w:tcPr>
                  <w:tcW w:w="427" w:type="pct"/>
                  <w:tcBorders>
                    <w:tl2br w:val="nil"/>
                    <w:tr2bl w:val="nil"/>
                  </w:tcBorders>
                  <w:noWrap w:val="0"/>
                  <w:vAlign w:val="center"/>
                </w:tcPr>
                <w:p w14:paraId="429649B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18"/>
                      <w:szCs w:val="18"/>
                      <w:lang w:val="en-US" w:eastAsia="zh-CN"/>
                    </w:rPr>
                  </w:pPr>
                  <w:r>
                    <w:rPr>
                      <w:rFonts w:hint="eastAsia"/>
                      <w:b w:val="0"/>
                      <w:bCs w:val="0"/>
                      <w:color w:val="auto"/>
                      <w:sz w:val="18"/>
                      <w:szCs w:val="18"/>
                      <w:lang w:val="en-US" w:eastAsia="zh-CN"/>
                    </w:rPr>
                    <w:t>符合</w:t>
                  </w:r>
                </w:p>
              </w:tc>
            </w:tr>
            <w:tr w14:paraId="3314D071">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1371" w:hRule="atLeast"/>
              </w:trPr>
              <w:tc>
                <w:tcPr>
                  <w:tcW w:w="864" w:type="pct"/>
                  <w:vMerge w:val="continue"/>
                  <w:tcBorders>
                    <w:tl2br w:val="nil"/>
                    <w:tr2bl w:val="nil"/>
                  </w:tcBorders>
                  <w:noWrap w:val="0"/>
                  <w:vAlign w:val="center"/>
                </w:tcPr>
                <w:p w14:paraId="2B4DAAF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sz w:val="18"/>
                      <w:szCs w:val="18"/>
                      <w:lang w:val="en-US" w:eastAsia="zh-CN"/>
                    </w:rPr>
                  </w:pPr>
                </w:p>
              </w:tc>
              <w:tc>
                <w:tcPr>
                  <w:tcW w:w="2030" w:type="pct"/>
                  <w:tcBorders>
                    <w:tl2br w:val="nil"/>
                    <w:tr2bl w:val="nil"/>
                  </w:tcBorders>
                  <w:noWrap w:val="0"/>
                  <w:vAlign w:val="top"/>
                </w:tcPr>
                <w:p w14:paraId="6D327EB7">
                  <w:pPr>
                    <w:pStyle w:val="32"/>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left"/>
                    <w:textAlignment w:val="auto"/>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eastAsia="zh-CN"/>
                    </w:rPr>
                    <w:t>（</w:t>
                  </w:r>
                  <w:r>
                    <w:rPr>
                      <w:rFonts w:hint="default" w:ascii="Times New Roman" w:hAnsi="Times New Roman" w:cs="Times New Roman"/>
                      <w:color w:val="auto"/>
                      <w:sz w:val="18"/>
                      <w:szCs w:val="18"/>
                      <w:highlight w:val="none"/>
                      <w:vertAlign w:val="baseline"/>
                      <w:lang w:val="en-US" w:eastAsia="zh-CN"/>
                    </w:rPr>
                    <w:t>4</w:t>
                  </w:r>
                  <w:r>
                    <w:rPr>
                      <w:rFonts w:hint="default" w:ascii="Times New Roman" w:hAnsi="Times New Roman" w:cs="Times New Roman"/>
                      <w:color w:val="auto"/>
                      <w:sz w:val="18"/>
                      <w:szCs w:val="18"/>
                      <w:highlight w:val="none"/>
                      <w:vertAlign w:val="baseline"/>
                      <w:lang w:eastAsia="zh-CN"/>
                    </w:rPr>
                    <w:t>）</w:t>
                  </w:r>
                  <w:r>
                    <w:rPr>
                      <w:rFonts w:hint="default" w:ascii="Times New Roman" w:hAnsi="Times New Roman" w:cs="Times New Roman"/>
                      <w:color w:val="auto"/>
                      <w:sz w:val="18"/>
                      <w:szCs w:val="18"/>
                      <w:highlight w:val="none"/>
                      <w:vertAlign w:val="baseline"/>
                      <w:lang w:val="en-US" w:eastAsia="zh-CN"/>
                    </w:rPr>
                    <w:t>固体废弃物环境影响</w:t>
                  </w:r>
                </w:p>
                <w:p w14:paraId="54C317FD">
                  <w:pPr>
                    <w:pStyle w:val="32"/>
                    <w:ind w:left="0" w:leftChars="0" w:firstLine="0" w:firstLineChars="0"/>
                    <w:jc w:val="left"/>
                    <w:rPr>
                      <w:rFonts w:hint="default"/>
                      <w:b/>
                      <w:bCs/>
                      <w:color w:val="auto"/>
                      <w:sz w:val="18"/>
                      <w:szCs w:val="18"/>
                      <w:lang w:val="en-US" w:eastAsia="zh-CN"/>
                    </w:rPr>
                  </w:pPr>
                  <w:r>
                    <w:rPr>
                      <w:rFonts w:hint="eastAsia" w:cs="Times New Roman"/>
                      <w:color w:val="auto"/>
                      <w:sz w:val="18"/>
                      <w:szCs w:val="18"/>
                      <w:highlight w:val="none"/>
                      <w:vertAlign w:val="baseline"/>
                      <w:lang w:val="en-US" w:eastAsia="zh-CN"/>
                    </w:rPr>
                    <w:t>工业区固废收集、处置系统建成后，生活垃圾、工业固体废物可实现及时清运、填埋。</w:t>
                  </w:r>
                </w:p>
              </w:tc>
              <w:tc>
                <w:tcPr>
                  <w:tcW w:w="1677" w:type="pct"/>
                  <w:tcBorders>
                    <w:tl2br w:val="nil"/>
                    <w:tr2bl w:val="nil"/>
                  </w:tcBorders>
                  <w:noWrap w:val="0"/>
                  <w:vAlign w:val="center"/>
                </w:tcPr>
                <w:p w14:paraId="76957B7E">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eastAsia="宋体"/>
                      <w:b/>
                      <w:bCs/>
                      <w:color w:val="auto"/>
                      <w:sz w:val="18"/>
                      <w:szCs w:val="18"/>
                      <w:lang w:val="en-US" w:eastAsia="zh-CN"/>
                    </w:rPr>
                  </w:pPr>
                  <w:r>
                    <w:rPr>
                      <w:rFonts w:hint="eastAsia" w:ascii="Times New Roman" w:hAnsi="Times New Roman" w:cs="Times New Roman"/>
                      <w:color w:val="auto"/>
                      <w:spacing w:val="-11"/>
                      <w:sz w:val="18"/>
                      <w:szCs w:val="18"/>
                      <w:highlight w:val="none"/>
                      <w:vertAlign w:val="baseline"/>
                      <w:lang w:val="en-US" w:eastAsia="zh-CN"/>
                    </w:rPr>
                    <w:t>本项目</w:t>
                  </w:r>
                  <w:r>
                    <w:rPr>
                      <w:rFonts w:hint="eastAsia" w:cs="Times New Roman"/>
                      <w:color w:val="auto"/>
                      <w:spacing w:val="-11"/>
                      <w:sz w:val="18"/>
                      <w:szCs w:val="18"/>
                      <w:highlight w:val="none"/>
                      <w:vertAlign w:val="baseline"/>
                      <w:lang w:val="en-US" w:eastAsia="zh-CN"/>
                    </w:rPr>
                    <w:t>运营期产生的一般固废和危险废物全部妥善处置</w:t>
                  </w:r>
                </w:p>
              </w:tc>
              <w:tc>
                <w:tcPr>
                  <w:tcW w:w="427" w:type="pct"/>
                  <w:tcBorders>
                    <w:tl2br w:val="nil"/>
                    <w:tr2bl w:val="nil"/>
                  </w:tcBorders>
                  <w:noWrap w:val="0"/>
                  <w:vAlign w:val="center"/>
                </w:tcPr>
                <w:p w14:paraId="6209E4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18"/>
                      <w:szCs w:val="18"/>
                      <w:lang w:val="en-US" w:eastAsia="zh-CN"/>
                    </w:rPr>
                  </w:pPr>
                  <w:r>
                    <w:rPr>
                      <w:rFonts w:hint="eastAsia"/>
                      <w:b w:val="0"/>
                      <w:bCs w:val="0"/>
                      <w:color w:val="auto"/>
                      <w:sz w:val="18"/>
                      <w:szCs w:val="18"/>
                      <w:lang w:val="en-US" w:eastAsia="zh-CN"/>
                    </w:rPr>
                    <w:t>符合</w:t>
                  </w:r>
                </w:p>
              </w:tc>
            </w:tr>
            <w:tr w14:paraId="2AC28992">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c>
                <w:tcPr>
                  <w:tcW w:w="864" w:type="pct"/>
                  <w:vMerge w:val="restart"/>
                  <w:tcBorders>
                    <w:tl2br w:val="nil"/>
                    <w:tr2bl w:val="nil"/>
                  </w:tcBorders>
                  <w:noWrap w:val="0"/>
                  <w:vAlign w:val="center"/>
                </w:tcPr>
                <w:p w14:paraId="1E053A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sz w:val="18"/>
                      <w:szCs w:val="18"/>
                      <w:lang w:val="en-US" w:eastAsia="zh-CN"/>
                    </w:rPr>
                  </w:pPr>
                  <w:r>
                    <w:rPr>
                      <w:rFonts w:hint="default" w:ascii="Times New Roman" w:hAnsi="Times New Roman" w:cs="Times New Roman"/>
                      <w:color w:val="auto"/>
                      <w:sz w:val="18"/>
                      <w:szCs w:val="18"/>
                      <w:highlight w:val="none"/>
                      <w:vertAlign w:val="baseline"/>
                      <w:lang w:eastAsia="zh-CN"/>
                    </w:rPr>
                    <w:t>《昌吉高新技术产业开发区总体规划（</w:t>
                  </w:r>
                  <w:r>
                    <w:rPr>
                      <w:rFonts w:hint="default" w:ascii="Times New Roman" w:hAnsi="Times New Roman" w:cs="Times New Roman"/>
                      <w:color w:val="auto"/>
                      <w:sz w:val="18"/>
                      <w:szCs w:val="18"/>
                      <w:highlight w:val="none"/>
                      <w:vertAlign w:val="baseline"/>
                      <w:lang w:val="en-US" w:eastAsia="zh-CN"/>
                    </w:rPr>
                    <w:t>2014</w:t>
                  </w:r>
                  <w:r>
                    <w:rPr>
                      <w:rFonts w:hint="eastAsia" w:cs="Times New Roman"/>
                      <w:color w:val="auto"/>
                      <w:sz w:val="18"/>
                      <w:szCs w:val="18"/>
                      <w:highlight w:val="none"/>
                      <w:vertAlign w:val="baseline"/>
                      <w:lang w:val="en-US" w:eastAsia="zh-CN"/>
                    </w:rPr>
                    <w:t>—</w:t>
                  </w:r>
                  <w:r>
                    <w:rPr>
                      <w:rFonts w:hint="default" w:ascii="Times New Roman" w:hAnsi="Times New Roman" w:cs="Times New Roman"/>
                      <w:color w:val="auto"/>
                      <w:sz w:val="18"/>
                      <w:szCs w:val="18"/>
                      <w:highlight w:val="none"/>
                      <w:vertAlign w:val="baseline"/>
                      <w:lang w:val="en-US" w:eastAsia="zh-CN"/>
                    </w:rPr>
                    <w:t>2030年</w:t>
                  </w:r>
                  <w:r>
                    <w:rPr>
                      <w:rFonts w:hint="default" w:ascii="Times New Roman" w:hAnsi="Times New Roman" w:cs="Times New Roman"/>
                      <w:color w:val="auto"/>
                      <w:sz w:val="18"/>
                      <w:szCs w:val="18"/>
                      <w:highlight w:val="none"/>
                      <w:vertAlign w:val="baseline"/>
                      <w:lang w:eastAsia="zh-CN"/>
                    </w:rPr>
                    <w:t>）环境影响报告书》审查意见</w:t>
                  </w:r>
                </w:p>
              </w:tc>
              <w:tc>
                <w:tcPr>
                  <w:tcW w:w="2030" w:type="pct"/>
                  <w:tcBorders>
                    <w:tl2br w:val="nil"/>
                    <w:tr2bl w:val="nil"/>
                  </w:tcBorders>
                  <w:noWrap w:val="0"/>
                  <w:vAlign w:val="center"/>
                </w:tcPr>
                <w:p w14:paraId="4D97F841">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color w:val="auto"/>
                      <w:sz w:val="18"/>
                      <w:szCs w:val="18"/>
                      <w:lang w:val="en-US" w:eastAsia="zh-CN"/>
                    </w:rPr>
                  </w:pPr>
                  <w:r>
                    <w:rPr>
                      <w:rFonts w:hint="eastAsia"/>
                      <w:color w:val="auto"/>
                      <w:sz w:val="18"/>
                      <w:szCs w:val="18"/>
                      <w:lang w:val="en-US" w:eastAsia="zh-CN"/>
                    </w:rPr>
                    <w:t>（1）</w:t>
                  </w:r>
                  <w:r>
                    <w:rPr>
                      <w:rFonts w:hint="default"/>
                      <w:color w:val="auto"/>
                      <w:sz w:val="18"/>
                      <w:szCs w:val="18"/>
                      <w:lang w:val="en-US" w:eastAsia="zh-CN"/>
                    </w:rPr>
                    <w:t>园区发展定位</w:t>
                  </w:r>
                  <w:r>
                    <w:rPr>
                      <w:rFonts w:hint="eastAsia"/>
                      <w:color w:val="auto"/>
                      <w:sz w:val="18"/>
                      <w:szCs w:val="18"/>
                      <w:lang w:val="en-US" w:eastAsia="zh-CN"/>
                    </w:rPr>
                    <w:t>：</w:t>
                  </w:r>
                  <w:r>
                    <w:rPr>
                      <w:rFonts w:hint="default"/>
                      <w:color w:val="auto"/>
                      <w:sz w:val="18"/>
                      <w:szCs w:val="18"/>
                      <w:lang w:val="en-US" w:eastAsia="zh-CN"/>
                    </w:rPr>
                    <w:t>以装备制造业、新材料产业、生物科技和食品产业为主，配套现代服务业，将园区打造成为全区重要先进制造业基地，昌吉州生产性服务业创新中心。</w:t>
                  </w:r>
                </w:p>
              </w:tc>
              <w:tc>
                <w:tcPr>
                  <w:tcW w:w="1677" w:type="pct"/>
                  <w:tcBorders>
                    <w:tl2br w:val="nil"/>
                    <w:tr2bl w:val="nil"/>
                  </w:tcBorders>
                  <w:noWrap w:val="0"/>
                  <w:vAlign w:val="center"/>
                </w:tcPr>
                <w:p w14:paraId="1F2C4D3A">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color w:val="auto"/>
                      <w:sz w:val="18"/>
                      <w:szCs w:val="18"/>
                      <w:lang w:val="en-US" w:eastAsia="zh-CN"/>
                    </w:rPr>
                  </w:pPr>
                  <w:r>
                    <w:rPr>
                      <w:rFonts w:hint="eastAsia"/>
                      <w:color w:val="auto"/>
                      <w:sz w:val="18"/>
                      <w:szCs w:val="18"/>
                      <w:lang w:val="en-US" w:eastAsia="zh-CN"/>
                    </w:rPr>
                    <w:t>本项目属于钢压延加工项目，符合园区产业定位</w:t>
                  </w:r>
                </w:p>
              </w:tc>
              <w:tc>
                <w:tcPr>
                  <w:tcW w:w="427" w:type="pct"/>
                  <w:tcBorders>
                    <w:tl2br w:val="nil"/>
                    <w:tr2bl w:val="nil"/>
                  </w:tcBorders>
                  <w:noWrap w:val="0"/>
                  <w:vAlign w:val="center"/>
                </w:tcPr>
                <w:p w14:paraId="2DE22E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sz w:val="18"/>
                      <w:szCs w:val="18"/>
                      <w:lang w:val="en-US" w:eastAsia="zh-CN"/>
                    </w:rPr>
                  </w:pPr>
                  <w:r>
                    <w:rPr>
                      <w:rFonts w:hint="default"/>
                      <w:color w:val="auto"/>
                      <w:sz w:val="18"/>
                      <w:szCs w:val="18"/>
                      <w:lang w:val="en-US" w:eastAsia="zh-CN"/>
                    </w:rPr>
                    <w:t>符合</w:t>
                  </w:r>
                </w:p>
              </w:tc>
            </w:tr>
            <w:tr w14:paraId="3784C2D1">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c>
                <w:tcPr>
                  <w:tcW w:w="864" w:type="pct"/>
                  <w:vMerge w:val="continue"/>
                  <w:tcBorders>
                    <w:tl2br w:val="nil"/>
                    <w:tr2bl w:val="nil"/>
                  </w:tcBorders>
                  <w:noWrap w:val="0"/>
                  <w:vAlign w:val="center"/>
                </w:tcPr>
                <w:p w14:paraId="4510149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sz w:val="18"/>
                      <w:szCs w:val="18"/>
                      <w:lang w:val="en-US" w:eastAsia="zh-CN"/>
                    </w:rPr>
                  </w:pPr>
                </w:p>
              </w:tc>
              <w:tc>
                <w:tcPr>
                  <w:tcW w:w="2030" w:type="pct"/>
                  <w:tcBorders>
                    <w:tl2br w:val="nil"/>
                    <w:tr2bl w:val="nil"/>
                  </w:tcBorders>
                  <w:noWrap w:val="0"/>
                  <w:vAlign w:val="center"/>
                </w:tcPr>
                <w:p w14:paraId="1CAD24C5">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color w:val="auto"/>
                      <w:sz w:val="18"/>
                      <w:szCs w:val="18"/>
                      <w:lang w:val="en-US" w:eastAsia="zh-CN"/>
                    </w:rPr>
                  </w:pPr>
                  <w:r>
                    <w:rPr>
                      <w:rFonts w:hint="eastAsia"/>
                      <w:color w:val="auto"/>
                      <w:sz w:val="18"/>
                      <w:szCs w:val="18"/>
                      <w:lang w:val="en-US" w:eastAsia="zh-CN"/>
                    </w:rPr>
                    <w:t>（2）</w:t>
                  </w:r>
                  <w:r>
                    <w:rPr>
                      <w:rFonts w:hint="default"/>
                      <w:color w:val="auto"/>
                      <w:sz w:val="18"/>
                      <w:szCs w:val="18"/>
                      <w:lang w:val="en-US" w:eastAsia="zh-CN"/>
                    </w:rPr>
                    <w:t>坚持实行入园企业环保准入审核制度，与产业定位方向不符的项目一律不得入园，对于入园的建设项目必须开展建设项目环境影响评价，并严格执行建设项目“三同时”环境管理制度。</w:t>
                  </w:r>
                </w:p>
              </w:tc>
              <w:tc>
                <w:tcPr>
                  <w:tcW w:w="1677" w:type="pct"/>
                  <w:tcBorders>
                    <w:tl2br w:val="nil"/>
                    <w:tr2bl w:val="nil"/>
                  </w:tcBorders>
                  <w:noWrap w:val="0"/>
                  <w:vAlign w:val="center"/>
                </w:tcPr>
                <w:p w14:paraId="700084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sz w:val="18"/>
                      <w:szCs w:val="18"/>
                      <w:lang w:val="en-US" w:eastAsia="zh-CN"/>
                    </w:rPr>
                  </w:pPr>
                  <w:r>
                    <w:rPr>
                      <w:rFonts w:hint="eastAsia"/>
                      <w:color w:val="auto"/>
                      <w:sz w:val="18"/>
                      <w:szCs w:val="18"/>
                      <w:lang w:val="en-US" w:eastAsia="zh-CN"/>
                    </w:rPr>
                    <w:t>本项目严格落实三同时制度</w:t>
                  </w:r>
                </w:p>
              </w:tc>
              <w:tc>
                <w:tcPr>
                  <w:tcW w:w="427" w:type="pct"/>
                  <w:tcBorders>
                    <w:tl2br w:val="nil"/>
                    <w:tr2bl w:val="nil"/>
                  </w:tcBorders>
                  <w:noWrap w:val="0"/>
                  <w:vAlign w:val="center"/>
                </w:tcPr>
                <w:p w14:paraId="653F00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sz w:val="18"/>
                      <w:szCs w:val="18"/>
                      <w:lang w:val="en-US" w:eastAsia="zh-CN"/>
                    </w:rPr>
                  </w:pPr>
                  <w:r>
                    <w:rPr>
                      <w:rFonts w:hint="eastAsia"/>
                      <w:color w:val="auto"/>
                      <w:sz w:val="18"/>
                      <w:szCs w:val="18"/>
                      <w:lang w:val="en-US" w:eastAsia="zh-CN"/>
                    </w:rPr>
                    <w:t>符合</w:t>
                  </w:r>
                </w:p>
              </w:tc>
            </w:tr>
            <w:tr w14:paraId="3849758B">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c>
                <w:tcPr>
                  <w:tcW w:w="864" w:type="pct"/>
                  <w:vMerge w:val="continue"/>
                  <w:tcBorders>
                    <w:tl2br w:val="nil"/>
                    <w:tr2bl w:val="nil"/>
                  </w:tcBorders>
                  <w:noWrap w:val="0"/>
                  <w:vAlign w:val="center"/>
                </w:tcPr>
                <w:p w14:paraId="25E977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sz w:val="18"/>
                      <w:szCs w:val="18"/>
                      <w:lang w:val="en-US" w:eastAsia="zh-CN"/>
                    </w:rPr>
                  </w:pPr>
                </w:p>
              </w:tc>
              <w:tc>
                <w:tcPr>
                  <w:tcW w:w="2030" w:type="pct"/>
                  <w:tcBorders>
                    <w:tl2br w:val="nil"/>
                    <w:tr2bl w:val="nil"/>
                  </w:tcBorders>
                  <w:noWrap w:val="0"/>
                  <w:vAlign w:val="center"/>
                </w:tcPr>
                <w:p w14:paraId="2C1511FD">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color w:val="auto"/>
                      <w:sz w:val="18"/>
                      <w:szCs w:val="18"/>
                      <w:lang w:val="en-US" w:eastAsia="zh-CN"/>
                    </w:rPr>
                  </w:pPr>
                  <w:r>
                    <w:rPr>
                      <w:rFonts w:hint="eastAsia"/>
                      <w:color w:val="auto"/>
                      <w:sz w:val="18"/>
                      <w:szCs w:val="18"/>
                      <w:lang w:val="en-US" w:eastAsia="zh-CN"/>
                    </w:rPr>
                    <w:t>（3）</w:t>
                  </w:r>
                  <w:r>
                    <w:rPr>
                      <w:rFonts w:hint="default"/>
                      <w:color w:val="auto"/>
                      <w:sz w:val="18"/>
                      <w:szCs w:val="18"/>
                      <w:lang w:val="en-US" w:eastAsia="zh-CN"/>
                    </w:rPr>
                    <w:t>园区范围内企业，应办理合法的环保手续，不符合园区规划布局、产业定位的企业应予以搬迁。园区项目须严格</w:t>
                  </w:r>
                  <w:r>
                    <w:rPr>
                      <w:rFonts w:hint="eastAsia"/>
                      <w:color w:val="auto"/>
                      <w:sz w:val="18"/>
                      <w:szCs w:val="18"/>
                      <w:lang w:val="en-US" w:eastAsia="zh-CN"/>
                    </w:rPr>
                    <w:t>落实</w:t>
                  </w:r>
                  <w:r>
                    <w:rPr>
                      <w:rFonts w:hint="default"/>
                      <w:color w:val="auto"/>
                      <w:sz w:val="18"/>
                      <w:szCs w:val="18"/>
                      <w:lang w:val="en-US" w:eastAsia="zh-CN"/>
                    </w:rPr>
                    <w:t>污染物总量控制要求，提出污染物减排具体方案和保障措施。</w:t>
                  </w:r>
                </w:p>
              </w:tc>
              <w:tc>
                <w:tcPr>
                  <w:tcW w:w="1677" w:type="pct"/>
                  <w:tcBorders>
                    <w:tl2br w:val="nil"/>
                    <w:tr2bl w:val="nil"/>
                  </w:tcBorders>
                  <w:noWrap w:val="0"/>
                  <w:vAlign w:val="center"/>
                </w:tcPr>
                <w:p w14:paraId="46B20CDF">
                  <w:pPr>
                    <w:spacing w:line="240" w:lineRule="auto"/>
                    <w:rPr>
                      <w:rFonts w:hint="default" w:eastAsia="宋体"/>
                      <w:color w:val="auto"/>
                      <w:sz w:val="18"/>
                      <w:szCs w:val="18"/>
                      <w:lang w:val="en-US" w:eastAsia="zh-CN"/>
                    </w:rPr>
                  </w:pPr>
                  <w:r>
                    <w:rPr>
                      <w:rFonts w:hint="eastAsia"/>
                      <w:color w:val="auto"/>
                      <w:sz w:val="18"/>
                      <w:szCs w:val="18"/>
                      <w:lang w:val="en-US" w:eastAsia="zh-CN"/>
                    </w:rPr>
                    <w:t>本项目符合园区规划，严格落实总量控制要求</w:t>
                  </w:r>
                </w:p>
              </w:tc>
              <w:tc>
                <w:tcPr>
                  <w:tcW w:w="427" w:type="pct"/>
                  <w:tcBorders>
                    <w:tl2br w:val="nil"/>
                    <w:tr2bl w:val="nil"/>
                  </w:tcBorders>
                  <w:noWrap w:val="0"/>
                  <w:vAlign w:val="center"/>
                </w:tcPr>
                <w:p w14:paraId="4EA6884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sz w:val="18"/>
                      <w:szCs w:val="18"/>
                      <w:lang w:val="en-US" w:eastAsia="zh-CN"/>
                    </w:rPr>
                  </w:pPr>
                  <w:r>
                    <w:rPr>
                      <w:rFonts w:hint="eastAsia"/>
                      <w:color w:val="auto"/>
                      <w:sz w:val="18"/>
                      <w:szCs w:val="18"/>
                      <w:lang w:val="en-US" w:eastAsia="zh-CN"/>
                    </w:rPr>
                    <w:t>符合</w:t>
                  </w:r>
                </w:p>
              </w:tc>
            </w:tr>
            <w:tr w14:paraId="6F8F1C3D">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c>
                <w:tcPr>
                  <w:tcW w:w="864" w:type="pct"/>
                  <w:vMerge w:val="continue"/>
                  <w:tcBorders>
                    <w:tl2br w:val="nil"/>
                    <w:tr2bl w:val="nil"/>
                  </w:tcBorders>
                  <w:noWrap w:val="0"/>
                  <w:vAlign w:val="center"/>
                </w:tcPr>
                <w:p w14:paraId="210C52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sz w:val="18"/>
                      <w:szCs w:val="18"/>
                      <w:lang w:val="en-US" w:eastAsia="zh-CN"/>
                    </w:rPr>
                  </w:pPr>
                </w:p>
              </w:tc>
              <w:tc>
                <w:tcPr>
                  <w:tcW w:w="2030" w:type="pct"/>
                  <w:tcBorders>
                    <w:tl2br w:val="nil"/>
                    <w:tr2bl w:val="nil"/>
                  </w:tcBorders>
                  <w:noWrap w:val="0"/>
                  <w:vAlign w:val="center"/>
                </w:tcPr>
                <w:p w14:paraId="628CBEDE">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color w:val="auto"/>
                      <w:sz w:val="18"/>
                      <w:szCs w:val="18"/>
                      <w:lang w:val="en-US" w:eastAsia="zh-CN"/>
                    </w:rPr>
                  </w:pPr>
                  <w:r>
                    <w:rPr>
                      <w:rFonts w:hint="eastAsia"/>
                      <w:color w:val="auto"/>
                      <w:sz w:val="18"/>
                      <w:szCs w:val="18"/>
                      <w:lang w:val="en-US" w:eastAsia="zh-CN"/>
                    </w:rPr>
                    <w:t>（4）</w:t>
                  </w:r>
                  <w:r>
                    <w:rPr>
                      <w:rFonts w:hint="default"/>
                      <w:color w:val="auto"/>
                      <w:sz w:val="18"/>
                      <w:szCs w:val="18"/>
                      <w:lang w:val="en-US" w:eastAsia="zh-CN"/>
                    </w:rPr>
                    <w:t>加快基础设施建设，优先建设集中供热设施</w:t>
                  </w:r>
                  <w:r>
                    <w:rPr>
                      <w:rFonts w:hint="eastAsia"/>
                      <w:color w:val="auto"/>
                      <w:sz w:val="18"/>
                      <w:szCs w:val="18"/>
                      <w:lang w:val="en-US" w:eastAsia="zh-CN"/>
                    </w:rPr>
                    <w:t>；</w:t>
                  </w:r>
                  <w:r>
                    <w:rPr>
                      <w:rFonts w:hint="default"/>
                      <w:color w:val="auto"/>
                      <w:sz w:val="18"/>
                      <w:szCs w:val="18"/>
                      <w:lang w:val="en-US" w:eastAsia="zh-CN"/>
                    </w:rPr>
                    <w:t>企业生活、生产废水须经处理达到相应标准后，方可排入园区污水处理厂</w:t>
                  </w:r>
                  <w:r>
                    <w:rPr>
                      <w:rFonts w:hint="eastAsia"/>
                      <w:color w:val="auto"/>
                      <w:sz w:val="18"/>
                      <w:szCs w:val="18"/>
                      <w:lang w:val="en-US" w:eastAsia="zh-CN"/>
                    </w:rPr>
                    <w:t>；</w:t>
                  </w:r>
                  <w:r>
                    <w:rPr>
                      <w:rFonts w:hint="default"/>
                      <w:color w:val="auto"/>
                      <w:sz w:val="18"/>
                      <w:szCs w:val="18"/>
                      <w:lang w:val="en-US" w:eastAsia="zh-CN"/>
                    </w:rPr>
                    <w:t>严格按照国家有关规定进行危险废物贮存、处理和处置，产生的固废优先综合利用，不能利用的按规范安全处置。</w:t>
                  </w:r>
                </w:p>
              </w:tc>
              <w:tc>
                <w:tcPr>
                  <w:tcW w:w="1677" w:type="pct"/>
                  <w:tcBorders>
                    <w:tl2br w:val="nil"/>
                    <w:tr2bl w:val="nil"/>
                  </w:tcBorders>
                  <w:noWrap w:val="0"/>
                  <w:vAlign w:val="center"/>
                </w:tcPr>
                <w:p w14:paraId="7DAB8393">
                  <w:pPr>
                    <w:spacing w:line="240" w:lineRule="auto"/>
                    <w:jc w:val="center"/>
                    <w:rPr>
                      <w:rFonts w:hint="default"/>
                      <w:color w:val="auto"/>
                      <w:sz w:val="18"/>
                      <w:szCs w:val="18"/>
                      <w:lang w:val="en-US" w:eastAsia="zh-CN"/>
                    </w:rPr>
                  </w:pPr>
                  <w:r>
                    <w:rPr>
                      <w:rFonts w:hint="eastAsia"/>
                      <w:color w:val="auto"/>
                      <w:sz w:val="18"/>
                      <w:szCs w:val="18"/>
                      <w:lang w:val="en-US" w:eastAsia="zh-CN"/>
                    </w:rPr>
                    <w:t>本项目使用电锅炉提供蒸汽，废水处理后达标排放，</w:t>
                  </w:r>
                  <w:r>
                    <w:rPr>
                      <w:rFonts w:hint="eastAsia" w:ascii="Times New Roman" w:hAnsi="Times New Roman" w:cs="Times New Roman"/>
                      <w:color w:val="auto"/>
                      <w:spacing w:val="-11"/>
                      <w:sz w:val="18"/>
                      <w:szCs w:val="18"/>
                      <w:highlight w:val="none"/>
                      <w:vertAlign w:val="baseline"/>
                      <w:lang w:val="en-US" w:eastAsia="zh-CN"/>
                    </w:rPr>
                    <w:t>本项目</w:t>
                  </w:r>
                  <w:r>
                    <w:rPr>
                      <w:rFonts w:hint="eastAsia" w:cs="Times New Roman"/>
                      <w:color w:val="auto"/>
                      <w:spacing w:val="-11"/>
                      <w:sz w:val="18"/>
                      <w:szCs w:val="18"/>
                      <w:highlight w:val="none"/>
                      <w:vertAlign w:val="baseline"/>
                      <w:lang w:val="en-US" w:eastAsia="zh-CN"/>
                    </w:rPr>
                    <w:t>运营期产生的一般固废和危险废物全部妥善处置</w:t>
                  </w:r>
                </w:p>
              </w:tc>
              <w:tc>
                <w:tcPr>
                  <w:tcW w:w="427" w:type="pct"/>
                  <w:tcBorders>
                    <w:tl2br w:val="nil"/>
                    <w:tr2bl w:val="nil"/>
                  </w:tcBorders>
                  <w:noWrap w:val="0"/>
                  <w:vAlign w:val="center"/>
                </w:tcPr>
                <w:p w14:paraId="5612E55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sz w:val="18"/>
                      <w:szCs w:val="18"/>
                      <w:lang w:val="en-US" w:eastAsia="zh-CN"/>
                    </w:rPr>
                  </w:pPr>
                  <w:r>
                    <w:rPr>
                      <w:rFonts w:hint="eastAsia"/>
                      <w:color w:val="auto"/>
                      <w:sz w:val="18"/>
                      <w:szCs w:val="18"/>
                      <w:lang w:val="en-US" w:eastAsia="zh-CN"/>
                    </w:rPr>
                    <w:t>符合</w:t>
                  </w:r>
                </w:p>
              </w:tc>
            </w:tr>
            <w:tr w14:paraId="63B53A7A">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c>
                <w:tcPr>
                  <w:tcW w:w="864" w:type="pct"/>
                  <w:vMerge w:val="continue"/>
                  <w:tcBorders>
                    <w:tl2br w:val="nil"/>
                    <w:tr2bl w:val="nil"/>
                  </w:tcBorders>
                  <w:noWrap w:val="0"/>
                  <w:vAlign w:val="center"/>
                </w:tcPr>
                <w:p w14:paraId="24A8B3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sz w:val="18"/>
                      <w:szCs w:val="18"/>
                      <w:lang w:val="en-US" w:eastAsia="zh-CN"/>
                    </w:rPr>
                  </w:pPr>
                </w:p>
              </w:tc>
              <w:tc>
                <w:tcPr>
                  <w:tcW w:w="2030" w:type="pct"/>
                  <w:tcBorders>
                    <w:tl2br w:val="nil"/>
                    <w:tr2bl w:val="nil"/>
                  </w:tcBorders>
                  <w:noWrap w:val="0"/>
                  <w:vAlign w:val="center"/>
                </w:tcPr>
                <w:p w14:paraId="26ED7D88">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color w:val="auto"/>
                      <w:sz w:val="18"/>
                      <w:szCs w:val="18"/>
                      <w:lang w:val="en-US" w:eastAsia="zh-CN"/>
                    </w:rPr>
                  </w:pPr>
                  <w:r>
                    <w:rPr>
                      <w:rFonts w:hint="eastAsia"/>
                      <w:color w:val="auto"/>
                      <w:sz w:val="18"/>
                      <w:szCs w:val="18"/>
                      <w:lang w:val="en-US" w:eastAsia="zh-CN"/>
                    </w:rPr>
                    <w:t>（5）</w:t>
                  </w:r>
                  <w:r>
                    <w:rPr>
                      <w:rFonts w:hint="default"/>
                      <w:color w:val="auto"/>
                      <w:sz w:val="18"/>
                      <w:szCs w:val="18"/>
                      <w:lang w:val="en-US" w:eastAsia="zh-CN"/>
                    </w:rPr>
                    <w:t>严格设置园区企业的环境准入标准，积极开展清洁生产审核，入园企业的清洁生产水平必须达到国内先进水平，与园区产业类型</w:t>
                  </w:r>
                  <w:r>
                    <w:rPr>
                      <w:rFonts w:hint="eastAsia"/>
                      <w:color w:val="auto"/>
                      <w:sz w:val="18"/>
                      <w:szCs w:val="18"/>
                      <w:lang w:val="en-US" w:eastAsia="zh-CN"/>
                    </w:rPr>
                    <w:t>不相符合</w:t>
                  </w:r>
                  <w:r>
                    <w:rPr>
                      <w:rFonts w:hint="default"/>
                      <w:color w:val="auto"/>
                      <w:sz w:val="18"/>
                      <w:szCs w:val="18"/>
                      <w:lang w:val="en-US" w:eastAsia="zh-CN"/>
                    </w:rPr>
                    <w:t>达不到环境准入条件的建设项目禁入园区。</w:t>
                  </w:r>
                </w:p>
              </w:tc>
              <w:tc>
                <w:tcPr>
                  <w:tcW w:w="1677" w:type="pct"/>
                  <w:tcBorders>
                    <w:tl2br w:val="nil"/>
                    <w:tr2bl w:val="nil"/>
                  </w:tcBorders>
                  <w:noWrap w:val="0"/>
                  <w:vAlign w:val="center"/>
                </w:tcPr>
                <w:p w14:paraId="38B5849A">
                  <w:pPr>
                    <w:spacing w:line="240" w:lineRule="auto"/>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本项目清洁生产水平可达到先进水平</w:t>
                  </w:r>
                </w:p>
              </w:tc>
              <w:tc>
                <w:tcPr>
                  <w:tcW w:w="427" w:type="pct"/>
                  <w:tcBorders>
                    <w:tl2br w:val="nil"/>
                    <w:tr2bl w:val="nil"/>
                  </w:tcBorders>
                  <w:noWrap w:val="0"/>
                  <w:vAlign w:val="center"/>
                </w:tcPr>
                <w:p w14:paraId="1BC375F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sz w:val="18"/>
                      <w:szCs w:val="18"/>
                      <w:lang w:val="en-US" w:eastAsia="zh-CN"/>
                    </w:rPr>
                  </w:pPr>
                  <w:r>
                    <w:rPr>
                      <w:rFonts w:hint="eastAsia"/>
                      <w:color w:val="auto"/>
                      <w:sz w:val="18"/>
                      <w:szCs w:val="18"/>
                      <w:lang w:val="en-US" w:eastAsia="zh-CN"/>
                    </w:rPr>
                    <w:t>符合</w:t>
                  </w:r>
                </w:p>
              </w:tc>
            </w:tr>
            <w:tr w14:paraId="057B859C">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c>
                <w:tcPr>
                  <w:tcW w:w="864" w:type="pct"/>
                  <w:vMerge w:val="continue"/>
                  <w:tcBorders>
                    <w:tl2br w:val="nil"/>
                    <w:tr2bl w:val="nil"/>
                  </w:tcBorders>
                  <w:noWrap w:val="0"/>
                  <w:vAlign w:val="center"/>
                </w:tcPr>
                <w:p w14:paraId="3DF48AB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sz w:val="18"/>
                      <w:szCs w:val="18"/>
                      <w:lang w:val="en-US" w:eastAsia="zh-CN"/>
                    </w:rPr>
                  </w:pPr>
                </w:p>
              </w:tc>
              <w:tc>
                <w:tcPr>
                  <w:tcW w:w="2030" w:type="pct"/>
                  <w:tcBorders>
                    <w:tl2br w:val="nil"/>
                    <w:tr2bl w:val="nil"/>
                  </w:tcBorders>
                  <w:noWrap w:val="0"/>
                  <w:vAlign w:val="center"/>
                </w:tcPr>
                <w:p w14:paraId="59CC444C">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color w:val="auto"/>
                      <w:sz w:val="18"/>
                      <w:szCs w:val="18"/>
                      <w:lang w:val="en-US" w:eastAsia="zh-CN"/>
                    </w:rPr>
                  </w:pPr>
                  <w:r>
                    <w:rPr>
                      <w:rFonts w:hint="eastAsia"/>
                      <w:color w:val="auto"/>
                      <w:sz w:val="18"/>
                      <w:szCs w:val="18"/>
                      <w:lang w:val="en-US" w:eastAsia="zh-CN"/>
                    </w:rPr>
                    <w:t>（6）</w:t>
                  </w:r>
                  <w:r>
                    <w:rPr>
                      <w:rFonts w:hint="default"/>
                      <w:color w:val="auto"/>
                      <w:sz w:val="18"/>
                      <w:szCs w:val="18"/>
                      <w:lang w:val="en-US" w:eastAsia="zh-CN"/>
                    </w:rPr>
                    <w:t>大力发展园区循环经济，制定切实可行的一般固体废物、危险废物和生产废水综合利用方案，提高资源利用效率。严格落实污染物总量控制要求，提出污染物减排具体方案及保障措施。</w:t>
                  </w:r>
                </w:p>
              </w:tc>
              <w:tc>
                <w:tcPr>
                  <w:tcW w:w="1677" w:type="pct"/>
                  <w:tcBorders>
                    <w:tl2br w:val="nil"/>
                    <w:tr2bl w:val="nil"/>
                  </w:tcBorders>
                  <w:noWrap w:val="0"/>
                  <w:vAlign w:val="center"/>
                </w:tcPr>
                <w:p w14:paraId="3EE64A8F">
                  <w:pPr>
                    <w:spacing w:line="240" w:lineRule="auto"/>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本项目严格落实总量控制要求</w:t>
                  </w:r>
                </w:p>
              </w:tc>
              <w:tc>
                <w:tcPr>
                  <w:tcW w:w="427" w:type="pct"/>
                  <w:tcBorders>
                    <w:tl2br w:val="nil"/>
                    <w:tr2bl w:val="nil"/>
                  </w:tcBorders>
                  <w:noWrap w:val="0"/>
                  <w:vAlign w:val="center"/>
                </w:tcPr>
                <w:p w14:paraId="1A114B3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sz w:val="18"/>
                      <w:szCs w:val="18"/>
                      <w:lang w:val="en-US" w:eastAsia="zh-CN"/>
                    </w:rPr>
                  </w:pPr>
                  <w:r>
                    <w:rPr>
                      <w:rFonts w:hint="eastAsia"/>
                      <w:color w:val="auto"/>
                      <w:sz w:val="18"/>
                      <w:szCs w:val="18"/>
                      <w:lang w:val="en-US" w:eastAsia="zh-CN"/>
                    </w:rPr>
                    <w:t>符合</w:t>
                  </w:r>
                </w:p>
              </w:tc>
            </w:tr>
            <w:tr w14:paraId="2E5ABA37">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c>
                <w:tcPr>
                  <w:tcW w:w="864" w:type="pct"/>
                  <w:vMerge w:val="continue"/>
                  <w:tcBorders>
                    <w:tl2br w:val="nil"/>
                    <w:tr2bl w:val="nil"/>
                  </w:tcBorders>
                  <w:noWrap w:val="0"/>
                  <w:vAlign w:val="center"/>
                </w:tcPr>
                <w:p w14:paraId="76E1699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sz w:val="18"/>
                      <w:szCs w:val="18"/>
                      <w:lang w:val="en-US" w:eastAsia="zh-CN"/>
                    </w:rPr>
                  </w:pPr>
                </w:p>
              </w:tc>
              <w:tc>
                <w:tcPr>
                  <w:tcW w:w="2030" w:type="pct"/>
                  <w:tcBorders>
                    <w:tl2br w:val="nil"/>
                    <w:tr2bl w:val="nil"/>
                  </w:tcBorders>
                  <w:noWrap w:val="0"/>
                  <w:vAlign w:val="center"/>
                </w:tcPr>
                <w:p w14:paraId="34677448">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color w:val="auto"/>
                      <w:sz w:val="18"/>
                      <w:szCs w:val="18"/>
                      <w:lang w:val="en-US" w:eastAsia="zh-CN"/>
                    </w:rPr>
                  </w:pPr>
                  <w:r>
                    <w:rPr>
                      <w:rFonts w:hint="eastAsia"/>
                      <w:color w:val="auto"/>
                      <w:sz w:val="18"/>
                      <w:szCs w:val="18"/>
                      <w:lang w:val="en-US" w:eastAsia="zh-CN"/>
                    </w:rPr>
                    <w:t>（7）</w:t>
                  </w:r>
                  <w:r>
                    <w:rPr>
                      <w:rFonts w:hint="default"/>
                      <w:color w:val="auto"/>
                      <w:sz w:val="18"/>
                      <w:szCs w:val="18"/>
                      <w:lang w:val="en-US" w:eastAsia="zh-CN"/>
                    </w:rPr>
                    <w:t>建立健全环境管理机构，完善各种环境管理制度、环境风险防控体系、污染防治制度和环境监控体系，确保环境安全。在园区基础设施和企业建设项目运营管理中须制定并落实事故风险防范措施和应急预案，配套完善的运行管理设施，防止污染事故的发生。</w:t>
                  </w:r>
                </w:p>
              </w:tc>
              <w:tc>
                <w:tcPr>
                  <w:tcW w:w="1677" w:type="pct"/>
                  <w:tcBorders>
                    <w:tl2br w:val="nil"/>
                    <w:tr2bl w:val="nil"/>
                  </w:tcBorders>
                  <w:noWrap w:val="0"/>
                  <w:vAlign w:val="center"/>
                </w:tcPr>
                <w:p w14:paraId="5A7032F8">
                  <w:pPr>
                    <w:spacing w:line="240" w:lineRule="auto"/>
                    <w:jc w:val="center"/>
                    <w:rPr>
                      <w:rFonts w:hint="default"/>
                      <w:color w:val="auto"/>
                      <w:sz w:val="18"/>
                      <w:szCs w:val="18"/>
                      <w:lang w:val="en-US" w:eastAsia="zh-CN"/>
                    </w:rPr>
                  </w:pPr>
                  <w:r>
                    <w:rPr>
                      <w:rFonts w:hint="eastAsia"/>
                      <w:color w:val="auto"/>
                      <w:sz w:val="18"/>
                      <w:szCs w:val="18"/>
                      <w:lang w:val="en-US" w:eastAsia="zh-CN"/>
                    </w:rPr>
                    <w:t>本项目建成后建立环境管理制度和环境风险防控体系、</w:t>
                  </w:r>
                  <w:r>
                    <w:rPr>
                      <w:rFonts w:hint="default"/>
                      <w:color w:val="auto"/>
                      <w:sz w:val="18"/>
                      <w:szCs w:val="18"/>
                      <w:lang w:val="en-US" w:eastAsia="zh-CN"/>
                    </w:rPr>
                    <w:t>污染防治制度和环境监控体系</w:t>
                  </w:r>
                  <w:r>
                    <w:rPr>
                      <w:rFonts w:hint="eastAsia"/>
                      <w:color w:val="auto"/>
                      <w:sz w:val="18"/>
                      <w:szCs w:val="18"/>
                      <w:lang w:val="en-US" w:eastAsia="zh-CN"/>
                    </w:rPr>
                    <w:t>等</w:t>
                  </w:r>
                </w:p>
              </w:tc>
              <w:tc>
                <w:tcPr>
                  <w:tcW w:w="427" w:type="pct"/>
                  <w:tcBorders>
                    <w:tl2br w:val="nil"/>
                    <w:tr2bl w:val="nil"/>
                  </w:tcBorders>
                  <w:noWrap w:val="0"/>
                  <w:vAlign w:val="center"/>
                </w:tcPr>
                <w:p w14:paraId="7CEB0B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sz w:val="18"/>
                      <w:szCs w:val="18"/>
                      <w:lang w:val="en-US" w:eastAsia="zh-CN"/>
                    </w:rPr>
                  </w:pPr>
                  <w:r>
                    <w:rPr>
                      <w:rFonts w:hint="eastAsia"/>
                      <w:color w:val="auto"/>
                      <w:sz w:val="18"/>
                      <w:szCs w:val="18"/>
                      <w:lang w:val="en-US" w:eastAsia="zh-CN"/>
                    </w:rPr>
                    <w:t>符合</w:t>
                  </w:r>
                </w:p>
              </w:tc>
            </w:tr>
          </w:tbl>
          <w:p w14:paraId="29019437">
            <w:pPr>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both"/>
              <w:textAlignment w:val="auto"/>
              <w:rPr>
                <w:rFonts w:hint="default" w:ascii="Times New Roman" w:hAnsi="Times New Roman" w:eastAsia="宋体" w:cs="Times New Roman"/>
                <w:color w:val="auto"/>
                <w:kern w:val="0"/>
                <w:szCs w:val="21"/>
                <w:lang w:val="en-US" w:eastAsia="zh-CN"/>
              </w:rPr>
            </w:pPr>
          </w:p>
          <w:p w14:paraId="2107FA3E">
            <w:pPr>
              <w:keepNext/>
              <w:keepLines/>
              <w:pageBreakBefore w:val="0"/>
              <w:widowControl w:val="0"/>
              <w:kinsoku/>
              <w:wordWrap/>
              <w:overflowPunct/>
              <w:topLinePunct w:val="0"/>
              <w:autoSpaceDE/>
              <w:autoSpaceDN/>
              <w:bidi w:val="0"/>
              <w:adjustRightInd/>
              <w:snapToGrid/>
              <w:spacing w:line="360" w:lineRule="auto"/>
              <w:ind w:firstLine="422" w:firstLineChars="200"/>
              <w:jc w:val="both"/>
              <w:textAlignment w:val="auto"/>
              <w:outlineLvl w:val="1"/>
              <w:rPr>
                <w:rFonts w:hint="default"/>
                <w:b/>
                <w:bCs/>
                <w:color w:val="auto"/>
                <w:sz w:val="21"/>
                <w:szCs w:val="21"/>
                <w:lang w:val="en-US" w:eastAsia="zh-CN"/>
              </w:rPr>
            </w:pPr>
            <w:r>
              <w:rPr>
                <w:rFonts w:hint="eastAsia"/>
                <w:b/>
                <w:bCs/>
                <w:color w:val="auto"/>
                <w:sz w:val="21"/>
                <w:szCs w:val="21"/>
                <w:lang w:val="en-US" w:eastAsia="zh-CN"/>
              </w:rPr>
              <w:t>2.</w:t>
            </w:r>
            <w:r>
              <w:rPr>
                <w:rFonts w:hint="default" w:ascii="宋体" w:cs="Times New Roman"/>
                <w:b/>
                <w:color w:val="auto"/>
                <w:kern w:val="0"/>
                <w:sz w:val="21"/>
                <w:szCs w:val="21"/>
              </w:rPr>
              <w:t>与《昌吉市国土空间总体规划 2021—2035年）》符合性分析</w:t>
            </w:r>
          </w:p>
          <w:p w14:paraId="2DA43CA6">
            <w:pPr>
              <w:keepNext w:val="0"/>
              <w:keepLines w:val="0"/>
              <w:pageBreakBefore w:val="0"/>
              <w:widowControl/>
              <w:suppressLineNumbers w:val="0"/>
              <w:kinsoku/>
              <w:wordWrap/>
              <w:overflowPunct w:val="0"/>
              <w:topLinePunct/>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en-US" w:eastAsia="zh-CN"/>
              </w:rPr>
              <w:t>根据《昌吉市国土空间总体规划 2021—2035年）》及《新疆维吾尔自治区人民政府关于《昌吉市国土空间总体规划（2021-2035年）》的批复》（新政函〔2024〕137 号）可知：昌吉市行政辖区范围，辖8镇2乡、昌吉国家农业科技园区（以下简称“农业园区”）、昌吉国家高新技术产业开发区（以下简称“高新区”）辖区内有新疆生产建设兵团第六师103团、第六师105团、第六师共青团农场、第六师军户农场、第十二师 104 团。市域国土调查面积7974.4 平方公里，其中昌吉市管辖土地 7163.2 平方公里，新疆生产建设兵团使用土地811.2平方公里。尊重“高山-绿洲-荒漠”垂直分布特征下的自然地理格局，优化生态、生产、生活空间，促进生态稳定、农业高效、城镇有序，推动绿洲城市高质量发展，构建全市“两带三片，一轴一城两园”的国土空间开发保护总体格局。“两带”指北部沙漠生态防护带与南部山前生态保护带；“三片”指南部天山生态屏障片区、北部荒漠生态屏障片区、绿洲农牧特色发展片区；“一轴”指乌昌综合服务轴；“一城两园”指昌吉市中心城区、昌吉国家农业科技园区与昌吉国家高新技术产业园。昌吉国家高新技术产业园重点发展装备制造、生物科技、新材料三大主导产业；培育信息技术、节能环保、医疗装备、新能源等战略新兴产业；做优职教、物流、通航、科创、金融等现代服务功能。本项目</w:t>
            </w:r>
            <w:r>
              <w:rPr>
                <w:rFonts w:hint="eastAsia" w:cs="Times New Roman"/>
                <w:color w:val="auto"/>
                <w:kern w:val="0"/>
                <w:sz w:val="21"/>
                <w:szCs w:val="21"/>
                <w:lang w:val="en-US" w:eastAsia="zh-CN"/>
              </w:rPr>
              <w:t>钢压延加工</w:t>
            </w:r>
            <w:r>
              <w:rPr>
                <w:rFonts w:hint="default" w:ascii="Times New Roman" w:hAnsi="Times New Roman" w:cs="Times New Roman"/>
                <w:color w:val="auto"/>
                <w:kern w:val="0"/>
                <w:sz w:val="21"/>
                <w:szCs w:val="21"/>
                <w:lang w:val="en-US" w:eastAsia="zh-CN"/>
              </w:rPr>
              <w:t>项目，位于昌吉国家高新技术产业开发区</w:t>
            </w:r>
            <w:r>
              <w:rPr>
                <w:rFonts w:hint="eastAsia" w:cs="Times New Roman"/>
                <w:color w:val="auto"/>
                <w:kern w:val="0"/>
                <w:sz w:val="21"/>
                <w:szCs w:val="21"/>
                <w:lang w:val="en-US" w:eastAsia="zh-CN"/>
              </w:rPr>
              <w:t>综合发展区</w:t>
            </w:r>
            <w:r>
              <w:rPr>
                <w:rFonts w:hint="default" w:ascii="Times New Roman" w:hAnsi="Times New Roman" w:cs="Times New Roman"/>
                <w:color w:val="auto"/>
                <w:kern w:val="0"/>
                <w:sz w:val="21"/>
                <w:szCs w:val="21"/>
                <w:lang w:val="en-US" w:eastAsia="zh-CN"/>
              </w:rPr>
              <w:t>，属于《昌吉市国土空间总体规划2021—2035年）》“两带三片，一轴一城两园”所划定的范围内，用地属于昌吉高新技术产业开发区现规划的工业用地</w:t>
            </w:r>
            <w:r>
              <w:rPr>
                <w:rFonts w:hint="eastAsia" w:cs="Times New Roman"/>
                <w:color w:val="auto"/>
                <w:kern w:val="0"/>
                <w:sz w:val="21"/>
                <w:szCs w:val="21"/>
                <w:lang w:val="en-US" w:eastAsia="zh-CN"/>
              </w:rPr>
              <w:t>，符合</w:t>
            </w:r>
            <w:r>
              <w:rPr>
                <w:rFonts w:hint="default" w:ascii="Times New Roman" w:hAnsi="Times New Roman" w:cs="Times New Roman"/>
                <w:color w:val="auto"/>
                <w:kern w:val="0"/>
                <w:sz w:val="21"/>
                <w:szCs w:val="21"/>
                <w:lang w:val="en-US" w:eastAsia="zh-CN"/>
              </w:rPr>
              <w:t>《昌吉市国土空间总体规划2021—2035年）》。</w:t>
            </w:r>
          </w:p>
        </w:tc>
      </w:tr>
      <w:tr w14:paraId="034DC7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08" w:type="dxa"/>
            <w:noWrap w:val="0"/>
            <w:vAlign w:val="center"/>
          </w:tcPr>
          <w:p w14:paraId="3768F446">
            <w:pPr>
              <w:autoSpaceDE w:val="0"/>
              <w:autoSpaceDN w:val="0"/>
              <w:adjustRightInd w:val="0"/>
              <w:snapToGrid w:val="0"/>
              <w:jc w:val="center"/>
              <w:rPr>
                <w:rFonts w:hint="eastAsia"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rPr>
              <w:t>其他符合性分析</w:t>
            </w:r>
          </w:p>
        </w:tc>
        <w:tc>
          <w:tcPr>
            <w:tcW w:w="7762" w:type="dxa"/>
            <w:gridSpan w:val="3"/>
            <w:noWrap w:val="0"/>
            <w:vAlign w:val="center"/>
          </w:tcPr>
          <w:p w14:paraId="4D6EE932">
            <w:pPr>
              <w:keepNext w:val="0"/>
              <w:keepLines w:val="0"/>
              <w:pageBreakBefore w:val="0"/>
              <w:widowControl w:val="0"/>
              <w:numPr>
                <w:ilvl w:val="0"/>
                <w:numId w:val="0"/>
              </w:numPr>
              <w:kinsoku/>
              <w:wordWrap/>
              <w:overflowPunct/>
              <w:topLinePunct w:val="0"/>
              <w:bidi w:val="0"/>
              <w:adjustRightInd w:val="0"/>
              <w:snapToGrid w:val="0"/>
              <w:spacing w:line="360" w:lineRule="auto"/>
              <w:textAlignment w:val="auto"/>
              <w:rPr>
                <w:rFonts w:hint="default" w:ascii="Times New Roman" w:hAnsi="Times New Roman" w:cs="Times New Roman"/>
                <w:b/>
                <w:color w:val="auto"/>
                <w:kern w:val="0"/>
                <w:sz w:val="21"/>
                <w:szCs w:val="21"/>
              </w:rPr>
            </w:pPr>
            <w:r>
              <w:rPr>
                <w:rFonts w:hint="eastAsia" w:cs="Times New Roman"/>
                <w:b/>
                <w:color w:val="auto"/>
                <w:kern w:val="0"/>
                <w:sz w:val="21"/>
                <w:szCs w:val="21"/>
                <w:lang w:val="en-US" w:eastAsia="zh-CN"/>
              </w:rPr>
              <w:t>1. 产业政策</w:t>
            </w:r>
            <w:r>
              <w:rPr>
                <w:rFonts w:hint="default" w:ascii="Times New Roman" w:hAnsi="Times New Roman" w:cs="Times New Roman"/>
                <w:b/>
                <w:color w:val="auto"/>
                <w:kern w:val="0"/>
                <w:sz w:val="21"/>
                <w:szCs w:val="21"/>
              </w:rPr>
              <w:t>相符性</w:t>
            </w:r>
          </w:p>
          <w:p w14:paraId="443F1D1B">
            <w:pPr>
              <w:keepNext w:val="0"/>
              <w:keepLines w:val="0"/>
              <w:pageBreakBefore w:val="0"/>
              <w:widowControl w:val="0"/>
              <w:numPr>
                <w:ilvl w:val="0"/>
                <w:numId w:val="0"/>
              </w:numPr>
              <w:kinsoku/>
              <w:wordWrap/>
              <w:overflowPunct/>
              <w:topLinePunct w:val="0"/>
              <w:bidi w:val="0"/>
              <w:adjustRightInd w:val="0"/>
              <w:snapToGrid w:val="0"/>
              <w:spacing w:line="360" w:lineRule="auto"/>
              <w:ind w:firstLine="420" w:firstLineChars="200"/>
              <w:textAlignment w:val="auto"/>
              <w:rPr>
                <w:rFonts w:hint="default" w:ascii="Times New Roman" w:hAnsi="Times New Roman" w:cs="Times New Roman"/>
                <w:b w:val="0"/>
                <w:bCs/>
                <w:color w:val="auto"/>
                <w:kern w:val="0"/>
                <w:sz w:val="21"/>
                <w:szCs w:val="21"/>
                <w:highlight w:val="none"/>
              </w:rPr>
            </w:pPr>
            <w:r>
              <w:rPr>
                <w:rFonts w:hint="default" w:ascii="Times New Roman" w:hAnsi="Times New Roman" w:cs="Times New Roman"/>
                <w:b w:val="0"/>
                <w:bCs/>
                <w:color w:val="auto"/>
                <w:kern w:val="0"/>
                <w:sz w:val="21"/>
                <w:szCs w:val="21"/>
                <w:highlight w:val="none"/>
              </w:rPr>
              <w:t>本项目</w:t>
            </w:r>
            <w:r>
              <w:rPr>
                <w:rFonts w:hint="eastAsia" w:cs="Times New Roman"/>
                <w:b w:val="0"/>
                <w:bCs/>
                <w:color w:val="auto"/>
                <w:kern w:val="0"/>
                <w:sz w:val="21"/>
                <w:szCs w:val="21"/>
                <w:highlight w:val="none"/>
                <w:lang w:val="en-US" w:eastAsia="zh-CN"/>
              </w:rPr>
              <w:t>属于</w:t>
            </w:r>
            <w:r>
              <w:rPr>
                <w:rFonts w:hint="default" w:ascii="Times New Roman" w:hAnsi="Times New Roman" w:cs="Times New Roman"/>
                <w:color w:val="auto"/>
                <w:sz w:val="21"/>
                <w:szCs w:val="21"/>
                <w:lang w:val="en-US" w:eastAsia="zh-CN"/>
              </w:rPr>
              <w:t>钢压延加工</w:t>
            </w:r>
            <w:r>
              <w:rPr>
                <w:rFonts w:hint="eastAsia" w:cs="Times New Roman"/>
                <w:b w:val="0"/>
                <w:bCs/>
                <w:color w:val="auto"/>
                <w:kern w:val="0"/>
                <w:sz w:val="21"/>
                <w:szCs w:val="21"/>
                <w:highlight w:val="none"/>
                <w:lang w:val="en-US" w:eastAsia="zh-CN"/>
              </w:rPr>
              <w:t>项目</w:t>
            </w:r>
            <w:r>
              <w:rPr>
                <w:rFonts w:hint="default" w:ascii="Times New Roman" w:hAnsi="Times New Roman" w:cs="Times New Roman"/>
                <w:b w:val="0"/>
                <w:bCs/>
                <w:color w:val="auto"/>
                <w:kern w:val="0"/>
                <w:sz w:val="21"/>
                <w:szCs w:val="21"/>
                <w:highlight w:val="none"/>
              </w:rPr>
              <w:t>，根据</w:t>
            </w:r>
            <w:r>
              <w:rPr>
                <w:rFonts w:hint="eastAsia" w:cs="Times New Roman"/>
                <w:b w:val="0"/>
                <w:bCs/>
                <w:color w:val="auto"/>
                <w:kern w:val="0"/>
                <w:sz w:val="21"/>
                <w:szCs w:val="21"/>
                <w:highlight w:val="none"/>
                <w:lang w:eastAsia="zh-CN"/>
              </w:rPr>
              <w:t>《产业结构调整指导目录（2024年本）》</w:t>
            </w:r>
            <w:r>
              <w:rPr>
                <w:rFonts w:hint="default" w:ascii="Times New Roman" w:hAnsi="Times New Roman" w:cs="Times New Roman"/>
                <w:b w:val="0"/>
                <w:bCs/>
                <w:color w:val="auto"/>
                <w:kern w:val="0"/>
                <w:sz w:val="21"/>
                <w:szCs w:val="21"/>
                <w:highlight w:val="none"/>
              </w:rPr>
              <w:t>中相关内容，本项目不属于鼓励类、限制类、淘汰类建设项目，为允许类建设项目</w:t>
            </w:r>
            <w:r>
              <w:rPr>
                <w:rFonts w:hint="eastAsia" w:ascii="Times New Roman" w:hAnsi="Times New Roman" w:cs="Times New Roman"/>
                <w:b w:val="0"/>
                <w:bCs/>
                <w:color w:val="auto"/>
                <w:kern w:val="0"/>
                <w:sz w:val="21"/>
                <w:szCs w:val="21"/>
                <w:highlight w:val="none"/>
                <w:lang w:eastAsia="zh-CN"/>
              </w:rPr>
              <w:t>，</w:t>
            </w:r>
            <w:r>
              <w:rPr>
                <w:rFonts w:hint="default" w:ascii="Times New Roman" w:hAnsi="Times New Roman" w:cs="Times New Roman"/>
                <w:b w:val="0"/>
                <w:bCs/>
                <w:color w:val="auto"/>
                <w:kern w:val="0"/>
                <w:sz w:val="21"/>
                <w:szCs w:val="21"/>
                <w:highlight w:val="none"/>
              </w:rPr>
              <w:t>因此，项目符合国家产业政策。</w:t>
            </w:r>
          </w:p>
          <w:p w14:paraId="69DFD58F">
            <w:pPr>
              <w:keepNext w:val="0"/>
              <w:keepLines w:val="0"/>
              <w:pageBreakBefore w:val="0"/>
              <w:widowControl w:val="0"/>
              <w:numPr>
                <w:ilvl w:val="0"/>
                <w:numId w:val="0"/>
              </w:numPr>
              <w:kinsoku/>
              <w:wordWrap/>
              <w:overflowPunct/>
              <w:topLinePunct w:val="0"/>
              <w:bidi w:val="0"/>
              <w:adjustRightInd w:val="0"/>
              <w:snapToGrid w:val="0"/>
              <w:spacing w:line="360" w:lineRule="auto"/>
              <w:ind w:firstLine="420" w:firstLineChars="200"/>
              <w:textAlignment w:val="auto"/>
              <w:rPr>
                <w:color w:val="auto"/>
                <w:sz w:val="21"/>
                <w:szCs w:val="21"/>
              </w:rPr>
            </w:pPr>
            <w:r>
              <w:rPr>
                <w:rFonts w:hint="eastAsia" w:cs="Times New Roman"/>
                <w:b w:val="0"/>
                <w:bCs/>
                <w:color w:val="auto"/>
                <w:kern w:val="0"/>
                <w:sz w:val="21"/>
                <w:szCs w:val="21"/>
                <w:highlight w:val="none"/>
                <w:lang w:val="en-US" w:eastAsia="zh-CN"/>
              </w:rPr>
              <w:t>本项目已取得昌吉高新技术产业开发区产业发展科技局出具的备案证（项目代码：</w:t>
            </w:r>
            <w:r>
              <w:rPr>
                <w:rFonts w:hint="eastAsia" w:ascii="Times New Roman" w:hAnsi="Times New Roman" w:eastAsia="宋体" w:cs="Times New Roman"/>
                <w:color w:val="auto"/>
                <w:sz w:val="21"/>
                <w:szCs w:val="21"/>
                <w:highlight w:val="none"/>
                <w:lang w:val="en-US" w:eastAsia="zh-CN"/>
              </w:rPr>
              <w:t>2512-652312-04-01-637363</w:t>
            </w:r>
            <w:r>
              <w:rPr>
                <w:rFonts w:hint="eastAsia" w:cs="Times New Roman"/>
                <w:b w:val="0"/>
                <w:bCs/>
                <w:color w:val="auto"/>
                <w:kern w:val="0"/>
                <w:sz w:val="21"/>
                <w:szCs w:val="21"/>
                <w:highlight w:val="none"/>
                <w:lang w:val="en-US" w:eastAsia="zh-CN"/>
              </w:rPr>
              <w:t>）</w:t>
            </w:r>
            <w:r>
              <w:rPr>
                <w:rFonts w:hint="default" w:ascii="Times New Roman" w:hAnsi="Times New Roman" w:cs="Times New Roman"/>
                <w:b w:val="0"/>
                <w:bCs/>
                <w:color w:val="auto"/>
                <w:kern w:val="0"/>
                <w:sz w:val="21"/>
                <w:szCs w:val="21"/>
                <w:highlight w:val="none"/>
              </w:rPr>
              <w:t>。</w:t>
            </w:r>
          </w:p>
          <w:p w14:paraId="2DBB75E7">
            <w:pPr>
              <w:pStyle w:val="4"/>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lang w:val="en-US" w:eastAsia="zh-CN"/>
              </w:rPr>
              <w:t>与《钢铁建设项目环境影响评价文件审批原则》（环办环评[2022]31号）符合性分析</w:t>
            </w:r>
          </w:p>
          <w:p w14:paraId="06CC034D">
            <w:pPr>
              <w:spacing w:line="240" w:lineRule="auto"/>
              <w:jc w:val="center"/>
              <w:rPr>
                <w:rFonts w:hint="default" w:ascii="Times New Roman" w:hAnsi="Times New Roman" w:eastAsia="黑体" w:cs="Times New Roman"/>
                <w:b w:val="0"/>
                <w:bCs w:val="0"/>
                <w:color w:val="auto"/>
                <w:sz w:val="21"/>
                <w:szCs w:val="21"/>
                <w:lang w:val="en-US" w:eastAsia="zh-CN"/>
              </w:rPr>
            </w:pPr>
            <w:r>
              <w:rPr>
                <w:rFonts w:hint="default" w:ascii="Times New Roman" w:hAnsi="Times New Roman" w:eastAsia="黑体" w:cs="Times New Roman"/>
                <w:b w:val="0"/>
                <w:bCs w:val="0"/>
                <w:color w:val="auto"/>
                <w:sz w:val="21"/>
                <w:szCs w:val="21"/>
                <w:lang w:val="en-US" w:eastAsia="zh-CN"/>
              </w:rPr>
              <w:t>表1-1与环办环评[2022]31号符合性分析</w:t>
            </w:r>
          </w:p>
          <w:tbl>
            <w:tblPr>
              <w:tblStyle w:val="33"/>
              <w:tblW w:w="4997" w:type="pct"/>
              <w:tblInd w:w="5"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57" w:type="dxa"/>
                <w:bottom w:w="28" w:type="dxa"/>
                <w:right w:w="57" w:type="dxa"/>
              </w:tblCellMar>
            </w:tblPr>
            <w:tblGrid>
              <w:gridCol w:w="542"/>
              <w:gridCol w:w="3548"/>
              <w:gridCol w:w="2695"/>
              <w:gridCol w:w="736"/>
            </w:tblGrid>
            <w:tr w14:paraId="2BB6A2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2719" w:type="pct"/>
                  <w:gridSpan w:val="2"/>
                  <w:tcBorders>
                    <w:tl2br w:val="nil"/>
                    <w:tr2bl w:val="nil"/>
                  </w:tcBorders>
                  <w:noWrap w:val="0"/>
                  <w:vAlign w:val="center"/>
                </w:tcPr>
                <w:p w14:paraId="42B6F4D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bCs/>
                      <w:color w:val="auto"/>
                      <w:sz w:val="18"/>
                      <w:szCs w:val="18"/>
                    </w:rPr>
                  </w:pPr>
                  <w:r>
                    <w:rPr>
                      <w:rFonts w:hint="default" w:ascii="Times New Roman" w:hAnsi="Times New Roman" w:cs="Times New Roman"/>
                      <w:b/>
                      <w:bCs/>
                      <w:color w:val="auto"/>
                      <w:sz w:val="18"/>
                      <w:szCs w:val="18"/>
                      <w:lang w:val="en-US" w:eastAsia="zh-CN"/>
                    </w:rPr>
                    <w:t>文件</w:t>
                  </w:r>
                  <w:r>
                    <w:rPr>
                      <w:rFonts w:hint="default" w:ascii="Times New Roman" w:hAnsi="Times New Roman" w:eastAsia="宋体" w:cs="Times New Roman"/>
                      <w:b/>
                      <w:bCs/>
                      <w:color w:val="auto"/>
                      <w:sz w:val="18"/>
                      <w:szCs w:val="18"/>
                    </w:rPr>
                    <w:t>要求</w:t>
                  </w:r>
                </w:p>
              </w:tc>
              <w:tc>
                <w:tcPr>
                  <w:tcW w:w="1791" w:type="pct"/>
                  <w:tcBorders>
                    <w:tl2br w:val="nil"/>
                    <w:tr2bl w:val="nil"/>
                  </w:tcBorders>
                  <w:noWrap w:val="0"/>
                  <w:vAlign w:val="center"/>
                </w:tcPr>
                <w:p w14:paraId="0C2FCAC1">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项目情况</w:t>
                  </w:r>
                </w:p>
              </w:tc>
              <w:tc>
                <w:tcPr>
                  <w:tcW w:w="489" w:type="pct"/>
                  <w:tcBorders>
                    <w:tl2br w:val="nil"/>
                    <w:tr2bl w:val="nil"/>
                  </w:tcBorders>
                  <w:noWrap w:val="0"/>
                  <w:vAlign w:val="center"/>
                </w:tcPr>
                <w:p w14:paraId="2E2E029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符合性</w:t>
                  </w:r>
                </w:p>
              </w:tc>
            </w:tr>
            <w:tr w14:paraId="5CA816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361" w:type="pct"/>
                  <w:tcBorders>
                    <w:tl2br w:val="nil"/>
                    <w:tr2bl w:val="nil"/>
                  </w:tcBorders>
                  <w:noWrap w:val="0"/>
                  <w:vAlign w:val="center"/>
                </w:tcPr>
                <w:p w14:paraId="2E1ADE35">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1</w:t>
                  </w:r>
                </w:p>
              </w:tc>
              <w:tc>
                <w:tcPr>
                  <w:tcW w:w="2357" w:type="pct"/>
                  <w:tcBorders>
                    <w:tl2br w:val="nil"/>
                    <w:tr2bl w:val="nil"/>
                  </w:tcBorders>
                  <w:noWrap w:val="0"/>
                  <w:vAlign w:val="center"/>
                </w:tcPr>
                <w:p w14:paraId="1F84C299">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项目应符合生态环境保护相关法律法规、法定规划以及相关产业结构调整、区域及行业碳达峰碳中和目标、煤炭消费总量控制、重点污染物总量控制等政策要求。</w:t>
                  </w:r>
                </w:p>
              </w:tc>
              <w:tc>
                <w:tcPr>
                  <w:tcW w:w="1791" w:type="pct"/>
                  <w:tcBorders>
                    <w:tl2br w:val="nil"/>
                    <w:tr2bl w:val="nil"/>
                  </w:tcBorders>
                  <w:noWrap w:val="0"/>
                  <w:vAlign w:val="center"/>
                </w:tcPr>
                <w:p w14:paraId="7779F3CF">
                  <w:pPr>
                    <w:keepNext w:val="0"/>
                    <w:keepLines w:val="0"/>
                    <w:pageBreakBefore w:val="0"/>
                    <w:widowControl/>
                    <w:suppressLineNumbers w:val="0"/>
                    <w:kinsoku/>
                    <w:wordWrap/>
                    <w:overflowPunct/>
                    <w:topLinePunct w:val="0"/>
                    <w:autoSpaceDE/>
                    <w:autoSpaceDN/>
                    <w:bidi w:val="0"/>
                    <w:spacing w:line="240" w:lineRule="auto"/>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0"/>
                      <w:sz w:val="18"/>
                      <w:szCs w:val="18"/>
                      <w:lang w:val="en-US" w:eastAsia="zh-CN" w:bidi="ar"/>
                    </w:rPr>
                    <w:t>根据</w:t>
                  </w:r>
                  <w:r>
                    <w:rPr>
                      <w:rFonts w:hint="eastAsia" w:cs="Times New Roman"/>
                      <w:color w:val="auto"/>
                      <w:kern w:val="0"/>
                      <w:sz w:val="18"/>
                      <w:szCs w:val="18"/>
                      <w:lang w:val="en-US" w:eastAsia="zh-CN" w:bidi="ar"/>
                    </w:rPr>
                    <w:t>《产业结构调整指导目录（2024年本）》</w:t>
                  </w:r>
                  <w:r>
                    <w:rPr>
                      <w:rFonts w:hint="default" w:ascii="Times New Roman" w:hAnsi="Times New Roman" w:eastAsia="宋体" w:cs="Times New Roman"/>
                      <w:color w:val="auto"/>
                      <w:kern w:val="0"/>
                      <w:sz w:val="18"/>
                      <w:szCs w:val="18"/>
                      <w:lang w:val="en-US" w:eastAsia="zh-CN" w:bidi="ar"/>
                    </w:rPr>
                    <w:t>，</w:t>
                  </w:r>
                  <w:r>
                    <w:rPr>
                      <w:rFonts w:hint="default" w:ascii="Times New Roman" w:hAnsi="Times New Roman" w:cs="Times New Roman"/>
                      <w:b w:val="0"/>
                      <w:bCs/>
                      <w:color w:val="auto"/>
                      <w:kern w:val="0"/>
                      <w:sz w:val="18"/>
                      <w:szCs w:val="18"/>
                      <w:highlight w:val="none"/>
                      <w:lang w:val="en-US" w:eastAsia="zh-CN"/>
                    </w:rPr>
                    <w:t>本项目属于允许类项目，</w:t>
                  </w:r>
                  <w:r>
                    <w:rPr>
                      <w:rFonts w:hint="default" w:ascii="Times New Roman" w:hAnsi="Times New Roman" w:eastAsia="宋体" w:cs="Times New Roman"/>
                      <w:color w:val="auto"/>
                      <w:kern w:val="0"/>
                      <w:sz w:val="18"/>
                      <w:szCs w:val="18"/>
                      <w:lang w:val="en-US" w:eastAsia="zh-CN" w:bidi="ar"/>
                    </w:rPr>
                    <w:t>本项目的建设符合生态环境保护相关法律法规、法定规划以及相关产业结构调整、重点污染物总量控制等政策要求</w:t>
                  </w:r>
                </w:p>
              </w:tc>
              <w:tc>
                <w:tcPr>
                  <w:tcW w:w="489" w:type="pct"/>
                  <w:tcBorders>
                    <w:tl2br w:val="nil"/>
                    <w:tr2bl w:val="nil"/>
                  </w:tcBorders>
                  <w:noWrap w:val="0"/>
                  <w:vAlign w:val="center"/>
                </w:tcPr>
                <w:p w14:paraId="60DCEA3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r w14:paraId="57BAB2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361" w:type="pct"/>
                  <w:tcBorders>
                    <w:tl2br w:val="nil"/>
                    <w:tr2bl w:val="nil"/>
                  </w:tcBorders>
                  <w:noWrap w:val="0"/>
                  <w:vAlign w:val="center"/>
                </w:tcPr>
                <w:p w14:paraId="5BECBCAC">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2</w:t>
                  </w:r>
                </w:p>
              </w:tc>
              <w:tc>
                <w:tcPr>
                  <w:tcW w:w="2357" w:type="pct"/>
                  <w:tcBorders>
                    <w:tl2br w:val="nil"/>
                    <w:tr2bl w:val="nil"/>
                  </w:tcBorders>
                  <w:noWrap w:val="0"/>
                  <w:vAlign w:val="center"/>
                </w:tcPr>
                <w:p w14:paraId="74462951">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项目选址应符合生态环境分区管控要求，不得位于法律法规明令禁止建设的区域，应避开生态保护红线。新建、扩建焦化项目应布设在依法合规设立的产业园区，并符合规划及规划环境影响评价要求。长江经济带区域内及沿黄重点地区禁止在合规园区外新建、扩建钢铁冶炼项目。鼓励钢铁冶炼项目依托现有生产基地集聚发展，鼓励新建焦化项目与钢铁、化工产业融合，促进区域减污降碳协同发展。</w:t>
                  </w:r>
                </w:p>
              </w:tc>
              <w:tc>
                <w:tcPr>
                  <w:tcW w:w="1791" w:type="pct"/>
                  <w:tcBorders>
                    <w:tl2br w:val="nil"/>
                    <w:tr2bl w:val="nil"/>
                  </w:tcBorders>
                  <w:noWrap w:val="0"/>
                  <w:vAlign w:val="center"/>
                </w:tcPr>
                <w:p w14:paraId="09D76B7A">
                  <w:pPr>
                    <w:keepNext w:val="0"/>
                    <w:keepLines w:val="0"/>
                    <w:pageBreakBefore w:val="0"/>
                    <w:widowControl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本项目位于昌吉高新技术产业开发区，不涉及生态红线，符合园区规划</w:t>
                  </w:r>
                </w:p>
              </w:tc>
              <w:tc>
                <w:tcPr>
                  <w:tcW w:w="489" w:type="pct"/>
                  <w:tcBorders>
                    <w:tl2br w:val="nil"/>
                    <w:tr2bl w:val="nil"/>
                  </w:tcBorders>
                  <w:noWrap w:val="0"/>
                  <w:vAlign w:val="center"/>
                </w:tcPr>
                <w:p w14:paraId="3F930DAC">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r w14:paraId="1A8E71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361" w:type="pct"/>
                  <w:tcBorders>
                    <w:tl2br w:val="nil"/>
                    <w:tr2bl w:val="nil"/>
                  </w:tcBorders>
                  <w:noWrap w:val="0"/>
                  <w:vAlign w:val="center"/>
                </w:tcPr>
                <w:p w14:paraId="6C7AAD10">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3</w:t>
                  </w:r>
                </w:p>
              </w:tc>
              <w:tc>
                <w:tcPr>
                  <w:tcW w:w="2357" w:type="pct"/>
                  <w:tcBorders>
                    <w:tl2br w:val="nil"/>
                    <w:tr2bl w:val="nil"/>
                  </w:tcBorders>
                  <w:noWrap w:val="0"/>
                  <w:vAlign w:val="center"/>
                </w:tcPr>
                <w:p w14:paraId="16A928A9">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新建、扩建项目采用资源利用率高、污染物产生量小的清洁生产技术、工艺和设备，单位产品的能耗、物耗、水耗、资源综合利用和污染物排放量等指标应达到清洁生产国内先进水平，其中新建炼焦项目应达到煤炭清洁高效利用标杆水平。新建高炉、转炉工序和电弧炉冶炼的单位产品能耗应达到高耗能行业能效标杆水平。</w:t>
                  </w:r>
                </w:p>
              </w:tc>
              <w:tc>
                <w:tcPr>
                  <w:tcW w:w="1791" w:type="pct"/>
                  <w:tcBorders>
                    <w:tl2br w:val="nil"/>
                    <w:tr2bl w:val="nil"/>
                  </w:tcBorders>
                  <w:noWrap w:val="0"/>
                  <w:vAlign w:val="center"/>
                </w:tcPr>
                <w:p w14:paraId="70D1AC96">
                  <w:pPr>
                    <w:pStyle w:val="13"/>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在项目能耗中，水的循环重复</w:t>
                  </w:r>
                  <w:r>
                    <w:rPr>
                      <w:rFonts w:hint="eastAsia" w:cs="Times New Roman"/>
                      <w:color w:val="auto"/>
                      <w:sz w:val="18"/>
                      <w:szCs w:val="18"/>
                      <w:lang w:val="en-US" w:eastAsia="zh-CN"/>
                    </w:rPr>
                    <w:t>利用率高，</w:t>
                  </w:r>
                  <w:r>
                    <w:rPr>
                      <w:rFonts w:hint="default" w:ascii="Times New Roman" w:hAnsi="Times New Roman" w:eastAsia="宋体" w:cs="Times New Roman"/>
                      <w:color w:val="auto"/>
                      <w:sz w:val="18"/>
                      <w:szCs w:val="18"/>
                      <w:lang w:val="en-US" w:eastAsia="zh-CN"/>
                    </w:rPr>
                    <w:t>符合国家的节水政策。本项目所采用的是先进的生产技术和装备，并具有丰富的节能管理技术。项目技术先进，产品能耗低，节能效果显著</w:t>
                  </w:r>
                </w:p>
              </w:tc>
              <w:tc>
                <w:tcPr>
                  <w:tcW w:w="489" w:type="pct"/>
                  <w:tcBorders>
                    <w:tl2br w:val="nil"/>
                    <w:tr2bl w:val="nil"/>
                  </w:tcBorders>
                  <w:noWrap w:val="0"/>
                  <w:vAlign w:val="center"/>
                </w:tcPr>
                <w:p w14:paraId="1E5C9BB2">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r w14:paraId="7431EC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361" w:type="pct"/>
                  <w:tcBorders>
                    <w:tl2br w:val="nil"/>
                    <w:tr2bl w:val="nil"/>
                  </w:tcBorders>
                  <w:noWrap w:val="0"/>
                  <w:vAlign w:val="center"/>
                </w:tcPr>
                <w:p w14:paraId="13E4399A">
                  <w:pPr>
                    <w:pStyle w:val="1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4</w:t>
                  </w:r>
                </w:p>
              </w:tc>
              <w:tc>
                <w:tcPr>
                  <w:tcW w:w="2357" w:type="pct"/>
                  <w:tcBorders>
                    <w:tl2br w:val="nil"/>
                    <w:tr2bl w:val="nil"/>
                  </w:tcBorders>
                  <w:noWrap w:val="0"/>
                  <w:vAlign w:val="center"/>
                </w:tcPr>
                <w:p w14:paraId="7422374F">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新建（含搬迁）钢铁、焦化项目原则上应达到超低排放水平，鼓励改建、扩建项目达到钢铁和焦化行业超低排放水平，原则上不得配备自备燃煤机组。有组织废气进行收集并按要求配备高效的脱硫、脱硝、除尘设施，焦炉煤气净化系统、罐区、酚氰废水预处理设施区域以及装卸产生的含挥发性有机物气体进行收集处理，烧结、电炉工序采取必要的二噁英控制措施，冷轧酸雾、碱雾、油雾和有机废气采取净化措施。新建高炉、焦炉实施煤气精脱硫，高炉热风炉、轧钢热处理炉采用低氮燃烧技术。厂区内物料运输优先采用气力输送、封闭皮带通廊或新能源车辆，鼓励厂内非道路移动机械采用国三及以上阶段标准或新能源机械。</w:t>
                  </w:r>
                </w:p>
                <w:p w14:paraId="6C3DDA1D">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18"/>
                      <w:szCs w:val="18"/>
                      <w:lang w:val="en-US" w:eastAsia="zh-CN"/>
                    </w:rPr>
                  </w:pPr>
                  <w:r>
                    <w:rPr>
                      <w:rFonts w:hint="default" w:ascii="Times New Roman" w:hAnsi="Times New Roman" w:eastAsia="宋体" w:cs="Times New Roman"/>
                      <w:color w:val="auto"/>
                      <w:sz w:val="18"/>
                      <w:szCs w:val="18"/>
                      <w:highlight w:val="none"/>
                      <w:lang w:val="en-US" w:eastAsia="zh-CN"/>
                    </w:rPr>
                    <w:t>项目排放的废气污染物应符合《炼焦化学工业污染物排放标准》(GB16171)、《挥发性有机物无组织控制标准》（GB37822）、《钢铁烧结、球团工业大气污染物排放标准》(GB28662)及其修改单、《炼铁工业大气污染物排放标准》(GB28663)、《炼钢工业大气污染物排放标准》(GB28664)、《轧钢工业大气污染物排放标准》(GB28665)及其修改单等要求。合理设置大气环境防护距离，环境防护距离范围内不应有居民区、学校、医院等环境敏感目标。</w:t>
                  </w:r>
                </w:p>
              </w:tc>
              <w:tc>
                <w:tcPr>
                  <w:tcW w:w="1791" w:type="pct"/>
                  <w:tcBorders>
                    <w:tl2br w:val="nil"/>
                    <w:tr2bl w:val="nil"/>
                  </w:tcBorders>
                  <w:noWrap w:val="0"/>
                  <w:vAlign w:val="center"/>
                </w:tcPr>
                <w:p w14:paraId="557E8B5C">
                  <w:pPr>
                    <w:keepNext w:val="0"/>
                    <w:keepLines w:val="0"/>
                    <w:pageBreakBefore w:val="0"/>
                    <w:kinsoku/>
                    <w:wordWrap/>
                    <w:overflowPunct/>
                    <w:topLinePunct w:val="0"/>
                    <w:autoSpaceDE/>
                    <w:autoSpaceDN/>
                    <w:bidi w:val="0"/>
                    <w:spacing w:line="240" w:lineRule="auto"/>
                    <w:jc w:val="both"/>
                    <w:textAlignment w:val="auto"/>
                    <w:rPr>
                      <w:rFonts w:hint="default" w:ascii="Times New Roman" w:hAnsi="Times New Roman"/>
                      <w:color w:val="auto"/>
                      <w:sz w:val="18"/>
                      <w:szCs w:val="18"/>
                      <w:lang w:val="en-US" w:eastAsia="zh-CN"/>
                    </w:rPr>
                  </w:pPr>
                  <w:r>
                    <w:rPr>
                      <w:rFonts w:hint="eastAsia" w:ascii="Times New Roman" w:hAnsi="Times New Roman" w:cs="Times New Roman"/>
                      <w:color w:val="auto"/>
                      <w:sz w:val="18"/>
                      <w:szCs w:val="18"/>
                      <w:highlight w:val="none"/>
                      <w:lang w:val="en-US" w:eastAsia="zh-CN"/>
                    </w:rPr>
                    <w:t>本项目为</w:t>
                  </w:r>
                  <w:r>
                    <w:rPr>
                      <w:rFonts w:hint="eastAsia" w:cs="Times New Roman"/>
                      <w:color w:val="auto"/>
                      <w:sz w:val="18"/>
                      <w:szCs w:val="18"/>
                      <w:highlight w:val="none"/>
                      <w:lang w:val="en-US" w:eastAsia="zh-CN"/>
                    </w:rPr>
                    <w:t>新建项目，各排气筒排放的污染物可满足</w:t>
                  </w:r>
                  <w:r>
                    <w:rPr>
                      <w:rFonts w:hint="default" w:ascii="Times New Roman" w:hAnsi="Times New Roman" w:eastAsia="宋体" w:cs="Times New Roman"/>
                      <w:color w:val="auto"/>
                      <w:sz w:val="18"/>
                      <w:szCs w:val="18"/>
                      <w:highlight w:val="none"/>
                      <w:lang w:val="en-US" w:eastAsia="zh-CN"/>
                    </w:rPr>
                    <w:t>《轧钢工业大气污染物排放标准》(GB28665)及其修改单等要求</w:t>
                  </w:r>
                  <w:r>
                    <w:rPr>
                      <w:rFonts w:hint="eastAsia" w:cs="Times New Roman"/>
                      <w:color w:val="auto"/>
                      <w:sz w:val="18"/>
                      <w:szCs w:val="18"/>
                      <w:highlight w:val="none"/>
                      <w:lang w:val="en-US" w:eastAsia="zh-CN"/>
                    </w:rPr>
                    <w:t>。无需设置大气环境防护距离</w:t>
                  </w:r>
                </w:p>
              </w:tc>
              <w:tc>
                <w:tcPr>
                  <w:tcW w:w="489" w:type="pct"/>
                  <w:tcBorders>
                    <w:tl2br w:val="nil"/>
                    <w:tr2bl w:val="nil"/>
                  </w:tcBorders>
                  <w:noWrap w:val="0"/>
                  <w:vAlign w:val="center"/>
                </w:tcPr>
                <w:p w14:paraId="268CD73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符合</w:t>
                  </w:r>
                </w:p>
              </w:tc>
            </w:tr>
            <w:tr w14:paraId="3EED71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361" w:type="pct"/>
                  <w:tcBorders>
                    <w:tl2br w:val="nil"/>
                    <w:tr2bl w:val="nil"/>
                  </w:tcBorders>
                  <w:noWrap w:val="0"/>
                  <w:vAlign w:val="center"/>
                </w:tcPr>
                <w:p w14:paraId="1E2A1F7A">
                  <w:pPr>
                    <w:pStyle w:val="1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5</w:t>
                  </w:r>
                </w:p>
              </w:tc>
              <w:tc>
                <w:tcPr>
                  <w:tcW w:w="2357" w:type="pct"/>
                  <w:tcBorders>
                    <w:tl2br w:val="nil"/>
                    <w:tr2bl w:val="nil"/>
                  </w:tcBorders>
                  <w:noWrap w:val="0"/>
                  <w:vAlign w:val="center"/>
                </w:tcPr>
                <w:p w14:paraId="7749E810">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做好清污分流、分质处理、梯级利用，设立完善的废水收集、处理、回用系统。焦化酚氰废水、烧结湿法脱硫废水、含油废水、乳化液废水、酸碱废水和含铬废水单独收集处理，酚氰废水不得外排。配套建设净环、浊环废水处理系统和全厂废水处理站。焦化建设项目配套建设初期雨水收集装置。新建项目实施雨污分流，鼓励改建、扩建项目实施雨污分流。</w:t>
                  </w:r>
                </w:p>
                <w:p w14:paraId="2EAE35A3">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项目排放的废水污染物应符合《钢铁工业水污染物排放标准》(GB13456)及其修改单和《炼焦化学工业污染物排放标准》(GB16171)的要求。</w:t>
                  </w:r>
                </w:p>
              </w:tc>
              <w:tc>
                <w:tcPr>
                  <w:tcW w:w="1791" w:type="pct"/>
                  <w:tcBorders>
                    <w:tl2br w:val="nil"/>
                    <w:tr2bl w:val="nil"/>
                  </w:tcBorders>
                  <w:noWrap w:val="0"/>
                  <w:vAlign w:val="center"/>
                </w:tcPr>
                <w:p w14:paraId="1CE33753">
                  <w:pPr>
                    <w:keepNext w:val="0"/>
                    <w:keepLines w:val="0"/>
                    <w:pageBreakBefore w:val="0"/>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lang w:val="en-US" w:eastAsia="zh-CN"/>
                    </w:rPr>
                    <w:t>本项目酸性废水处理</w:t>
                  </w:r>
                  <w:r>
                    <w:rPr>
                      <w:rFonts w:hint="eastAsia" w:cs="Times New Roman"/>
                      <w:color w:val="auto"/>
                      <w:sz w:val="18"/>
                      <w:szCs w:val="18"/>
                      <w:lang w:val="en-US" w:eastAsia="zh-CN"/>
                    </w:rPr>
                    <w:t>站</w:t>
                  </w:r>
                  <w:r>
                    <w:rPr>
                      <w:rFonts w:hint="default" w:ascii="Times New Roman" w:hAnsi="Times New Roman" w:cs="Times New Roman"/>
                      <w:color w:val="auto"/>
                      <w:sz w:val="18"/>
                      <w:szCs w:val="18"/>
                      <w:lang w:val="en-US" w:eastAsia="zh-CN"/>
                    </w:rPr>
                    <w:t>排水</w:t>
                  </w:r>
                  <w:r>
                    <w:rPr>
                      <w:rFonts w:hint="default" w:ascii="Times New Roman" w:hAnsi="Times New Roman" w:cs="Times New Roman"/>
                      <w:color w:val="auto"/>
                      <w:sz w:val="18"/>
                      <w:szCs w:val="18"/>
                    </w:rPr>
                    <w:t>，与</w:t>
                  </w:r>
                  <w:r>
                    <w:rPr>
                      <w:rFonts w:hint="default" w:ascii="Times New Roman" w:hAnsi="Times New Roman" w:cs="Times New Roman"/>
                      <w:color w:val="auto"/>
                      <w:sz w:val="18"/>
                      <w:szCs w:val="18"/>
                      <w:lang w:val="en-US" w:eastAsia="zh-CN"/>
                    </w:rPr>
                    <w:t>脱盐水系统排污水、</w:t>
                  </w:r>
                  <w:r>
                    <w:rPr>
                      <w:rFonts w:hint="default" w:ascii="Times New Roman" w:hAnsi="Times New Roman" w:cs="Times New Roman"/>
                      <w:color w:val="auto"/>
                      <w:sz w:val="18"/>
                      <w:szCs w:val="18"/>
                    </w:rPr>
                    <w:t>锅炉排污水、</w:t>
                  </w:r>
                  <w:r>
                    <w:rPr>
                      <w:rFonts w:hint="default" w:ascii="Times New Roman" w:hAnsi="Times New Roman" w:cs="Times New Roman"/>
                      <w:color w:val="auto"/>
                      <w:sz w:val="18"/>
                      <w:szCs w:val="18"/>
                      <w:lang w:val="en-US" w:eastAsia="zh-CN"/>
                    </w:rPr>
                    <w:t>净循环水系统排污水、</w:t>
                  </w:r>
                  <w:r>
                    <w:rPr>
                      <w:rFonts w:hint="default" w:ascii="Times New Roman" w:hAnsi="Times New Roman" w:cs="Times New Roman"/>
                      <w:color w:val="auto"/>
                      <w:sz w:val="18"/>
                      <w:szCs w:val="18"/>
                    </w:rPr>
                    <w:t>生活污水一起经污水管网排至</w:t>
                  </w:r>
                  <w:r>
                    <w:rPr>
                      <w:rFonts w:hint="default" w:ascii="Times New Roman" w:hAnsi="Times New Roman" w:cs="Times New Roman"/>
                      <w:color w:val="auto"/>
                      <w:sz w:val="18"/>
                      <w:szCs w:val="18"/>
                      <w:lang w:val="en-US" w:eastAsia="zh-CN"/>
                    </w:rPr>
                    <w:t>园区</w:t>
                  </w:r>
                  <w:r>
                    <w:rPr>
                      <w:rFonts w:hint="default" w:ascii="Times New Roman" w:hAnsi="Times New Roman" w:cs="Times New Roman"/>
                      <w:color w:val="auto"/>
                      <w:sz w:val="18"/>
                      <w:szCs w:val="18"/>
                    </w:rPr>
                    <w:t>污水处理厂</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昌吉高新海天污水处理厂</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深度处理</w:t>
                  </w:r>
                </w:p>
              </w:tc>
              <w:tc>
                <w:tcPr>
                  <w:tcW w:w="489" w:type="pct"/>
                  <w:tcBorders>
                    <w:tl2br w:val="nil"/>
                    <w:tr2bl w:val="nil"/>
                  </w:tcBorders>
                  <w:noWrap w:val="0"/>
                  <w:vAlign w:val="center"/>
                </w:tcPr>
                <w:p w14:paraId="163FB1A4">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符合</w:t>
                  </w:r>
                </w:p>
              </w:tc>
            </w:tr>
            <w:tr w14:paraId="0732DD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361" w:type="pct"/>
                  <w:tcBorders>
                    <w:tl2br w:val="nil"/>
                    <w:tr2bl w:val="nil"/>
                  </w:tcBorders>
                  <w:noWrap w:val="0"/>
                  <w:vAlign w:val="center"/>
                </w:tcPr>
                <w:p w14:paraId="4645E065">
                  <w:pPr>
                    <w:pStyle w:val="1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6</w:t>
                  </w:r>
                </w:p>
              </w:tc>
              <w:tc>
                <w:tcPr>
                  <w:tcW w:w="2357" w:type="pct"/>
                  <w:tcBorders>
                    <w:tl2br w:val="nil"/>
                    <w:tr2bl w:val="nil"/>
                  </w:tcBorders>
                  <w:noWrap w:val="0"/>
                  <w:vAlign w:val="center"/>
                </w:tcPr>
                <w:p w14:paraId="456C6BAB">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土壤和地下水污染防治应坚持源头控制、分区防控、跟踪监测和应急响应的防控原则。在泉域保护范围以及岩溶强发育、存在较多落水洞和岩溶漏斗的区域内，不得新建、改建、扩建焦化项目。对涉及有毒有害物质的生产装置、设备设施及场所，需提出防腐蚀、防渗漏、防流失、防扬散等土壤污染防治具体措施。根据建设项目工程平面布局、环境保护目标的敏感程度、水文地质条件等，统筹采取水平、垂直防渗措施，提出有效的土壤、地下水监控和应急方案</w:t>
                  </w:r>
                  <w:r>
                    <w:rPr>
                      <w:rFonts w:hint="eastAsia"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lang w:val="en-US" w:eastAsia="zh-CN"/>
                    </w:rPr>
                    <w:t>焦化项目符合《石油化工工程防渗技术规定》(GB/T50934)等相关要求；对于可能受影响的地下水环境敏感目标，应提出保护措施；涉及饮用水功能的，强化地下水环境保护措施，确保饮用水安全。</w:t>
                  </w:r>
                </w:p>
              </w:tc>
              <w:tc>
                <w:tcPr>
                  <w:tcW w:w="1791" w:type="pct"/>
                  <w:tcBorders>
                    <w:tl2br w:val="nil"/>
                    <w:tr2bl w:val="nil"/>
                  </w:tcBorders>
                  <w:noWrap w:val="0"/>
                  <w:vAlign w:val="center"/>
                </w:tcPr>
                <w:p w14:paraId="53B69591">
                  <w:pPr>
                    <w:keepNext w:val="0"/>
                    <w:keepLines w:val="0"/>
                    <w:pageBreakBefore w:val="0"/>
                    <w:widowControl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本项目所在厂区按照《危险废物贮存污染控制标准》（GB18597-2023）</w:t>
                  </w:r>
                  <w:r>
                    <w:rPr>
                      <w:rFonts w:hint="eastAsia"/>
                      <w:color w:val="auto"/>
                      <w:sz w:val="18"/>
                      <w:szCs w:val="18"/>
                      <w:lang w:eastAsia="zh-CN"/>
                    </w:rPr>
                    <w:t>、《</w:t>
                  </w:r>
                  <w:r>
                    <w:rPr>
                      <w:rFonts w:hint="eastAsia"/>
                      <w:color w:val="auto"/>
                      <w:sz w:val="18"/>
                      <w:szCs w:val="18"/>
                      <w:lang w:val="en-US" w:eastAsia="zh-CN"/>
                    </w:rPr>
                    <w:t>环境影响评价技术导则 地下水环境</w:t>
                  </w:r>
                  <w:r>
                    <w:rPr>
                      <w:rFonts w:hint="eastAsia"/>
                      <w:color w:val="auto"/>
                      <w:sz w:val="18"/>
                      <w:szCs w:val="18"/>
                      <w:lang w:eastAsia="zh-CN"/>
                    </w:rPr>
                    <w:t>》（</w:t>
                  </w:r>
                  <w:r>
                    <w:rPr>
                      <w:rFonts w:hint="eastAsia"/>
                      <w:color w:val="auto"/>
                      <w:sz w:val="18"/>
                      <w:szCs w:val="18"/>
                      <w:lang w:val="en-US" w:eastAsia="zh-CN"/>
                    </w:rPr>
                    <w:t>HJ610-2016</w:t>
                  </w:r>
                  <w:r>
                    <w:rPr>
                      <w:rFonts w:hint="eastAsia"/>
                      <w:color w:val="auto"/>
                      <w:sz w:val="18"/>
                      <w:szCs w:val="18"/>
                      <w:lang w:eastAsia="zh-CN"/>
                    </w:rPr>
                    <w:t>）</w:t>
                  </w:r>
                  <w:r>
                    <w:rPr>
                      <w:rFonts w:hint="eastAsia"/>
                      <w:color w:val="auto"/>
                      <w:sz w:val="18"/>
                      <w:szCs w:val="18"/>
                      <w:lang w:val="en-US" w:eastAsia="zh-CN"/>
                    </w:rPr>
                    <w:t>相关</w:t>
                  </w:r>
                  <w:r>
                    <w:rPr>
                      <w:rFonts w:hint="default" w:ascii="Times New Roman" w:hAnsi="Times New Roman" w:eastAsia="宋体" w:cs="Times New Roman"/>
                      <w:color w:val="auto"/>
                      <w:sz w:val="18"/>
                      <w:szCs w:val="18"/>
                      <w:highlight w:val="none"/>
                      <w:lang w:val="en-US" w:eastAsia="zh-CN"/>
                    </w:rPr>
                    <w:t>要求采取防渗措施</w:t>
                  </w:r>
                </w:p>
              </w:tc>
              <w:tc>
                <w:tcPr>
                  <w:tcW w:w="489" w:type="pct"/>
                  <w:tcBorders>
                    <w:tl2br w:val="nil"/>
                    <w:tr2bl w:val="nil"/>
                  </w:tcBorders>
                  <w:noWrap w:val="0"/>
                  <w:vAlign w:val="center"/>
                </w:tcPr>
                <w:p w14:paraId="4C2D33E2">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符合</w:t>
                  </w:r>
                </w:p>
              </w:tc>
            </w:tr>
            <w:tr w14:paraId="134A1B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361" w:type="pct"/>
                  <w:tcBorders>
                    <w:tl2br w:val="nil"/>
                    <w:tr2bl w:val="nil"/>
                  </w:tcBorders>
                  <w:noWrap w:val="0"/>
                  <w:vAlign w:val="center"/>
                </w:tcPr>
                <w:p w14:paraId="06D8E737">
                  <w:pPr>
                    <w:pStyle w:val="1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7</w:t>
                  </w:r>
                </w:p>
              </w:tc>
              <w:tc>
                <w:tcPr>
                  <w:tcW w:w="2357" w:type="pct"/>
                  <w:tcBorders>
                    <w:tl2br w:val="nil"/>
                    <w:tr2bl w:val="nil"/>
                  </w:tcBorders>
                  <w:noWrap w:val="0"/>
                  <w:vAlign w:val="center"/>
                </w:tcPr>
                <w:p w14:paraId="3137AB74">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按照减量化、资源化、无害化的原则，妥善处理处置固体废物。焦油渣、沥青渣、生化污泥采用回配炼焦煤等措施优先在本厂综合利用，防止造成二次污染；烧结（球团）脱硫灰（渣）、高炉渣和预处理后的钢渣立足综合利用，做到妥善处置。鼓励焦炉煤气湿式氧化法脱硫废液提盐、制酸等高效资源化利用；鼓励新建炼铁炼钢项目水渣、钢渣、含铁尘泥等大宗固废在厂区内建设综合利用设施处置。</w:t>
                  </w:r>
                </w:p>
                <w:p w14:paraId="269B6EE6">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危险废物和一般工业固体废物贮存和处置应符合《危险废物贮存污染控制标准》(GB18597)及其修改单、《危险废物填埋污染控制标准》（</w:t>
                  </w:r>
                  <w:r>
                    <w:rPr>
                      <w:rFonts w:hint="eastAsia" w:cs="Times New Roman"/>
                      <w:color w:val="auto"/>
                      <w:sz w:val="18"/>
                      <w:szCs w:val="18"/>
                      <w:highlight w:val="none"/>
                      <w:lang w:val="en-US" w:eastAsia="zh-CN"/>
                    </w:rPr>
                    <w:t>GB 18598</w:t>
                  </w:r>
                  <w:r>
                    <w:rPr>
                      <w:rFonts w:hint="default" w:ascii="Times New Roman" w:hAnsi="Times New Roman" w:eastAsia="宋体" w:cs="Times New Roman"/>
                      <w:color w:val="auto"/>
                      <w:sz w:val="18"/>
                      <w:szCs w:val="18"/>
                      <w:highlight w:val="none"/>
                      <w:lang w:val="en-US" w:eastAsia="zh-CN"/>
                    </w:rPr>
                    <w:t>）、《一般工业固体废物贮存和填埋污染控制标准》(GB18599)、《危险废物焚烧污染控制标准》（</w:t>
                  </w:r>
                  <w:r>
                    <w:rPr>
                      <w:rFonts w:hint="eastAsia" w:cs="Times New Roman"/>
                      <w:color w:val="auto"/>
                      <w:sz w:val="18"/>
                      <w:szCs w:val="18"/>
                      <w:highlight w:val="none"/>
                      <w:lang w:val="en-US" w:eastAsia="zh-CN"/>
                    </w:rPr>
                    <w:t>GB 18484</w:t>
                  </w:r>
                  <w:r>
                    <w:rPr>
                      <w:rFonts w:hint="default" w:ascii="Times New Roman" w:hAnsi="Times New Roman" w:eastAsia="宋体" w:cs="Times New Roman"/>
                      <w:color w:val="auto"/>
                      <w:sz w:val="18"/>
                      <w:szCs w:val="18"/>
                      <w:highlight w:val="none"/>
                      <w:lang w:val="en-US" w:eastAsia="zh-CN"/>
                    </w:rPr>
                    <w:t>）等相关要求。</w:t>
                  </w:r>
                </w:p>
              </w:tc>
              <w:tc>
                <w:tcPr>
                  <w:tcW w:w="1791" w:type="pct"/>
                  <w:tcBorders>
                    <w:tl2br w:val="nil"/>
                    <w:tr2bl w:val="nil"/>
                  </w:tcBorders>
                  <w:noWrap w:val="0"/>
                  <w:vAlign w:val="center"/>
                </w:tcPr>
                <w:p w14:paraId="1A5DB4BF">
                  <w:pPr>
                    <w:keepNext w:val="0"/>
                    <w:keepLines w:val="0"/>
                    <w:pageBreakBefore w:val="0"/>
                    <w:widowControl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本项目各项固体废物均得到合理处置。危险废物满足《危险废物贮存污染控制标准》（GB18597-2023）要求</w:t>
                  </w:r>
                </w:p>
              </w:tc>
              <w:tc>
                <w:tcPr>
                  <w:tcW w:w="489" w:type="pct"/>
                  <w:tcBorders>
                    <w:tl2br w:val="nil"/>
                    <w:tr2bl w:val="nil"/>
                  </w:tcBorders>
                  <w:noWrap w:val="0"/>
                  <w:vAlign w:val="center"/>
                </w:tcPr>
                <w:p w14:paraId="66B09A6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符合</w:t>
                  </w:r>
                </w:p>
              </w:tc>
            </w:tr>
            <w:tr w14:paraId="3BAF79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361" w:type="pct"/>
                  <w:tcBorders>
                    <w:tl2br w:val="nil"/>
                    <w:tr2bl w:val="nil"/>
                  </w:tcBorders>
                  <w:noWrap w:val="0"/>
                  <w:vAlign w:val="center"/>
                </w:tcPr>
                <w:p w14:paraId="045456F3">
                  <w:pPr>
                    <w:pStyle w:val="1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8</w:t>
                  </w:r>
                </w:p>
              </w:tc>
              <w:tc>
                <w:tcPr>
                  <w:tcW w:w="2357" w:type="pct"/>
                  <w:tcBorders>
                    <w:tl2br w:val="nil"/>
                    <w:tr2bl w:val="nil"/>
                  </w:tcBorders>
                  <w:noWrap w:val="0"/>
                  <w:vAlign w:val="center"/>
                </w:tcPr>
                <w:p w14:paraId="61B91D09">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优化厂区平面布置，优先选择低噪声设备和工艺，采取减振、隔声、消声等措施有效控制噪声污染，厂界噪声应满足《工业企业厂界环境噪声排放标准》（GB12348）要求。位于噪声敏感建筑物集中区域的改建、扩建项目，应强化噪声污染防治措施，防止噪声污染。</w:t>
                  </w:r>
                </w:p>
              </w:tc>
              <w:tc>
                <w:tcPr>
                  <w:tcW w:w="1791" w:type="pct"/>
                  <w:tcBorders>
                    <w:tl2br w:val="nil"/>
                    <w:tr2bl w:val="nil"/>
                  </w:tcBorders>
                  <w:noWrap w:val="0"/>
                  <w:vAlign w:val="center"/>
                </w:tcPr>
                <w:p w14:paraId="46BF7390">
                  <w:pPr>
                    <w:keepNext w:val="0"/>
                    <w:keepLines w:val="0"/>
                    <w:pageBreakBefore w:val="0"/>
                    <w:widowControl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项目平面布局合理，高噪声设备采取减振、隔声、消声等措施，厂界噪声满足《工业企业厂界环境噪声排放标准》（GB12348-2008）</w:t>
                  </w:r>
                  <w:r>
                    <w:rPr>
                      <w:rFonts w:hint="eastAsia" w:cs="Times New Roman"/>
                      <w:color w:val="auto"/>
                      <w:sz w:val="18"/>
                      <w:szCs w:val="18"/>
                      <w:highlight w:val="none"/>
                      <w:lang w:val="en-US" w:eastAsia="zh-CN"/>
                    </w:rPr>
                    <w:t>3</w:t>
                  </w:r>
                  <w:r>
                    <w:rPr>
                      <w:rFonts w:hint="default" w:ascii="Times New Roman" w:hAnsi="Times New Roman" w:cs="Times New Roman"/>
                      <w:color w:val="auto"/>
                      <w:sz w:val="18"/>
                      <w:szCs w:val="18"/>
                      <w:highlight w:val="none"/>
                      <w:lang w:val="en-US" w:eastAsia="zh-CN"/>
                    </w:rPr>
                    <w:t>类区</w:t>
                  </w:r>
                  <w:r>
                    <w:rPr>
                      <w:rFonts w:hint="default" w:ascii="Times New Roman" w:hAnsi="Times New Roman" w:eastAsia="宋体" w:cs="Times New Roman"/>
                      <w:color w:val="auto"/>
                      <w:sz w:val="18"/>
                      <w:szCs w:val="18"/>
                      <w:highlight w:val="none"/>
                      <w:lang w:val="en-US" w:eastAsia="zh-CN"/>
                    </w:rPr>
                    <w:t>要求</w:t>
                  </w:r>
                </w:p>
              </w:tc>
              <w:tc>
                <w:tcPr>
                  <w:tcW w:w="489" w:type="pct"/>
                  <w:tcBorders>
                    <w:tl2br w:val="nil"/>
                    <w:tr2bl w:val="nil"/>
                  </w:tcBorders>
                  <w:noWrap w:val="0"/>
                  <w:vAlign w:val="center"/>
                </w:tcPr>
                <w:p w14:paraId="5F47574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符合</w:t>
                  </w:r>
                </w:p>
              </w:tc>
            </w:tr>
            <w:tr w14:paraId="4ADFE2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361" w:type="pct"/>
                  <w:tcBorders>
                    <w:tl2br w:val="nil"/>
                    <w:tr2bl w:val="nil"/>
                  </w:tcBorders>
                  <w:noWrap w:val="0"/>
                  <w:vAlign w:val="center"/>
                </w:tcPr>
                <w:p w14:paraId="63BAACDE">
                  <w:pPr>
                    <w:pStyle w:val="1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w:t>
                  </w:r>
                </w:p>
              </w:tc>
              <w:tc>
                <w:tcPr>
                  <w:tcW w:w="2357" w:type="pct"/>
                  <w:tcBorders>
                    <w:tl2br w:val="nil"/>
                    <w:tr2bl w:val="nil"/>
                  </w:tcBorders>
                  <w:noWrap w:val="0"/>
                  <w:vAlign w:val="center"/>
                </w:tcPr>
                <w:p w14:paraId="40E407AE">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严密防控项目环境风险，建立完善的环境风险防控体系，提升环境风险防控能力，环境风险防范和应急措施合理、有效。重点关注煤气、酸、苯、氨、洗（焦）油等风险物质储运和使用环节的环境风险管控。焦化装置配套建设事故储槽（池）；事故废水应有效收集和妥善处理，不直接进入外环境。针对项目可能产生的突发环境事件制定有效的风险防范和应急措施，建立项目及区域环境风险防范与应急管理体系，提出运行期突发环境事件应急预案编制要求。</w:t>
                  </w:r>
                </w:p>
              </w:tc>
              <w:tc>
                <w:tcPr>
                  <w:tcW w:w="1791" w:type="pct"/>
                  <w:tcBorders>
                    <w:tl2br w:val="nil"/>
                    <w:tr2bl w:val="nil"/>
                  </w:tcBorders>
                  <w:noWrap w:val="0"/>
                  <w:vAlign w:val="center"/>
                </w:tcPr>
                <w:p w14:paraId="7DB77CDD">
                  <w:pPr>
                    <w:keepNext w:val="0"/>
                    <w:keepLines w:val="0"/>
                    <w:pageBreakBefore w:val="0"/>
                    <w:widowControl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在采取本项目提出的环境风险防范措施的前提下，环境风险水平可接受。</w:t>
                  </w:r>
                </w:p>
                <w:p w14:paraId="6A0B3D9C">
                  <w:pPr>
                    <w:keepNext w:val="0"/>
                    <w:keepLines w:val="0"/>
                    <w:pageBreakBefore w:val="0"/>
                    <w:widowControl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项目建成后按照要求编制突发环境事件应急预案，并建立风险防范与应急管理体系</w:t>
                  </w:r>
                </w:p>
              </w:tc>
              <w:tc>
                <w:tcPr>
                  <w:tcW w:w="489" w:type="pct"/>
                  <w:tcBorders>
                    <w:tl2br w:val="nil"/>
                    <w:tr2bl w:val="nil"/>
                  </w:tcBorders>
                  <w:noWrap w:val="0"/>
                  <w:vAlign w:val="center"/>
                </w:tcPr>
                <w:p w14:paraId="36916E9C">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符合</w:t>
                  </w:r>
                </w:p>
              </w:tc>
            </w:tr>
            <w:tr w14:paraId="3FD47A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361" w:type="pct"/>
                  <w:tcBorders>
                    <w:tl2br w:val="nil"/>
                    <w:tr2bl w:val="nil"/>
                  </w:tcBorders>
                  <w:noWrap w:val="0"/>
                  <w:vAlign w:val="center"/>
                </w:tcPr>
                <w:p w14:paraId="617C0D87">
                  <w:pPr>
                    <w:pStyle w:val="1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10</w:t>
                  </w:r>
                </w:p>
              </w:tc>
              <w:tc>
                <w:tcPr>
                  <w:tcW w:w="2357" w:type="pct"/>
                  <w:tcBorders>
                    <w:tl2br w:val="nil"/>
                    <w:tr2bl w:val="nil"/>
                  </w:tcBorders>
                  <w:noWrap w:val="0"/>
                  <w:vAlign w:val="center"/>
                </w:tcPr>
                <w:p w14:paraId="4BB49B26">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新增主要污染物排放量的建设项目应执行《关于加强重点行业建设项目区域削减措施监督管理的通知》（环办环评〔2020〕36号）。项目所在区域、流域控制单元环境质量达到国家或者地方环境质量标准的因子，原则上其对应的国家实施排放总量管控的重点污染物实行区域等量削减。项目所在区域、流域控制单元环境质量未达到国家或者地方环境质量标准的因子，其对应的主要污染物须进行区域倍量削减。二氧化氮超标的，对应削减氮氧化物；细颗粒物超标的，对应削减二氧化硫、氮氧化物、颗粒物、挥发性有机物；臭氧超标的，对应削减氮氧化物、挥发性有机物。区域削减措施原则上应与建设项目位于同一地级市或市级行政区域内同一流域。地级市行政区域内削减量不足时，可来源于省级行政区域或省级行政区域内的同一流域。配套区域削减措施应为评价基准年后拟采取的措施，且纳入区域重点减排工程的措施不能作为区域削减措施。</w:t>
                  </w:r>
                </w:p>
              </w:tc>
              <w:tc>
                <w:tcPr>
                  <w:tcW w:w="1791" w:type="pct"/>
                  <w:tcBorders>
                    <w:tl2br w:val="nil"/>
                    <w:tr2bl w:val="nil"/>
                  </w:tcBorders>
                  <w:noWrap w:val="0"/>
                  <w:vAlign w:val="center"/>
                </w:tcPr>
                <w:p w14:paraId="67B726B4">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本项目符合生态环境保护相关法律法规、法定规划以及相关产业结构调整、区域及行业碳达峰碳中和目标、煤炭消费总量控制、重点污染物排放总量控制等政策要求</w:t>
                  </w:r>
                </w:p>
              </w:tc>
              <w:tc>
                <w:tcPr>
                  <w:tcW w:w="489" w:type="pct"/>
                  <w:tcBorders>
                    <w:tl2br w:val="nil"/>
                    <w:tr2bl w:val="nil"/>
                  </w:tcBorders>
                  <w:noWrap w:val="0"/>
                  <w:vAlign w:val="center"/>
                </w:tcPr>
                <w:p w14:paraId="4D64D840">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符合</w:t>
                  </w:r>
                </w:p>
              </w:tc>
            </w:tr>
            <w:tr w14:paraId="6E01A1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361" w:type="pct"/>
                  <w:tcBorders>
                    <w:tl2br w:val="nil"/>
                    <w:tr2bl w:val="nil"/>
                  </w:tcBorders>
                  <w:noWrap w:val="0"/>
                  <w:vAlign w:val="center"/>
                </w:tcPr>
                <w:p w14:paraId="361BF376">
                  <w:pPr>
                    <w:pStyle w:val="1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11</w:t>
                  </w:r>
                </w:p>
              </w:tc>
              <w:tc>
                <w:tcPr>
                  <w:tcW w:w="2357" w:type="pct"/>
                  <w:tcBorders>
                    <w:tl2br w:val="nil"/>
                    <w:tr2bl w:val="nil"/>
                  </w:tcBorders>
                  <w:noWrap w:val="0"/>
                  <w:vAlign w:val="center"/>
                </w:tcPr>
                <w:p w14:paraId="49752FD4">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明确项目实施后的环境管理要求和环境监测计划。根据行业自行监测技术指南要求，制定废水、废气污染物排放及厂界环境噪声监测计划并开展监测，排污口或监测位置应符合技术规范要求。重点排污单位污染物排放自动监测设备应依法依规与生态环境主管部门的监控设备联网。涉及水、大气有毒有害污染物名录中污染物排放的，还应依法依规制定周边环境的监测计划，关注苯并[a]芘、二噁英等特征污染物的累积环境影响。</w:t>
                  </w:r>
                </w:p>
              </w:tc>
              <w:tc>
                <w:tcPr>
                  <w:tcW w:w="1791" w:type="pct"/>
                  <w:tcBorders>
                    <w:tl2br w:val="nil"/>
                    <w:tr2bl w:val="nil"/>
                  </w:tcBorders>
                  <w:noWrap w:val="0"/>
                  <w:vAlign w:val="center"/>
                </w:tcPr>
                <w:p w14:paraId="737B045D">
                  <w:pPr>
                    <w:keepNext w:val="0"/>
                    <w:keepLines w:val="0"/>
                    <w:pageBreakBefore w:val="0"/>
                    <w:widowControl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项目实施后应严格制定自行监测计划，并按要求落实实施。</w:t>
                  </w:r>
                </w:p>
              </w:tc>
              <w:tc>
                <w:tcPr>
                  <w:tcW w:w="489" w:type="pct"/>
                  <w:tcBorders>
                    <w:tl2br w:val="nil"/>
                    <w:tr2bl w:val="nil"/>
                  </w:tcBorders>
                  <w:noWrap w:val="0"/>
                  <w:vAlign w:val="center"/>
                </w:tcPr>
                <w:p w14:paraId="53E61052">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符合</w:t>
                  </w:r>
                </w:p>
              </w:tc>
            </w:tr>
          </w:tbl>
          <w:p w14:paraId="33C5936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Times New Roman" w:hAnsi="Times New Roman" w:eastAsia="宋体" w:cs="Times New Roman"/>
                <w:b/>
                <w:color w:val="auto"/>
                <w:kern w:val="0"/>
                <w:sz w:val="21"/>
                <w:szCs w:val="21"/>
                <w:lang w:val="en-US" w:eastAsia="zh-CN"/>
              </w:rPr>
            </w:pPr>
            <w:r>
              <w:rPr>
                <w:rFonts w:hint="eastAsia" w:cs="Times New Roman"/>
                <w:b/>
                <w:color w:val="auto"/>
                <w:kern w:val="0"/>
                <w:sz w:val="21"/>
                <w:szCs w:val="21"/>
                <w:lang w:val="en-US" w:eastAsia="zh-CN"/>
              </w:rPr>
              <w:t>3.</w:t>
            </w:r>
            <w:r>
              <w:rPr>
                <w:rFonts w:hint="eastAsia" w:ascii="Times New Roman" w:hAnsi="Times New Roman" w:eastAsia="宋体" w:cs="Times New Roman"/>
                <w:b/>
                <w:color w:val="auto"/>
                <w:kern w:val="0"/>
                <w:sz w:val="21"/>
                <w:szCs w:val="21"/>
                <w:lang w:val="en-US" w:eastAsia="zh-CN"/>
              </w:rPr>
              <w:t>与《关于加强乌鲁木齐、昌吉、石河子、五家渠区域环境同防同治的意见》（新政发〔20</w:t>
            </w:r>
            <w:r>
              <w:rPr>
                <w:rFonts w:hint="eastAsia" w:cs="Times New Roman"/>
                <w:b/>
                <w:color w:val="auto"/>
                <w:kern w:val="0"/>
                <w:sz w:val="21"/>
                <w:szCs w:val="21"/>
                <w:lang w:val="en-US" w:eastAsia="zh-CN"/>
              </w:rPr>
              <w:t>16</w:t>
            </w:r>
            <w:r>
              <w:rPr>
                <w:rFonts w:hint="eastAsia" w:ascii="Times New Roman" w:hAnsi="Times New Roman" w:eastAsia="宋体" w:cs="Times New Roman"/>
                <w:b/>
                <w:color w:val="auto"/>
                <w:kern w:val="0"/>
                <w:sz w:val="21"/>
                <w:szCs w:val="21"/>
                <w:lang w:val="en-US" w:eastAsia="zh-CN"/>
              </w:rPr>
              <w:t>〕140号）符合性</w:t>
            </w:r>
          </w:p>
          <w:p w14:paraId="14E45C86">
            <w:pPr>
              <w:keepNext w:val="0"/>
              <w:keepLines w:val="0"/>
              <w:pageBreakBefore w:val="0"/>
              <w:widowControl/>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b w:val="0"/>
                <w:bCs/>
                <w:color w:val="auto"/>
                <w:kern w:val="0"/>
                <w:sz w:val="21"/>
                <w:szCs w:val="21"/>
                <w:lang w:val="en-US" w:eastAsia="zh-CN"/>
              </w:rPr>
              <w:t>根据《关于加强乌鲁木齐、昌吉、石河子、五家渠区域环境同防</w:t>
            </w:r>
            <w:r>
              <w:rPr>
                <w:rFonts w:hint="eastAsia" w:cs="Times New Roman"/>
                <w:b w:val="0"/>
                <w:bCs/>
                <w:color w:val="auto"/>
                <w:kern w:val="0"/>
                <w:sz w:val="21"/>
                <w:szCs w:val="21"/>
                <w:lang w:val="en-US" w:eastAsia="zh-CN"/>
              </w:rPr>
              <w:t>同治</w:t>
            </w:r>
            <w:r>
              <w:rPr>
                <w:rFonts w:hint="eastAsia" w:ascii="Times New Roman" w:hAnsi="Times New Roman" w:eastAsia="宋体" w:cs="Times New Roman"/>
                <w:b w:val="0"/>
                <w:bCs/>
                <w:color w:val="auto"/>
                <w:kern w:val="0"/>
                <w:sz w:val="21"/>
                <w:szCs w:val="21"/>
                <w:lang w:val="en-US" w:eastAsia="zh-CN"/>
              </w:rPr>
              <w:t>的意见》（新政发</w:t>
            </w:r>
            <w:r>
              <w:rPr>
                <w:rStyle w:val="45"/>
                <w:rFonts w:hint="default" w:ascii="Times New Roman" w:hAnsi="Times New Roman" w:cs="Times New Roman"/>
                <w:color w:val="auto"/>
                <w:kern w:val="0"/>
                <w:sz w:val="21"/>
                <w:szCs w:val="21"/>
              </w:rPr>
              <w:t>〔20</w:t>
            </w:r>
            <w:r>
              <w:rPr>
                <w:rStyle w:val="45"/>
                <w:rFonts w:hint="eastAsia" w:ascii="Times New Roman" w:hAnsi="Times New Roman" w:cs="Times New Roman"/>
                <w:color w:val="auto"/>
                <w:kern w:val="0"/>
                <w:sz w:val="21"/>
                <w:szCs w:val="21"/>
                <w:lang w:val="en-US" w:eastAsia="zh-CN"/>
              </w:rPr>
              <w:t>16</w:t>
            </w:r>
            <w:r>
              <w:rPr>
                <w:rStyle w:val="45"/>
                <w:rFonts w:hint="default" w:ascii="Times New Roman" w:hAnsi="Times New Roman" w:cs="Times New Roman"/>
                <w:color w:val="auto"/>
                <w:kern w:val="0"/>
                <w:sz w:val="21"/>
                <w:szCs w:val="21"/>
              </w:rPr>
              <w:t>〕</w:t>
            </w:r>
            <w:r>
              <w:rPr>
                <w:rFonts w:hint="eastAsia" w:ascii="Times New Roman" w:hAnsi="Times New Roman" w:eastAsia="宋体" w:cs="Times New Roman"/>
                <w:b w:val="0"/>
                <w:bCs/>
                <w:color w:val="auto"/>
                <w:kern w:val="0"/>
                <w:sz w:val="21"/>
                <w:szCs w:val="21"/>
                <w:lang w:val="en-US" w:eastAsia="zh-CN"/>
              </w:rPr>
              <w:t>140号），</w:t>
            </w:r>
            <w:r>
              <w:rPr>
                <w:rFonts w:hint="default" w:ascii="Times New Roman" w:hAnsi="Times New Roman" w:eastAsia="宋体" w:cs="Times New Roman"/>
                <w:color w:val="auto"/>
                <w:kern w:val="2"/>
                <w:sz w:val="21"/>
                <w:szCs w:val="21"/>
                <w:lang w:val="en-US" w:eastAsia="zh-CN" w:bidi="ar-SA"/>
              </w:rPr>
              <w:t>乌昌石区域包括乌鲁木齐市七区一县、昌吉市、阜康市、石河子市、五家渠市、玛纳斯县、呼图壁县、沙湾县、生产建设兵团第六师、第八师、第十二师，总面积6.9万km</w:t>
            </w:r>
            <w:r>
              <w:rPr>
                <w:rFonts w:hint="default" w:ascii="Times New Roman" w:hAnsi="Times New Roman" w:eastAsia="宋体" w:cs="Times New Roman"/>
                <w:color w:val="auto"/>
                <w:kern w:val="2"/>
                <w:sz w:val="21"/>
                <w:szCs w:val="21"/>
                <w:vertAlign w:val="superscript"/>
                <w:lang w:val="en-US" w:eastAsia="zh-CN" w:bidi="ar-SA"/>
              </w:rPr>
              <w:t>2</w:t>
            </w:r>
            <w:r>
              <w:rPr>
                <w:rFonts w:hint="default" w:ascii="Times New Roman" w:hAnsi="Times New Roman" w:eastAsia="宋体" w:cs="Times New Roman"/>
                <w:color w:val="auto"/>
                <w:kern w:val="2"/>
                <w:sz w:val="21"/>
                <w:szCs w:val="21"/>
                <w:lang w:val="en-US" w:eastAsia="zh-CN" w:bidi="ar-SA"/>
              </w:rPr>
              <w:t>左右。区域内建成区及周边敏感区域为重点区域，总面积1.7万km</w:t>
            </w:r>
            <w:r>
              <w:rPr>
                <w:rFonts w:hint="default" w:ascii="Times New Roman" w:hAnsi="Times New Roman" w:eastAsia="宋体" w:cs="Times New Roman"/>
                <w:color w:val="auto"/>
                <w:kern w:val="2"/>
                <w:sz w:val="21"/>
                <w:szCs w:val="21"/>
                <w:vertAlign w:val="superscript"/>
                <w:lang w:val="en-US" w:eastAsia="zh-CN" w:bidi="ar-SA"/>
              </w:rPr>
              <w:t>2</w:t>
            </w:r>
            <w:r>
              <w:rPr>
                <w:rFonts w:hint="default" w:ascii="Times New Roman" w:hAnsi="Times New Roman" w:eastAsia="宋体" w:cs="Times New Roman"/>
                <w:color w:val="auto"/>
                <w:kern w:val="2"/>
                <w:sz w:val="21"/>
                <w:szCs w:val="21"/>
                <w:lang w:val="en-US" w:eastAsia="zh-CN" w:bidi="ar-SA"/>
              </w:rPr>
              <w:t>左右。</w:t>
            </w:r>
          </w:p>
          <w:p w14:paraId="5EB11DC5">
            <w:pPr>
              <w:keepNext w:val="0"/>
              <w:keepLines w:val="0"/>
              <w:pageBreakBefore w:val="0"/>
              <w:widowControl/>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意见要求严格污染物排放浓度，认真落实《重点区域大气污染物排放特别限值的公告》（环保厅2016第45号），钢铁、石化、火电、水泥等行业和燃煤锅炉严格执行重点行业污染物排放特别限值要求。其他工业企业一律执行国家最新污染物排放标准，减少污染物排放总量。</w:t>
            </w:r>
          </w:p>
          <w:p w14:paraId="1D6EE6B6">
            <w:pPr>
              <w:keepNext w:val="0"/>
              <w:keepLines w:val="0"/>
              <w:pageBreakBefore w:val="0"/>
              <w:widowControl/>
              <w:kinsoku/>
              <w:wordWrap/>
              <w:overflowPunct/>
              <w:topLinePunct w:val="0"/>
              <w:autoSpaceDE/>
              <w:autoSpaceDN/>
              <w:bidi w:val="0"/>
              <w:adjustRightInd w:val="0"/>
              <w:snapToGrid w:val="0"/>
              <w:spacing w:line="360" w:lineRule="auto"/>
              <w:ind w:firstLine="420" w:firstLineChars="200"/>
              <w:textAlignment w:val="auto"/>
              <w:rPr>
                <w:color w:val="auto"/>
              </w:rPr>
            </w:pPr>
            <w:r>
              <w:rPr>
                <w:rFonts w:hint="eastAsia" w:ascii="Times New Roman" w:hAnsi="Times New Roman" w:eastAsia="宋体" w:cs="Times New Roman"/>
                <w:b w:val="0"/>
                <w:bCs/>
                <w:color w:val="auto"/>
                <w:kern w:val="0"/>
                <w:sz w:val="21"/>
                <w:szCs w:val="21"/>
                <w:lang w:val="en-US" w:eastAsia="zh-CN"/>
              </w:rPr>
              <w:t>本项目位于乌昌石同防同治区的重点控制区内，</w:t>
            </w:r>
            <w:r>
              <w:rPr>
                <w:rFonts w:hint="eastAsia" w:ascii="Times New Roman" w:hAnsi="Times New Roman" w:eastAsia="宋体" w:cs="Times New Roman"/>
                <w:b w:val="0"/>
                <w:bCs/>
                <w:color w:val="auto"/>
                <w:kern w:val="0"/>
                <w:sz w:val="21"/>
                <w:szCs w:val="21"/>
                <w:highlight w:val="none"/>
                <w:lang w:val="en-US" w:eastAsia="zh-CN"/>
              </w:rPr>
              <w:t>属于</w:t>
            </w:r>
            <w:r>
              <w:rPr>
                <w:rFonts w:hint="eastAsia" w:cs="Times New Roman"/>
                <w:color w:val="auto"/>
                <w:sz w:val="21"/>
                <w:szCs w:val="21"/>
                <w:highlight w:val="none"/>
                <w:lang w:val="en-US" w:eastAsia="zh-CN"/>
              </w:rPr>
              <w:t>钢压延加工项目</w:t>
            </w:r>
            <w:r>
              <w:rPr>
                <w:rFonts w:hint="eastAsia" w:ascii="Times New Roman" w:hAnsi="Times New Roman" w:eastAsia="宋体" w:cs="Times New Roman"/>
                <w:b w:val="0"/>
                <w:bCs/>
                <w:color w:val="auto"/>
                <w:kern w:val="0"/>
                <w:sz w:val="21"/>
                <w:szCs w:val="21"/>
                <w:highlight w:val="none"/>
                <w:lang w:val="en-US" w:eastAsia="zh-CN"/>
              </w:rPr>
              <w:t>，不在禁建之列，</w:t>
            </w:r>
            <w:r>
              <w:rPr>
                <w:rFonts w:hint="eastAsia" w:ascii="Times New Roman" w:hAnsi="Times New Roman" w:eastAsia="宋体" w:cs="Times New Roman"/>
                <w:color w:val="auto"/>
                <w:kern w:val="2"/>
                <w:sz w:val="21"/>
                <w:szCs w:val="21"/>
                <w:lang w:val="en-US" w:eastAsia="zh-CN" w:bidi="ar-SA"/>
              </w:rPr>
              <w:t>废气</w:t>
            </w:r>
            <w:r>
              <w:rPr>
                <w:rFonts w:hint="default" w:ascii="Times New Roman" w:hAnsi="Times New Roman" w:eastAsia="宋体" w:cs="Times New Roman"/>
                <w:color w:val="auto"/>
                <w:kern w:val="2"/>
                <w:sz w:val="21"/>
                <w:szCs w:val="21"/>
                <w:lang w:val="en-US" w:eastAsia="zh-CN" w:bidi="ar-SA"/>
              </w:rPr>
              <w:t>达标排放。项目排放的污染物均达到国家最新污染物排放标准，</w:t>
            </w:r>
            <w:r>
              <w:rPr>
                <w:rFonts w:hint="eastAsia" w:ascii="Times New Roman" w:hAnsi="Times New Roman" w:eastAsia="宋体" w:cs="Times New Roman"/>
                <w:b w:val="0"/>
                <w:bCs/>
                <w:color w:val="auto"/>
                <w:kern w:val="0"/>
                <w:sz w:val="21"/>
                <w:szCs w:val="21"/>
                <w:highlight w:val="none"/>
                <w:lang w:val="en-US" w:eastAsia="zh-CN"/>
              </w:rPr>
              <w:t>符合《关于加强乌鲁木齐、昌吉、石河子、五家渠区域环境同防同治的意见》（新政发〔2016〕140号）</w:t>
            </w:r>
            <w:r>
              <w:rPr>
                <w:rFonts w:hint="eastAsia" w:cs="Times New Roman"/>
                <w:b w:val="0"/>
                <w:bCs/>
                <w:color w:val="auto"/>
                <w:kern w:val="0"/>
                <w:sz w:val="21"/>
                <w:szCs w:val="21"/>
                <w:highlight w:val="none"/>
                <w:lang w:val="en-US" w:eastAsia="zh-CN"/>
              </w:rPr>
              <w:t>中相关</w:t>
            </w:r>
            <w:r>
              <w:rPr>
                <w:rFonts w:hint="eastAsia" w:ascii="Times New Roman" w:hAnsi="Times New Roman" w:eastAsia="宋体" w:cs="Times New Roman"/>
                <w:b w:val="0"/>
                <w:bCs/>
                <w:color w:val="auto"/>
                <w:kern w:val="0"/>
                <w:sz w:val="21"/>
                <w:szCs w:val="21"/>
                <w:highlight w:val="none"/>
                <w:lang w:val="en-US" w:eastAsia="zh-CN"/>
              </w:rPr>
              <w:t>要求</w:t>
            </w:r>
            <w:r>
              <w:rPr>
                <w:rFonts w:hint="eastAsia" w:cs="Times New Roman"/>
                <w:b w:val="0"/>
                <w:bCs/>
                <w:color w:val="auto"/>
                <w:kern w:val="0"/>
                <w:sz w:val="21"/>
                <w:szCs w:val="21"/>
                <w:highlight w:val="none"/>
                <w:lang w:val="en-US" w:eastAsia="zh-CN"/>
              </w:rPr>
              <w:t>。</w:t>
            </w:r>
          </w:p>
          <w:p w14:paraId="4E84372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default" w:ascii="Times New Roman" w:hAnsi="Times New Roman" w:eastAsia="宋体" w:cs="Times New Roman"/>
                <w:b/>
                <w:color w:val="auto"/>
                <w:kern w:val="0"/>
                <w:sz w:val="21"/>
                <w:szCs w:val="21"/>
                <w:lang w:val="en-US" w:eastAsia="zh-CN"/>
              </w:rPr>
            </w:pPr>
            <w:r>
              <w:rPr>
                <w:rFonts w:hint="eastAsia" w:cs="Times New Roman"/>
                <w:b/>
                <w:color w:val="auto"/>
                <w:kern w:val="0"/>
                <w:sz w:val="21"/>
                <w:szCs w:val="21"/>
                <w:lang w:val="en-US" w:eastAsia="zh-CN"/>
              </w:rPr>
              <w:t>4.</w:t>
            </w:r>
            <w:r>
              <w:rPr>
                <w:rFonts w:hint="eastAsia" w:ascii="Times New Roman" w:hAnsi="Times New Roman" w:eastAsia="宋体" w:cs="Times New Roman"/>
                <w:b/>
                <w:color w:val="auto"/>
                <w:kern w:val="0"/>
                <w:sz w:val="21"/>
                <w:szCs w:val="21"/>
                <w:lang w:val="en-US" w:eastAsia="zh-CN"/>
              </w:rPr>
              <w:t>与</w:t>
            </w:r>
            <w:r>
              <w:rPr>
                <w:rFonts w:hint="default" w:ascii="Times New Roman" w:hAnsi="Times New Roman" w:eastAsia="宋体" w:cs="Times New Roman"/>
                <w:b/>
                <w:color w:val="auto"/>
                <w:kern w:val="0"/>
                <w:sz w:val="21"/>
                <w:szCs w:val="21"/>
                <w:lang w:val="en-US" w:eastAsia="zh-CN"/>
              </w:rPr>
              <w:t>《关于</w:t>
            </w:r>
            <w:r>
              <w:rPr>
                <w:rFonts w:hint="eastAsia" w:ascii="Times New Roman" w:hAnsi="Times New Roman" w:eastAsia="宋体" w:cs="Times New Roman"/>
                <w:b/>
                <w:color w:val="auto"/>
                <w:kern w:val="0"/>
                <w:sz w:val="21"/>
                <w:szCs w:val="21"/>
                <w:lang w:val="en-US" w:eastAsia="zh-CN"/>
              </w:rPr>
              <w:t>进一步</w:t>
            </w:r>
            <w:r>
              <w:rPr>
                <w:rFonts w:hint="default" w:ascii="Times New Roman" w:hAnsi="Times New Roman" w:eastAsia="宋体" w:cs="Times New Roman"/>
                <w:b/>
                <w:color w:val="auto"/>
                <w:kern w:val="0"/>
                <w:sz w:val="21"/>
                <w:szCs w:val="21"/>
                <w:lang w:val="en-US" w:eastAsia="zh-CN"/>
              </w:rPr>
              <w:t>加强乌鲁木齐、昌吉、石河子、五家渠区域</w:t>
            </w:r>
            <w:r>
              <w:rPr>
                <w:rFonts w:hint="eastAsia" w:ascii="Times New Roman" w:hAnsi="Times New Roman" w:eastAsia="宋体" w:cs="Times New Roman"/>
                <w:b/>
                <w:color w:val="auto"/>
                <w:kern w:val="0"/>
                <w:sz w:val="21"/>
                <w:szCs w:val="21"/>
                <w:lang w:val="en-US" w:eastAsia="zh-CN"/>
              </w:rPr>
              <w:t>大气</w:t>
            </w:r>
            <w:r>
              <w:rPr>
                <w:rFonts w:hint="default" w:ascii="Times New Roman" w:hAnsi="Times New Roman" w:eastAsia="宋体" w:cs="Times New Roman"/>
                <w:b/>
                <w:color w:val="auto"/>
                <w:kern w:val="0"/>
                <w:sz w:val="21"/>
                <w:szCs w:val="21"/>
                <w:lang w:val="en-US" w:eastAsia="zh-CN"/>
              </w:rPr>
              <w:t>环境同防同治的意见》</w:t>
            </w:r>
            <w:r>
              <w:rPr>
                <w:rFonts w:hint="eastAsia" w:ascii="Times New Roman" w:hAnsi="Times New Roman" w:eastAsia="宋体" w:cs="Times New Roman"/>
                <w:b/>
                <w:color w:val="auto"/>
                <w:kern w:val="0"/>
                <w:sz w:val="21"/>
                <w:szCs w:val="21"/>
                <w:lang w:val="en-US" w:eastAsia="zh-CN"/>
              </w:rPr>
              <w:t>（新政发〔2023〕29号）符合性分析</w:t>
            </w:r>
          </w:p>
          <w:p w14:paraId="66D3193B">
            <w:pPr>
              <w:pStyle w:val="15"/>
              <w:keepNext w:val="0"/>
              <w:keepLines w:val="0"/>
              <w:pageBreakBefore w:val="0"/>
              <w:widowControl/>
              <w:kinsoku/>
              <w:wordWrap/>
              <w:overflowPunct/>
              <w:topLinePunct w:val="0"/>
              <w:autoSpaceDE/>
              <w:autoSpaceDN/>
              <w:bidi w:val="0"/>
              <w:adjustRightInd/>
              <w:snapToGrid w:val="0"/>
              <w:spacing w:before="0" w:after="0" w:line="360" w:lineRule="auto"/>
              <w:ind w:right="0"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根据《关于进一步加强乌鲁木齐、昌吉、石河子、五家渠区域环境同防同治的意见》（新政办发</w:t>
            </w:r>
            <w:r>
              <w:rPr>
                <w:rFonts w:hint="default" w:ascii="Times New Roman" w:hAnsi="Times New Roman" w:eastAsia="宋体" w:cs="Times New Roman"/>
                <w:color w:val="auto"/>
                <w:kern w:val="2"/>
                <w:sz w:val="21"/>
                <w:szCs w:val="21"/>
                <w:highlight w:val="none"/>
                <w:lang w:val="en-US" w:eastAsia="zh-CN" w:bidi="ar-SA"/>
              </w:rPr>
              <w:t>〔2023〕</w:t>
            </w:r>
            <w:r>
              <w:rPr>
                <w:rFonts w:hint="eastAsia" w:ascii="Times New Roman" w:hAnsi="Times New Roman" w:eastAsia="宋体" w:cs="Times New Roman"/>
                <w:color w:val="auto"/>
                <w:kern w:val="2"/>
                <w:sz w:val="21"/>
                <w:szCs w:val="21"/>
                <w:highlight w:val="none"/>
                <w:lang w:val="en-US" w:eastAsia="zh-CN" w:bidi="ar-SA"/>
              </w:rPr>
              <w:t>29号</w:t>
            </w:r>
            <w:r>
              <w:rPr>
                <w:rFonts w:hint="eastAsia" w:cs="Times New Roman"/>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规定，乌鲁木齐、昌吉、石河子、五家渠区域需优化产业结构和布局，强化大气污染物综合治理，加强环境监管。</w:t>
            </w:r>
          </w:p>
          <w:p w14:paraId="61A18B05">
            <w:pPr>
              <w:pStyle w:val="15"/>
              <w:keepNext w:val="0"/>
              <w:keepLines w:val="0"/>
              <w:pageBreakBefore w:val="0"/>
              <w:widowControl/>
              <w:kinsoku/>
              <w:wordWrap/>
              <w:overflowPunct/>
              <w:topLinePunct w:val="0"/>
              <w:autoSpaceDE/>
              <w:autoSpaceDN/>
              <w:bidi w:val="0"/>
              <w:adjustRightInd/>
              <w:snapToGrid w:val="0"/>
              <w:spacing w:before="0" w:after="0" w:line="360" w:lineRule="auto"/>
              <w:ind w:right="0"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本项目为</w:t>
            </w:r>
            <w:r>
              <w:rPr>
                <w:rFonts w:hint="eastAsia" w:ascii="Times New Roman" w:hAnsi="Times New Roman" w:cs="Times New Roman"/>
                <w:color w:val="auto"/>
                <w:kern w:val="2"/>
                <w:sz w:val="21"/>
                <w:szCs w:val="21"/>
                <w:highlight w:val="none"/>
                <w:lang w:val="en-US" w:eastAsia="zh-CN" w:bidi="ar-SA"/>
              </w:rPr>
              <w:t>钢压延加工项目</w:t>
            </w:r>
            <w:r>
              <w:rPr>
                <w:rFonts w:hint="default" w:ascii="Times New Roman" w:hAnsi="Times New Roman" w:eastAsia="宋体" w:cs="Times New Roman"/>
                <w:color w:val="auto"/>
                <w:kern w:val="2"/>
                <w:sz w:val="21"/>
                <w:szCs w:val="21"/>
                <w:highlight w:val="none"/>
                <w:lang w:val="en-US" w:eastAsia="zh-CN" w:bidi="ar-SA"/>
              </w:rPr>
              <w:t>，不属于落后产能，选址符合自治区和昌吉州“三线一单”管控方案要求。</w:t>
            </w:r>
            <w:r>
              <w:rPr>
                <w:rFonts w:hint="eastAsia" w:ascii="Times New Roman" w:hAnsi="Times New Roman" w:cs="Times New Roman"/>
                <w:snapToGrid w:val="0"/>
                <w:color w:val="auto"/>
                <w:kern w:val="2"/>
                <w:sz w:val="21"/>
                <w:szCs w:val="21"/>
                <w:lang w:val="en-US" w:eastAsia="zh-CN" w:bidi="ar-SA"/>
              </w:rPr>
              <w:t>生产过程中产生的废气均能达标排放</w:t>
            </w:r>
            <w:r>
              <w:rPr>
                <w:rFonts w:hint="eastAsia" w:ascii="Times New Roman" w:hAnsi="Times New Roman" w:eastAsia="宋体" w:cs="Times New Roman"/>
                <w:color w:val="auto"/>
                <w:kern w:val="2"/>
                <w:sz w:val="21"/>
                <w:szCs w:val="21"/>
                <w:highlight w:val="none"/>
                <w:lang w:val="en-US" w:eastAsia="zh-CN" w:bidi="ar-SA"/>
              </w:rPr>
              <w:t>；水、噪声污染排放均可达标，固体废物均能得到妥善处置</w:t>
            </w:r>
            <w:r>
              <w:rPr>
                <w:rFonts w:hint="default" w:ascii="Times New Roman" w:hAnsi="Times New Roman" w:eastAsia="宋体" w:cs="Times New Roman"/>
                <w:color w:val="auto"/>
                <w:kern w:val="2"/>
                <w:sz w:val="21"/>
                <w:szCs w:val="21"/>
                <w:highlight w:val="none"/>
                <w:lang w:val="en-US" w:eastAsia="zh-CN" w:bidi="ar-SA"/>
              </w:rPr>
              <w:t>。故项目的建设符合《关于进一步加强乌鲁木齐、昌吉、石河子、五家渠区域大气环境同防同治的意见》（新政办发〔2023〕29号）要求。</w:t>
            </w:r>
          </w:p>
          <w:p w14:paraId="32DD37A6">
            <w:pPr>
              <w:keepNext w:val="0"/>
              <w:keepLines w:val="0"/>
              <w:pageBreakBefore w:val="0"/>
              <w:widowControl w:val="0"/>
              <w:kinsoku/>
              <w:wordWrap/>
              <w:overflowPunct/>
              <w:topLinePunct w:val="0"/>
              <w:autoSpaceDE w:val="0"/>
              <w:autoSpaceDN w:val="0"/>
              <w:bidi w:val="0"/>
              <w:adjustRightInd w:val="0"/>
              <w:snapToGrid w:val="0"/>
              <w:spacing w:line="360" w:lineRule="auto"/>
              <w:jc w:val="left"/>
              <w:textAlignment w:val="auto"/>
              <w:rPr>
                <w:rFonts w:hint="eastAsia" w:cs="Times New Roman"/>
                <w:b/>
                <w:bCs/>
                <w:color w:val="auto"/>
                <w:sz w:val="21"/>
                <w:szCs w:val="21"/>
                <w:lang w:val="en-US" w:eastAsia="zh-CN"/>
              </w:rPr>
            </w:pPr>
            <w:r>
              <w:rPr>
                <w:rFonts w:hint="eastAsia" w:cs="Times New Roman"/>
                <w:b/>
                <w:bCs/>
                <w:color w:val="auto"/>
                <w:sz w:val="21"/>
                <w:szCs w:val="21"/>
                <w:lang w:val="en-US" w:eastAsia="zh-CN"/>
              </w:rPr>
              <w:t>4.与《新疆生态环境保护“十四五”规划》符合性分析</w:t>
            </w:r>
          </w:p>
          <w:p w14:paraId="6D319B52">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20"/>
              <w:jc w:val="both"/>
              <w:rPr>
                <w:rFonts w:hint="eastAsia" w:ascii="Times New Roman" w:hAnsi="Times New Roman" w:eastAsia="宋体" w:cs="Times New Roman"/>
                <w:b w:val="0"/>
                <w:bCs/>
                <w:color w:val="auto"/>
                <w:kern w:val="0"/>
                <w:sz w:val="21"/>
                <w:szCs w:val="21"/>
                <w:highlight w:val="none"/>
                <w:lang w:val="en-US" w:eastAsia="zh-CN" w:bidi="ar-SA"/>
              </w:rPr>
            </w:pPr>
            <w:r>
              <w:rPr>
                <w:rFonts w:hint="eastAsia" w:ascii="Times New Roman" w:hAnsi="Times New Roman" w:eastAsia="宋体" w:cs="Times New Roman"/>
                <w:b w:val="0"/>
                <w:bCs/>
                <w:color w:val="auto"/>
                <w:kern w:val="0"/>
                <w:sz w:val="21"/>
                <w:szCs w:val="21"/>
                <w:highlight w:val="none"/>
                <w:lang w:val="en-US" w:eastAsia="zh-CN" w:bidi="ar-SA"/>
              </w:rPr>
              <w:t>《新疆生态环境保护“十四五”规划》中“第三章坚持创新引领，推动绿色低碳发展——第二节持续优化产业结构”指出：推进产业转型升级。坚持高质量发展与严格环境准入标准相结合，坚持淘汰落后与鼓励先进相结合，支持产业发展向产业链中下游、价值链中高端迈进，坚持推进产业结构优化调整。全力推动节能环保产业发展，引导产业向绿色生产、清洁生产、循环生产转变，加快推进产业转型升级。支持企业实施智能化改造升级，推动石油开采、石油化工、煤化工、有色金属、钢铁、焦化、建材、农副产品加工等传统产业的重点企业改进工艺、节能降耗、提质增效，促进传统产业绿色化、智能化、高端化发展。</w:t>
            </w:r>
          </w:p>
          <w:p w14:paraId="324D2AF8">
            <w:pPr>
              <w:pStyle w:val="29"/>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20"/>
              <w:rPr>
                <w:rFonts w:hint="eastAsia" w:ascii="Times New Roman" w:hAnsi="Times New Roman" w:eastAsia="宋体" w:cs="Times New Roman"/>
                <w:b w:val="0"/>
                <w:bCs/>
                <w:color w:val="auto"/>
                <w:kern w:val="0"/>
                <w:sz w:val="21"/>
                <w:szCs w:val="21"/>
                <w:highlight w:val="none"/>
                <w:lang w:val="en-US" w:eastAsia="zh-CN" w:bidi="ar-SA"/>
              </w:rPr>
            </w:pPr>
            <w:r>
              <w:rPr>
                <w:rFonts w:hint="eastAsia" w:ascii="Times New Roman" w:hAnsi="Times New Roman" w:eastAsia="宋体" w:cs="Times New Roman"/>
                <w:b w:val="0"/>
                <w:bCs/>
                <w:color w:val="auto"/>
                <w:kern w:val="0"/>
                <w:sz w:val="21"/>
                <w:szCs w:val="21"/>
                <w:highlight w:val="none"/>
                <w:lang w:val="en-US" w:eastAsia="zh-CN" w:bidi="ar-SA"/>
              </w:rPr>
              <w:t>本项目</w:t>
            </w:r>
            <w:r>
              <w:rPr>
                <w:rFonts w:hint="eastAsia" w:ascii="Times New Roman" w:hAnsi="Times New Roman" w:eastAsia="宋体" w:cs="Times New Roman"/>
                <w:color w:val="auto"/>
                <w:sz w:val="21"/>
                <w:szCs w:val="21"/>
                <w:highlight w:val="none"/>
                <w:lang w:val="en-US" w:eastAsia="zh-CN"/>
              </w:rPr>
              <w:t>年产10万吨高磁感取向硅钢</w:t>
            </w:r>
            <w:r>
              <w:rPr>
                <w:rFonts w:hint="eastAsia" w:ascii="Times New Roman" w:hAnsi="Times New Roman" w:cs="Times New Roman"/>
                <w:color w:val="auto"/>
                <w:sz w:val="21"/>
                <w:szCs w:val="21"/>
                <w:highlight w:val="none"/>
                <w:lang w:val="en-US" w:eastAsia="zh-CN"/>
              </w:rPr>
              <w:t>和6万吨铁芯</w:t>
            </w:r>
            <w:r>
              <w:rPr>
                <w:rFonts w:hint="eastAsia" w:ascii="Times New Roman" w:hAnsi="Times New Roman" w:eastAsia="宋体" w:cs="Times New Roman"/>
                <w:color w:val="auto"/>
                <w:sz w:val="21"/>
                <w:szCs w:val="21"/>
                <w:highlight w:val="none"/>
                <w:lang w:val="en-US" w:eastAsia="zh-CN"/>
              </w:rPr>
              <w:t>，产品主要面向大型电力变压器、高效节能变压器及特高压输变电工程，满足超高压、特高压变压器能效标准，同时满足国内外市场对高性能硅钢材料的需求</w:t>
            </w:r>
            <w:r>
              <w:rPr>
                <w:rFonts w:hint="eastAsia" w:ascii="Times New Roman" w:hAnsi="Times New Roman" w:eastAsia="宋体" w:cs="Times New Roman"/>
                <w:b w:val="0"/>
                <w:bCs/>
                <w:color w:val="auto"/>
                <w:kern w:val="0"/>
                <w:sz w:val="21"/>
                <w:szCs w:val="21"/>
                <w:highlight w:val="none"/>
                <w:lang w:val="en-US" w:eastAsia="zh-CN" w:bidi="ar-SA"/>
              </w:rPr>
              <w:t>，符合《新疆生态环境保护“十四五”规划》要求。</w:t>
            </w:r>
          </w:p>
          <w:p w14:paraId="1858CA7C">
            <w:pPr>
              <w:pStyle w:val="15"/>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right="0" w:rightChars="0"/>
              <w:jc w:val="left"/>
              <w:textAlignment w:val="auto"/>
              <w:rPr>
                <w:rFonts w:hint="eastAsia"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5.</w:t>
            </w:r>
            <w:r>
              <w:rPr>
                <w:rFonts w:hint="eastAsia" w:ascii="Times New Roman" w:hAnsi="Times New Roman" w:eastAsia="宋体" w:cs="Times New Roman"/>
                <w:b/>
                <w:bCs/>
                <w:color w:val="auto"/>
                <w:sz w:val="21"/>
                <w:szCs w:val="21"/>
                <w:lang w:val="en-US" w:eastAsia="zh-CN"/>
              </w:rPr>
              <w:t>与《昌吉州生态环境保护“十四五”规划》符合性分析</w:t>
            </w:r>
          </w:p>
          <w:p w14:paraId="34611CE1">
            <w:pPr>
              <w:pStyle w:val="15"/>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right="0" w:rightChars="0" w:firstLine="420" w:firstLineChars="200"/>
              <w:jc w:val="both"/>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《昌吉州生态环境保护</w:t>
            </w:r>
            <w:r>
              <w:rPr>
                <w:rFonts w:hint="default" w:ascii="Times New Roman" w:hAnsi="Times New Roman" w:eastAsia="宋体" w:cs="Times New Roman"/>
                <w:b w:val="0"/>
                <w:bCs w:val="0"/>
                <w:color w:val="auto"/>
                <w:sz w:val="21"/>
                <w:szCs w:val="21"/>
                <w:lang w:val="en-US" w:eastAsia="zh-CN"/>
              </w:rPr>
              <w:t>“</w:t>
            </w:r>
            <w:r>
              <w:rPr>
                <w:rFonts w:hint="eastAsia" w:ascii="Times New Roman" w:hAnsi="Times New Roman" w:eastAsia="宋体" w:cs="Times New Roman"/>
                <w:b w:val="0"/>
                <w:bCs w:val="0"/>
                <w:color w:val="auto"/>
                <w:sz w:val="21"/>
                <w:szCs w:val="21"/>
                <w:lang w:val="en-US" w:eastAsia="zh-CN"/>
              </w:rPr>
              <w:t>十四五</w:t>
            </w:r>
            <w:r>
              <w:rPr>
                <w:rFonts w:hint="default" w:ascii="Times New Roman" w:hAnsi="Times New Roman" w:eastAsia="宋体" w:cs="Times New Roman"/>
                <w:b w:val="0"/>
                <w:bCs w:val="0"/>
                <w:color w:val="auto"/>
                <w:sz w:val="21"/>
                <w:szCs w:val="21"/>
                <w:lang w:val="en-US" w:eastAsia="zh-CN"/>
              </w:rPr>
              <w:t>”</w:t>
            </w:r>
            <w:r>
              <w:rPr>
                <w:rFonts w:hint="eastAsia" w:ascii="Times New Roman" w:hAnsi="Times New Roman" w:eastAsia="宋体" w:cs="Times New Roman"/>
                <w:b w:val="0"/>
                <w:bCs w:val="0"/>
                <w:color w:val="auto"/>
                <w:sz w:val="21"/>
                <w:szCs w:val="21"/>
                <w:lang w:val="en-US" w:eastAsia="zh-CN"/>
              </w:rPr>
              <w:t>规划》提出，以</w:t>
            </w:r>
            <w:r>
              <w:rPr>
                <w:rFonts w:hint="default" w:ascii="Times New Roman" w:hAnsi="Times New Roman" w:eastAsia="宋体" w:cs="Times New Roman"/>
                <w:b w:val="0"/>
                <w:bCs w:val="0"/>
                <w:color w:val="auto"/>
                <w:sz w:val="21"/>
                <w:szCs w:val="21"/>
                <w:lang w:val="en-US" w:eastAsia="zh-CN"/>
              </w:rPr>
              <w:t>“</w:t>
            </w:r>
            <w:r>
              <w:rPr>
                <w:rFonts w:hint="eastAsia" w:ascii="Times New Roman" w:hAnsi="Times New Roman" w:eastAsia="宋体" w:cs="Times New Roman"/>
                <w:b w:val="0"/>
                <w:bCs w:val="0"/>
                <w:color w:val="auto"/>
                <w:sz w:val="21"/>
                <w:szCs w:val="21"/>
                <w:lang w:val="en-US" w:eastAsia="zh-CN"/>
              </w:rPr>
              <w:t>乌－昌－石</w:t>
            </w:r>
            <w:r>
              <w:rPr>
                <w:rFonts w:hint="default" w:ascii="Times New Roman" w:hAnsi="Times New Roman" w:eastAsia="宋体" w:cs="Times New Roman"/>
                <w:b w:val="0"/>
                <w:bCs w:val="0"/>
                <w:color w:val="auto"/>
                <w:sz w:val="21"/>
                <w:szCs w:val="21"/>
                <w:lang w:val="en-US" w:eastAsia="zh-CN"/>
              </w:rPr>
              <w:t>”</w:t>
            </w:r>
            <w:r>
              <w:rPr>
                <w:rFonts w:hint="eastAsia" w:ascii="Times New Roman" w:hAnsi="Times New Roman" w:eastAsia="宋体" w:cs="Times New Roman"/>
                <w:b w:val="0"/>
                <w:bCs w:val="0"/>
                <w:color w:val="auto"/>
                <w:sz w:val="21"/>
                <w:szCs w:val="21"/>
                <w:lang w:val="en-US" w:eastAsia="zh-CN"/>
              </w:rPr>
              <w:t>重点区域内</w:t>
            </w:r>
            <w:r>
              <w:rPr>
                <w:rFonts w:hint="default"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lang w:val="en-US" w:eastAsia="zh-CN"/>
              </w:rPr>
              <w:t>县市、</w:t>
            </w:r>
            <w:r>
              <w:rPr>
                <w:rFonts w:hint="default" w:ascii="Times New Roman" w:hAnsi="Times New Roman" w:eastAsia="宋体" w:cs="Times New Roman"/>
                <w:b w:val="0"/>
                <w:bCs w:val="0"/>
                <w:color w:val="auto"/>
                <w:sz w:val="21"/>
                <w:szCs w:val="21"/>
                <w:lang w:val="en-US" w:eastAsia="zh-CN"/>
              </w:rPr>
              <w:t>2</w:t>
            </w:r>
            <w:r>
              <w:rPr>
                <w:rFonts w:hint="eastAsia" w:ascii="Times New Roman" w:hAnsi="Times New Roman" w:eastAsia="宋体" w:cs="Times New Roman"/>
                <w:b w:val="0"/>
                <w:bCs w:val="0"/>
                <w:color w:val="auto"/>
                <w:sz w:val="21"/>
                <w:szCs w:val="21"/>
                <w:lang w:val="en-US" w:eastAsia="zh-CN"/>
              </w:rPr>
              <w:t>园区为主战场，全面落实环境空气质量强化管控九项专项行动方案，以明显降低细颗粒物（</w:t>
            </w:r>
            <w:r>
              <w:rPr>
                <w:rFonts w:hint="default" w:ascii="Times New Roman" w:hAnsi="Times New Roman" w:eastAsia="宋体" w:cs="Times New Roman"/>
                <w:b w:val="0"/>
                <w:bCs w:val="0"/>
                <w:color w:val="auto"/>
                <w:sz w:val="21"/>
                <w:szCs w:val="21"/>
                <w:lang w:val="en-US" w:eastAsia="zh-CN"/>
              </w:rPr>
              <w:t>PM</w:t>
            </w:r>
            <w:r>
              <w:rPr>
                <w:rFonts w:hint="default" w:ascii="Times New Roman" w:hAnsi="Times New Roman" w:eastAsia="宋体" w:cs="Times New Roman"/>
                <w:b w:val="0"/>
                <w:bCs w:val="0"/>
                <w:color w:val="auto"/>
                <w:sz w:val="21"/>
                <w:szCs w:val="21"/>
                <w:vertAlign w:val="subscript"/>
                <w:lang w:val="en-US" w:eastAsia="zh-CN"/>
              </w:rPr>
              <w:t>2.5</w:t>
            </w:r>
            <w:r>
              <w:rPr>
                <w:rFonts w:hint="eastAsia" w:ascii="Times New Roman" w:hAnsi="Times New Roman" w:eastAsia="宋体" w:cs="Times New Roman"/>
                <w:b w:val="0"/>
                <w:bCs w:val="0"/>
                <w:color w:val="auto"/>
                <w:sz w:val="21"/>
                <w:szCs w:val="21"/>
                <w:lang w:val="en-US" w:eastAsia="zh-CN"/>
              </w:rPr>
              <w:t>）浓度、提升空气质量优良率为重点，以减少重污染天数为主攻方向，以采暖季为重点时段，分区控制与区域协作相结合，强化重点区域、重点行业、重点企业的污染防治，协同防治，科学施策、精准治污，明显改善环境空气质量。《规划》提出，强化高污染燃料禁燃区监督管理，加强“乌</w:t>
            </w:r>
            <w:r>
              <w:rPr>
                <w:rFonts w:hint="default" w:ascii="Times New Roman" w:hAnsi="Times New Roman" w:eastAsia="宋体" w:cs="Times New Roman"/>
                <w:b w:val="0"/>
                <w:bCs w:val="0"/>
                <w:color w:val="auto"/>
                <w:sz w:val="21"/>
                <w:szCs w:val="21"/>
                <w:lang w:val="en-US" w:eastAsia="zh-CN"/>
              </w:rPr>
              <w:t>-</w:t>
            </w:r>
            <w:r>
              <w:rPr>
                <w:rFonts w:hint="eastAsia" w:ascii="Times New Roman" w:hAnsi="Times New Roman" w:eastAsia="宋体" w:cs="Times New Roman"/>
                <w:b w:val="0"/>
                <w:bCs w:val="0"/>
                <w:color w:val="auto"/>
                <w:sz w:val="21"/>
                <w:szCs w:val="21"/>
                <w:lang w:val="en-US" w:eastAsia="zh-CN"/>
              </w:rPr>
              <w:t>昌</w:t>
            </w:r>
            <w:r>
              <w:rPr>
                <w:rFonts w:hint="default" w:ascii="Times New Roman" w:hAnsi="Times New Roman" w:eastAsia="宋体" w:cs="Times New Roman"/>
                <w:b w:val="0"/>
                <w:bCs w:val="0"/>
                <w:color w:val="auto"/>
                <w:sz w:val="21"/>
                <w:szCs w:val="21"/>
                <w:lang w:val="en-US" w:eastAsia="zh-CN"/>
              </w:rPr>
              <w:t>-</w:t>
            </w:r>
            <w:r>
              <w:rPr>
                <w:rFonts w:hint="eastAsia" w:ascii="Times New Roman" w:hAnsi="Times New Roman" w:eastAsia="宋体" w:cs="Times New Roman"/>
                <w:b w:val="0"/>
                <w:bCs w:val="0"/>
                <w:color w:val="auto"/>
                <w:sz w:val="21"/>
                <w:szCs w:val="21"/>
                <w:lang w:val="en-US" w:eastAsia="zh-CN"/>
              </w:rPr>
              <w:t>石”区域</w:t>
            </w:r>
            <w:r>
              <w:rPr>
                <w:rFonts w:hint="default"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lang w:val="en-US" w:eastAsia="zh-CN"/>
              </w:rPr>
              <w:t>县市禁燃区监督管理工作，禁燃区内工业生产、居民生活全部使用清洁能源，全面禁止销售和使用高污染燃料。积极推进城市建成区、工业园区热电联供，加快推进集中供热、</w:t>
            </w:r>
            <w:r>
              <w:rPr>
                <w:rFonts w:hint="default" w:ascii="Times New Roman" w:hAnsi="Times New Roman" w:eastAsia="宋体" w:cs="Times New Roman"/>
                <w:b w:val="0"/>
                <w:bCs w:val="0"/>
                <w:color w:val="auto"/>
                <w:sz w:val="21"/>
                <w:szCs w:val="21"/>
                <w:lang w:val="en-US" w:eastAsia="zh-CN"/>
              </w:rPr>
              <w:t>“</w:t>
            </w:r>
            <w:r>
              <w:rPr>
                <w:rFonts w:hint="eastAsia" w:ascii="Times New Roman" w:hAnsi="Times New Roman" w:eastAsia="宋体" w:cs="Times New Roman"/>
                <w:b w:val="0"/>
                <w:bCs w:val="0"/>
                <w:color w:val="auto"/>
                <w:sz w:val="21"/>
                <w:szCs w:val="21"/>
                <w:lang w:val="en-US" w:eastAsia="zh-CN"/>
              </w:rPr>
              <w:t>煤改电</w:t>
            </w:r>
            <w:r>
              <w:rPr>
                <w:rFonts w:hint="default" w:ascii="Times New Roman" w:hAnsi="Times New Roman" w:eastAsia="宋体" w:cs="Times New Roman"/>
                <w:b w:val="0"/>
                <w:bCs w:val="0"/>
                <w:color w:val="auto"/>
                <w:sz w:val="21"/>
                <w:szCs w:val="21"/>
                <w:lang w:val="en-US" w:eastAsia="zh-CN"/>
              </w:rPr>
              <w:t>”</w:t>
            </w:r>
            <w:r>
              <w:rPr>
                <w:rFonts w:hint="eastAsia" w:ascii="Times New Roman" w:hAnsi="Times New Roman" w:eastAsia="宋体" w:cs="Times New Roman"/>
                <w:b w:val="0"/>
                <w:bCs w:val="0"/>
                <w:color w:val="auto"/>
                <w:sz w:val="21"/>
                <w:szCs w:val="21"/>
                <w:lang w:val="en-US" w:eastAsia="zh-CN"/>
              </w:rPr>
              <w:t>工程建设。</w:t>
            </w:r>
          </w:p>
          <w:p w14:paraId="11CD76E9">
            <w:pPr>
              <w:pStyle w:val="15"/>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right="0" w:rightChars="0" w:firstLine="420" w:firstLineChars="200"/>
              <w:jc w:val="both"/>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本项目位于“乌</w:t>
            </w:r>
            <w:r>
              <w:rPr>
                <w:rFonts w:hint="default" w:ascii="Times New Roman" w:hAnsi="Times New Roman" w:eastAsia="宋体" w:cs="Times New Roman"/>
                <w:b w:val="0"/>
                <w:bCs w:val="0"/>
                <w:color w:val="auto"/>
                <w:sz w:val="21"/>
                <w:szCs w:val="21"/>
                <w:lang w:val="en-US" w:eastAsia="zh-CN"/>
              </w:rPr>
              <w:t>-</w:t>
            </w:r>
            <w:r>
              <w:rPr>
                <w:rFonts w:hint="eastAsia" w:ascii="Times New Roman" w:hAnsi="Times New Roman" w:eastAsia="宋体" w:cs="Times New Roman"/>
                <w:b w:val="0"/>
                <w:bCs w:val="0"/>
                <w:color w:val="auto"/>
                <w:sz w:val="21"/>
                <w:szCs w:val="21"/>
                <w:lang w:val="en-US" w:eastAsia="zh-CN"/>
              </w:rPr>
              <w:t>昌</w:t>
            </w:r>
            <w:r>
              <w:rPr>
                <w:rFonts w:hint="default" w:ascii="Times New Roman" w:hAnsi="Times New Roman" w:eastAsia="宋体" w:cs="Times New Roman"/>
                <w:b w:val="0"/>
                <w:bCs w:val="0"/>
                <w:color w:val="auto"/>
                <w:sz w:val="21"/>
                <w:szCs w:val="21"/>
                <w:lang w:val="en-US" w:eastAsia="zh-CN"/>
              </w:rPr>
              <w:t>-</w:t>
            </w:r>
            <w:r>
              <w:rPr>
                <w:rFonts w:hint="eastAsia" w:ascii="Times New Roman" w:hAnsi="Times New Roman" w:eastAsia="宋体" w:cs="Times New Roman"/>
                <w:b w:val="0"/>
                <w:bCs w:val="0"/>
                <w:color w:val="auto"/>
                <w:sz w:val="21"/>
                <w:szCs w:val="21"/>
                <w:lang w:val="en-US" w:eastAsia="zh-CN"/>
              </w:rPr>
              <w:t>石”重点区域内</w:t>
            </w:r>
            <w:r>
              <w:rPr>
                <w:rFonts w:hint="default"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lang w:val="en-US" w:eastAsia="zh-CN"/>
              </w:rPr>
              <w:t>县市、</w:t>
            </w:r>
            <w:r>
              <w:rPr>
                <w:rFonts w:hint="default" w:ascii="Times New Roman" w:hAnsi="Times New Roman" w:eastAsia="宋体" w:cs="Times New Roman"/>
                <w:b w:val="0"/>
                <w:bCs w:val="0"/>
                <w:color w:val="auto"/>
                <w:sz w:val="21"/>
                <w:szCs w:val="21"/>
                <w:lang w:val="en-US" w:eastAsia="zh-CN"/>
              </w:rPr>
              <w:t>2</w:t>
            </w:r>
            <w:r>
              <w:rPr>
                <w:rFonts w:hint="eastAsia" w:ascii="Times New Roman" w:hAnsi="Times New Roman" w:eastAsia="宋体" w:cs="Times New Roman"/>
                <w:b w:val="0"/>
                <w:bCs w:val="0"/>
                <w:color w:val="auto"/>
                <w:sz w:val="21"/>
                <w:szCs w:val="21"/>
                <w:lang w:val="en-US" w:eastAsia="zh-CN"/>
              </w:rPr>
              <w:t>园区的昌吉高新技术产业开发区内，不</w:t>
            </w:r>
            <w:r>
              <w:rPr>
                <w:rFonts w:hint="eastAsia" w:ascii="Times New Roman" w:hAnsi="Times New Roman" w:cs="Times New Roman"/>
                <w:b w:val="0"/>
                <w:bCs w:val="0"/>
                <w:color w:val="auto"/>
                <w:sz w:val="21"/>
                <w:szCs w:val="21"/>
                <w:lang w:val="en-US" w:eastAsia="zh-CN"/>
              </w:rPr>
              <w:t>使用高污染燃料</w:t>
            </w:r>
            <w:r>
              <w:rPr>
                <w:rFonts w:hint="eastAsia" w:ascii="Times New Roman" w:hAnsi="Times New Roman" w:eastAsia="宋体" w:cs="Times New Roman"/>
                <w:b w:val="0"/>
                <w:bCs w:val="0"/>
                <w:color w:val="auto"/>
                <w:sz w:val="21"/>
                <w:szCs w:val="21"/>
                <w:lang w:val="en-US" w:eastAsia="zh-CN"/>
              </w:rPr>
              <w:t>，积极响应《规划》提出的相关要求。</w:t>
            </w:r>
          </w:p>
          <w:p w14:paraId="525C40B1">
            <w:pPr>
              <w:keepNext w:val="0"/>
              <w:keepLines w:val="0"/>
              <w:pageBreakBefore w:val="0"/>
              <w:widowControl w:val="0"/>
              <w:numPr>
                <w:ilvl w:val="0"/>
                <w:numId w:val="0"/>
              </w:numPr>
              <w:kinsoku/>
              <w:wordWrap/>
              <w:overflowPunct/>
              <w:topLinePunct w:val="0"/>
              <w:bidi w:val="0"/>
              <w:adjustRightInd w:val="0"/>
              <w:snapToGrid w:val="0"/>
              <w:spacing w:line="360" w:lineRule="auto"/>
              <w:textAlignment w:val="auto"/>
              <w:rPr>
                <w:rFonts w:hint="default" w:ascii="Times New Roman" w:hAnsi="Times New Roman" w:cs="Times New Roman"/>
                <w:b/>
                <w:color w:val="auto"/>
                <w:kern w:val="0"/>
                <w:sz w:val="21"/>
                <w:szCs w:val="21"/>
              </w:rPr>
            </w:pPr>
            <w:r>
              <w:rPr>
                <w:rFonts w:hint="eastAsia" w:cs="Times New Roman"/>
                <w:b/>
                <w:color w:val="auto"/>
                <w:kern w:val="0"/>
                <w:sz w:val="21"/>
                <w:szCs w:val="21"/>
                <w:lang w:val="en-US" w:eastAsia="zh-CN"/>
              </w:rPr>
              <w:t>6.生态分区管控</w:t>
            </w:r>
            <w:r>
              <w:rPr>
                <w:rFonts w:hint="default" w:ascii="Times New Roman" w:hAnsi="Times New Roman" w:cs="Times New Roman"/>
                <w:b/>
                <w:color w:val="auto"/>
                <w:kern w:val="0"/>
                <w:sz w:val="21"/>
                <w:szCs w:val="21"/>
              </w:rPr>
              <w:t>符合性分析</w:t>
            </w:r>
          </w:p>
          <w:p w14:paraId="200263CB">
            <w:pPr>
              <w:keepNext w:val="0"/>
              <w:keepLines w:val="0"/>
              <w:pageBreakBefore w:val="0"/>
              <w:widowControl w:val="0"/>
              <w:kinsoku/>
              <w:wordWrap/>
              <w:overflowPunct/>
              <w:topLinePunct w:val="0"/>
              <w:autoSpaceDE w:val="0"/>
              <w:autoSpaceDN w:val="0"/>
              <w:bidi w:val="0"/>
              <w:adjustRightInd w:val="0"/>
              <w:snapToGrid w:val="0"/>
              <w:spacing w:line="360" w:lineRule="auto"/>
              <w:ind w:firstLine="422" w:firstLineChars="200"/>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（1）与《新疆维吾尔自治区生态环境分区管控动态更新成果》（新环环评发〔2024〕157号）符合性分析</w:t>
            </w:r>
          </w:p>
          <w:p w14:paraId="6510CB4A">
            <w:pPr>
              <w:pStyle w:val="24"/>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为贯彻落实《</w:t>
            </w:r>
            <w:r>
              <w:rPr>
                <w:rFonts w:hint="eastAsia" w:cs="Times New Roman"/>
                <w:color w:val="auto"/>
                <w:sz w:val="21"/>
                <w:szCs w:val="21"/>
                <w:lang w:eastAsia="zh-CN"/>
              </w:rPr>
              <w:t>中共中央、国务院</w:t>
            </w:r>
            <w:r>
              <w:rPr>
                <w:rFonts w:hint="default" w:ascii="Times New Roman" w:hAnsi="Times New Roman" w:eastAsia="宋体" w:cs="Times New Roman"/>
                <w:color w:val="auto"/>
                <w:sz w:val="21"/>
                <w:szCs w:val="21"/>
                <w:lang w:eastAsia="zh-CN"/>
              </w:rPr>
              <w:t>关于全面加强生态环境保护坚决打好污染防治攻坚战的意见》和《自治区党委自治区人民政府关于全面加强生态环境保护坚决打好污染防治攻坚战实施方案》，按照生态环境部统一部署，自治区组织编制了“生态保护红线、环境质量底线、资源利用上线和生态环境准入清单”（以下简称“三线一单”），现就实施“三线一单”生态环境分区管控。</w:t>
            </w:r>
          </w:p>
          <w:p w14:paraId="433B7129">
            <w:pPr>
              <w:pStyle w:val="24"/>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项目与《关于印发</w:t>
            </w:r>
            <w:r>
              <w:rPr>
                <w:rFonts w:hint="eastAsia" w:cs="Times New Roman"/>
                <w:color w:val="auto"/>
                <w:sz w:val="21"/>
                <w:szCs w:val="21"/>
                <w:lang w:eastAsia="zh-CN"/>
              </w:rPr>
              <w:t>〈</w:t>
            </w:r>
            <w:r>
              <w:rPr>
                <w:rFonts w:hint="default" w:ascii="Times New Roman" w:hAnsi="Times New Roman" w:eastAsia="宋体" w:cs="Times New Roman"/>
                <w:color w:val="auto"/>
                <w:sz w:val="21"/>
                <w:szCs w:val="21"/>
                <w:lang w:eastAsia="zh-CN"/>
              </w:rPr>
              <w:t>新疆维吾尔自治区生态环境分区管控动态更新成果</w:t>
            </w:r>
            <w:r>
              <w:rPr>
                <w:rFonts w:hint="eastAsia" w:cs="Times New Roman"/>
                <w:color w:val="auto"/>
                <w:sz w:val="21"/>
                <w:szCs w:val="21"/>
                <w:lang w:eastAsia="zh-CN"/>
              </w:rPr>
              <w:t>〉的通知》</w:t>
            </w:r>
            <w:r>
              <w:rPr>
                <w:rFonts w:hint="default" w:ascii="Times New Roman" w:hAnsi="Times New Roman" w:eastAsia="宋体" w:cs="Times New Roman"/>
                <w:color w:val="auto"/>
                <w:sz w:val="21"/>
                <w:szCs w:val="21"/>
                <w:lang w:eastAsia="zh-CN"/>
              </w:rPr>
              <w:t>（新环环评发〔2024〕157号）符合性分析详见下表。</w:t>
            </w:r>
          </w:p>
          <w:p w14:paraId="51E46E40">
            <w:pPr>
              <w:spacing w:line="240" w:lineRule="auto"/>
              <w:jc w:val="center"/>
              <w:rPr>
                <w:rFonts w:hint="default" w:ascii="Times New Roman" w:hAnsi="Times New Roman" w:eastAsia="黑体" w:cs="Times New Roman"/>
                <w:b w:val="0"/>
                <w:bCs w:val="0"/>
                <w:color w:val="auto"/>
                <w:sz w:val="21"/>
                <w:szCs w:val="21"/>
                <w:lang w:val="en-US" w:eastAsia="zh-CN"/>
              </w:rPr>
            </w:pPr>
            <w:r>
              <w:rPr>
                <w:rFonts w:hint="default" w:ascii="Times New Roman" w:hAnsi="Times New Roman" w:eastAsia="黑体" w:cs="Times New Roman"/>
                <w:b w:val="0"/>
                <w:bCs w:val="0"/>
                <w:color w:val="auto"/>
                <w:sz w:val="21"/>
                <w:szCs w:val="21"/>
                <w:lang w:val="en-US" w:eastAsia="zh-CN"/>
              </w:rPr>
              <w:t>表1-</w:t>
            </w:r>
            <w:r>
              <w:rPr>
                <w:rFonts w:hint="eastAsia" w:ascii="Times New Roman" w:hAnsi="Times New Roman" w:eastAsia="黑体" w:cs="Times New Roman"/>
                <w:b w:val="0"/>
                <w:bCs w:val="0"/>
                <w:color w:val="auto"/>
                <w:sz w:val="21"/>
                <w:szCs w:val="21"/>
                <w:lang w:val="en-US" w:eastAsia="zh-CN"/>
              </w:rPr>
              <w:t>2</w:t>
            </w:r>
            <w:r>
              <w:rPr>
                <w:rFonts w:hint="default" w:ascii="Times New Roman" w:hAnsi="Times New Roman" w:eastAsia="黑体" w:cs="Times New Roman"/>
                <w:b w:val="0"/>
                <w:bCs w:val="0"/>
                <w:color w:val="auto"/>
                <w:sz w:val="21"/>
                <w:szCs w:val="21"/>
                <w:lang w:val="en-US" w:eastAsia="zh-CN"/>
              </w:rPr>
              <w:t>与自治区“三线一单”生态环境分区管控</w:t>
            </w:r>
            <w:r>
              <w:rPr>
                <w:rFonts w:hint="eastAsia" w:eastAsia="黑体" w:cs="Times New Roman"/>
                <w:b w:val="0"/>
                <w:bCs w:val="0"/>
                <w:color w:val="auto"/>
                <w:sz w:val="21"/>
                <w:szCs w:val="21"/>
                <w:lang w:val="en-US" w:eastAsia="zh-CN"/>
              </w:rPr>
              <w:t>要求</w:t>
            </w:r>
            <w:r>
              <w:rPr>
                <w:rFonts w:hint="default" w:ascii="Times New Roman" w:hAnsi="Times New Roman" w:eastAsia="黑体" w:cs="Times New Roman"/>
                <w:b w:val="0"/>
                <w:bCs w:val="0"/>
                <w:color w:val="auto"/>
                <w:sz w:val="21"/>
                <w:szCs w:val="21"/>
                <w:lang w:val="en-US" w:eastAsia="zh-CN"/>
              </w:rPr>
              <w:t>符合性分析</w:t>
            </w:r>
          </w:p>
          <w:tbl>
            <w:tblPr>
              <w:tblStyle w:val="33"/>
              <w:tblW w:w="4994" w:type="pct"/>
              <w:tblInd w:w="5"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57" w:type="dxa"/>
                <w:bottom w:w="28" w:type="dxa"/>
                <w:right w:w="57" w:type="dxa"/>
              </w:tblCellMar>
            </w:tblPr>
            <w:tblGrid>
              <w:gridCol w:w="920"/>
              <w:gridCol w:w="859"/>
              <w:gridCol w:w="3039"/>
              <w:gridCol w:w="2120"/>
              <w:gridCol w:w="579"/>
            </w:tblGrid>
            <w:tr w14:paraId="0C57E4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1183" w:type="pct"/>
                  <w:gridSpan w:val="2"/>
                  <w:tcBorders>
                    <w:tl2br w:val="nil"/>
                    <w:tr2bl w:val="nil"/>
                  </w:tcBorders>
                  <w:noWrap w:val="0"/>
                  <w:vAlign w:val="center"/>
                </w:tcPr>
                <w:p w14:paraId="4FB0FEF3">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b/>
                      <w:bCs/>
                      <w:color w:val="auto"/>
                      <w:sz w:val="18"/>
                      <w:szCs w:val="18"/>
                    </w:rPr>
                  </w:pPr>
                  <w:r>
                    <w:rPr>
                      <w:rFonts w:hint="eastAsia" w:cs="Times New Roman"/>
                      <w:b/>
                      <w:bCs/>
                      <w:color w:val="auto"/>
                      <w:sz w:val="18"/>
                      <w:szCs w:val="18"/>
                      <w:lang w:val="en-US" w:eastAsia="zh-CN"/>
                    </w:rPr>
                    <w:t>管控维度</w:t>
                  </w:r>
                </w:p>
              </w:tc>
              <w:tc>
                <w:tcPr>
                  <w:tcW w:w="2020" w:type="pct"/>
                  <w:tcBorders>
                    <w:tl2br w:val="nil"/>
                    <w:tr2bl w:val="nil"/>
                  </w:tcBorders>
                  <w:noWrap w:val="0"/>
                  <w:vAlign w:val="center"/>
                </w:tcPr>
                <w:p w14:paraId="7EB9DFCC">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生态环境分区管控方案</w:t>
                  </w:r>
                  <w:r>
                    <w:rPr>
                      <w:rFonts w:hint="default" w:ascii="Times New Roman" w:hAnsi="Times New Roman" w:eastAsia="宋体" w:cs="Times New Roman"/>
                      <w:b/>
                      <w:bCs/>
                      <w:color w:val="auto"/>
                      <w:sz w:val="18"/>
                      <w:szCs w:val="18"/>
                    </w:rPr>
                    <w:t>要求</w:t>
                  </w:r>
                </w:p>
              </w:tc>
              <w:tc>
                <w:tcPr>
                  <w:tcW w:w="1409" w:type="pct"/>
                  <w:tcBorders>
                    <w:tl2br w:val="nil"/>
                    <w:tr2bl w:val="nil"/>
                  </w:tcBorders>
                  <w:noWrap w:val="0"/>
                  <w:vAlign w:val="center"/>
                </w:tcPr>
                <w:p w14:paraId="787027E6">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项目情况</w:t>
                  </w:r>
                </w:p>
              </w:tc>
              <w:tc>
                <w:tcPr>
                  <w:tcW w:w="385" w:type="pct"/>
                  <w:tcBorders>
                    <w:tl2br w:val="nil"/>
                    <w:tr2bl w:val="nil"/>
                  </w:tcBorders>
                  <w:noWrap w:val="0"/>
                  <w:vAlign w:val="center"/>
                </w:tcPr>
                <w:p w14:paraId="319B8C49">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符合性</w:t>
                  </w:r>
                </w:p>
              </w:tc>
            </w:tr>
            <w:tr w14:paraId="30946B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restart"/>
                  <w:tcBorders>
                    <w:tl2br w:val="nil"/>
                    <w:tr2bl w:val="nil"/>
                  </w:tcBorders>
                  <w:noWrap w:val="0"/>
                  <w:vAlign w:val="center"/>
                </w:tcPr>
                <w:p w14:paraId="07DEE2D8">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eastAsia" w:cs="Times New Roman"/>
                      <w:color w:val="auto"/>
                      <w:sz w:val="18"/>
                      <w:szCs w:val="18"/>
                      <w:lang w:val="en-US" w:eastAsia="zh-CN"/>
                    </w:rPr>
                  </w:pPr>
                  <w:r>
                    <w:rPr>
                      <w:rFonts w:hint="eastAsia" w:cs="Times New Roman"/>
                      <w:color w:val="auto"/>
                      <w:sz w:val="18"/>
                      <w:szCs w:val="18"/>
                      <w:lang w:val="en-US" w:eastAsia="zh-CN"/>
                    </w:rPr>
                    <w:t>A1</w:t>
                  </w:r>
                </w:p>
                <w:p w14:paraId="5A6C2601">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空间布局约束</w:t>
                  </w:r>
                </w:p>
              </w:tc>
              <w:tc>
                <w:tcPr>
                  <w:tcW w:w="571" w:type="pct"/>
                  <w:vMerge w:val="restart"/>
                  <w:tcBorders>
                    <w:tl2br w:val="nil"/>
                    <w:tr2bl w:val="nil"/>
                  </w:tcBorders>
                  <w:noWrap w:val="0"/>
                  <w:vAlign w:val="center"/>
                </w:tcPr>
                <w:p w14:paraId="01ED223C">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A1.1禁止开发建设的活动</w:t>
                  </w:r>
                </w:p>
              </w:tc>
              <w:tc>
                <w:tcPr>
                  <w:tcW w:w="2020" w:type="pct"/>
                  <w:tcBorders>
                    <w:tl2br w:val="nil"/>
                    <w:tr2bl w:val="nil"/>
                  </w:tcBorders>
                  <w:noWrap w:val="0"/>
                  <w:vAlign w:val="center"/>
                </w:tcPr>
                <w:p w14:paraId="430AB66E">
                  <w:pPr>
                    <w:keepNext w:val="0"/>
                    <w:keepLines w:val="0"/>
                    <w:widowControl/>
                    <w:suppressLineNumbers w:val="0"/>
                    <w:jc w:val="both"/>
                    <w:rPr>
                      <w:rFonts w:hint="default" w:ascii="Times New Roman" w:hAnsi="Times New Roman" w:eastAsia="宋体" w:cs="Times New Roman"/>
                      <w:color w:val="auto"/>
                      <w:sz w:val="18"/>
                      <w:szCs w:val="18"/>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A1.1-1</w:t>
                  </w:r>
                  <w:r>
                    <w:rPr>
                      <w:rFonts w:hint="eastAsia" w:ascii="宋体" w:hAnsi="宋体" w:eastAsia="宋体" w:cs="宋体"/>
                      <w:color w:val="auto"/>
                      <w:kern w:val="0"/>
                      <w:sz w:val="18"/>
                      <w:szCs w:val="18"/>
                      <w:lang w:val="en-US" w:eastAsia="zh-CN" w:bidi="ar"/>
                    </w:rPr>
                    <w:t>〕禁止新建、扩建《产业结构调整指导目录（</w:t>
                  </w:r>
                  <w:r>
                    <w:rPr>
                      <w:rFonts w:hint="default" w:ascii="Times New Roman" w:hAnsi="Times New Roman" w:eastAsia="宋体" w:cs="Times New Roman"/>
                      <w:color w:val="auto"/>
                      <w:kern w:val="0"/>
                      <w:sz w:val="18"/>
                      <w:szCs w:val="18"/>
                      <w:lang w:val="en-US" w:eastAsia="zh-CN" w:bidi="ar"/>
                    </w:rPr>
                    <w:t>2024</w:t>
                  </w:r>
                  <w:r>
                    <w:rPr>
                      <w:rFonts w:hint="eastAsia" w:ascii="宋体" w:hAnsi="宋体" w:eastAsia="宋体" w:cs="宋体"/>
                      <w:color w:val="auto"/>
                      <w:kern w:val="0"/>
                      <w:sz w:val="18"/>
                      <w:szCs w:val="18"/>
                      <w:lang w:val="en-US" w:eastAsia="zh-CN" w:bidi="ar"/>
                    </w:rPr>
                    <w:t>年本）》中淘汰类项目。禁止引入《市场准入负面清单（</w:t>
                  </w:r>
                  <w:r>
                    <w:rPr>
                      <w:rFonts w:hint="default" w:ascii="Times New Roman" w:hAnsi="Times New Roman" w:eastAsia="宋体" w:cs="Times New Roman"/>
                      <w:color w:val="auto"/>
                      <w:kern w:val="0"/>
                      <w:sz w:val="18"/>
                      <w:szCs w:val="18"/>
                      <w:lang w:val="en-US" w:eastAsia="zh-CN" w:bidi="ar"/>
                    </w:rPr>
                    <w:t>2022</w:t>
                  </w:r>
                  <w:r>
                    <w:rPr>
                      <w:rFonts w:hint="eastAsia" w:ascii="宋体" w:hAnsi="宋体" w:eastAsia="宋体" w:cs="宋体"/>
                      <w:color w:val="auto"/>
                      <w:kern w:val="0"/>
                      <w:sz w:val="18"/>
                      <w:szCs w:val="18"/>
                      <w:lang w:val="en-US" w:eastAsia="zh-CN" w:bidi="ar"/>
                    </w:rPr>
                    <w:t>年版）》禁止准入类事项。</w:t>
                  </w:r>
                </w:p>
              </w:tc>
              <w:tc>
                <w:tcPr>
                  <w:tcW w:w="1409" w:type="pct"/>
                  <w:tcBorders>
                    <w:tl2br w:val="nil"/>
                    <w:tr2bl w:val="nil"/>
                  </w:tcBorders>
                  <w:noWrap w:val="0"/>
                  <w:vAlign w:val="center"/>
                </w:tcPr>
                <w:p w14:paraId="6C6A30CD">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本项目属于允许类项目</w:t>
                  </w:r>
                </w:p>
              </w:tc>
              <w:tc>
                <w:tcPr>
                  <w:tcW w:w="385" w:type="pct"/>
                  <w:tcBorders>
                    <w:tl2br w:val="nil"/>
                    <w:tr2bl w:val="nil"/>
                  </w:tcBorders>
                  <w:noWrap w:val="0"/>
                  <w:vAlign w:val="center"/>
                </w:tcPr>
                <w:p w14:paraId="02A04569">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r w14:paraId="015707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2044B7FB">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rPr>
                  </w:pPr>
                </w:p>
              </w:tc>
              <w:tc>
                <w:tcPr>
                  <w:tcW w:w="571" w:type="pct"/>
                  <w:vMerge w:val="continue"/>
                  <w:tcBorders>
                    <w:tl2br w:val="nil"/>
                    <w:tr2bl w:val="nil"/>
                  </w:tcBorders>
                  <w:noWrap w:val="0"/>
                  <w:vAlign w:val="center"/>
                </w:tcPr>
                <w:p w14:paraId="45E6CBFE">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lang w:val="en-US" w:eastAsia="zh-CN"/>
                    </w:rPr>
                  </w:pPr>
                </w:p>
              </w:tc>
              <w:tc>
                <w:tcPr>
                  <w:tcW w:w="2020" w:type="pct"/>
                  <w:tcBorders>
                    <w:tl2br w:val="nil"/>
                    <w:tr2bl w:val="nil"/>
                  </w:tcBorders>
                  <w:noWrap w:val="0"/>
                  <w:vAlign w:val="center"/>
                </w:tcPr>
                <w:p w14:paraId="31EA8396">
                  <w:pPr>
                    <w:keepNext w:val="0"/>
                    <w:keepLines w:val="0"/>
                    <w:widowControl/>
                    <w:suppressLineNumbers w:val="0"/>
                    <w:jc w:val="both"/>
                    <w:rPr>
                      <w:rFonts w:hint="default" w:ascii="Times New Roman" w:hAnsi="Times New Roman" w:eastAsia="宋体" w:cs="Times New Roman"/>
                      <w:color w:val="auto"/>
                      <w:sz w:val="18"/>
                      <w:szCs w:val="18"/>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A1.1-2</w:t>
                  </w:r>
                  <w:r>
                    <w:rPr>
                      <w:rFonts w:hint="eastAsia" w:ascii="宋体" w:hAnsi="宋体" w:eastAsia="宋体" w:cs="宋体"/>
                      <w:color w:val="auto"/>
                      <w:kern w:val="0"/>
                      <w:sz w:val="18"/>
                      <w:szCs w:val="18"/>
                      <w:lang w:val="en-US" w:eastAsia="zh-CN" w:bidi="ar"/>
                    </w:rPr>
                    <w:t>〕禁止建设不符合国家和自治区环境保护标准的项目。</w:t>
                  </w:r>
                </w:p>
              </w:tc>
              <w:tc>
                <w:tcPr>
                  <w:tcW w:w="1409" w:type="pct"/>
                  <w:tcBorders>
                    <w:tl2br w:val="nil"/>
                    <w:tr2bl w:val="nil"/>
                  </w:tcBorders>
                  <w:noWrap w:val="0"/>
                  <w:vAlign w:val="center"/>
                </w:tcPr>
                <w:p w14:paraId="600E4671">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本项目不属于禁止类</w:t>
                  </w:r>
                </w:p>
              </w:tc>
              <w:tc>
                <w:tcPr>
                  <w:tcW w:w="385" w:type="pct"/>
                  <w:tcBorders>
                    <w:tl2br w:val="nil"/>
                    <w:tr2bl w:val="nil"/>
                  </w:tcBorders>
                  <w:noWrap w:val="0"/>
                  <w:vAlign w:val="center"/>
                </w:tcPr>
                <w:p w14:paraId="6C1033CE">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r w14:paraId="16559E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6F9C4E6F">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rPr>
                  </w:pPr>
                </w:p>
              </w:tc>
              <w:tc>
                <w:tcPr>
                  <w:tcW w:w="571" w:type="pct"/>
                  <w:vMerge w:val="continue"/>
                  <w:tcBorders>
                    <w:tl2br w:val="nil"/>
                    <w:tr2bl w:val="nil"/>
                  </w:tcBorders>
                  <w:noWrap w:val="0"/>
                  <w:vAlign w:val="center"/>
                </w:tcPr>
                <w:p w14:paraId="3105B656">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lang w:val="en-US" w:eastAsia="zh-CN"/>
                    </w:rPr>
                  </w:pPr>
                </w:p>
              </w:tc>
              <w:tc>
                <w:tcPr>
                  <w:tcW w:w="2020" w:type="pct"/>
                  <w:tcBorders>
                    <w:tl2br w:val="nil"/>
                    <w:tr2bl w:val="nil"/>
                  </w:tcBorders>
                  <w:noWrap w:val="0"/>
                  <w:vAlign w:val="center"/>
                </w:tcPr>
                <w:p w14:paraId="551D8FF3">
                  <w:pPr>
                    <w:keepNext w:val="0"/>
                    <w:keepLines w:val="0"/>
                    <w:widowControl/>
                    <w:suppressLineNumbers w:val="0"/>
                    <w:jc w:val="both"/>
                    <w:rPr>
                      <w:rFonts w:hint="default" w:ascii="Times New Roman" w:hAnsi="Times New Roman" w:eastAsia="宋体" w:cs="Times New Roman"/>
                      <w:color w:val="auto"/>
                      <w:sz w:val="18"/>
                      <w:szCs w:val="18"/>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A1.1-3</w:t>
                  </w:r>
                  <w:r>
                    <w:rPr>
                      <w:rFonts w:hint="eastAsia" w:ascii="宋体" w:hAnsi="宋体" w:eastAsia="宋体" w:cs="宋体"/>
                      <w:color w:val="auto"/>
                      <w:kern w:val="0"/>
                      <w:sz w:val="18"/>
                      <w:szCs w:val="18"/>
                      <w:lang w:val="en-US" w:eastAsia="zh-CN" w:bidi="ar"/>
                    </w:rPr>
                    <w:t>〕禁止在饮用水水源保护区、风景名胜区、自然保护区的核心区和缓冲区、城镇居民区、文化教育科学研究区等人口集中区域以及</w:t>
                  </w:r>
                  <w:r>
                    <w:rPr>
                      <w:rFonts w:hint="eastAsia" w:ascii="宋体" w:hAnsi="宋体" w:cs="宋体"/>
                      <w:color w:val="auto"/>
                      <w:kern w:val="0"/>
                      <w:sz w:val="18"/>
                      <w:szCs w:val="18"/>
                      <w:lang w:val="en-US" w:eastAsia="zh-CN" w:bidi="ar"/>
                    </w:rPr>
                    <w:t>法律法规</w:t>
                  </w:r>
                  <w:r>
                    <w:rPr>
                      <w:rFonts w:hint="eastAsia" w:ascii="宋体" w:hAnsi="宋体" w:eastAsia="宋体" w:cs="宋体"/>
                      <w:color w:val="auto"/>
                      <w:kern w:val="0"/>
                      <w:sz w:val="18"/>
                      <w:szCs w:val="18"/>
                      <w:lang w:val="en-US" w:eastAsia="zh-CN" w:bidi="ar"/>
                    </w:rPr>
                    <w:t>规定的其他禁止养殖区域建设畜禽养殖场、养殖小区。</w:t>
                  </w:r>
                </w:p>
              </w:tc>
              <w:tc>
                <w:tcPr>
                  <w:tcW w:w="1409" w:type="pct"/>
                  <w:tcBorders>
                    <w:tl2br w:val="nil"/>
                    <w:tr2bl w:val="nil"/>
                  </w:tcBorders>
                  <w:noWrap w:val="0"/>
                  <w:vAlign w:val="center"/>
                </w:tcPr>
                <w:p w14:paraId="39041B72">
                  <w:pPr>
                    <w:pStyle w:val="13"/>
                    <w:keepNext w:val="0"/>
                    <w:keepLines w:val="0"/>
                    <w:pageBreakBefore w:val="0"/>
                    <w:widowControl w:val="0"/>
                    <w:kinsoku/>
                    <w:wordWrap/>
                    <w:overflowPunct/>
                    <w:topLinePunct w:val="0"/>
                    <w:autoSpaceDE/>
                    <w:autoSpaceDN/>
                    <w:bidi w:val="0"/>
                    <w:spacing w:line="320" w:lineRule="exact"/>
                    <w:jc w:val="both"/>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不涉及</w:t>
                  </w:r>
                </w:p>
              </w:tc>
              <w:tc>
                <w:tcPr>
                  <w:tcW w:w="385" w:type="pct"/>
                  <w:tcBorders>
                    <w:tl2br w:val="nil"/>
                    <w:tr2bl w:val="nil"/>
                  </w:tcBorders>
                  <w:noWrap w:val="0"/>
                  <w:vAlign w:val="center"/>
                </w:tcPr>
                <w:p w14:paraId="6BCE2782">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r w14:paraId="4857D3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1A76A671">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752FA3F3">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5BB5EEFD">
                  <w:pPr>
                    <w:keepNext w:val="0"/>
                    <w:keepLines w:val="0"/>
                    <w:widowControl/>
                    <w:suppressLineNumbers w:val="0"/>
                    <w:jc w:val="both"/>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A1.1-4</w:t>
                  </w:r>
                  <w:r>
                    <w:rPr>
                      <w:rFonts w:hint="eastAsia" w:ascii="宋体" w:hAnsi="宋体" w:eastAsia="宋体" w:cs="宋体"/>
                      <w:color w:val="auto"/>
                      <w:kern w:val="0"/>
                      <w:sz w:val="18"/>
                      <w:szCs w:val="18"/>
                      <w:lang w:val="en-US" w:eastAsia="zh-CN" w:bidi="ar"/>
                    </w:rPr>
                    <w:t>〕禁止在水源涵养区、地下水源、饮用水源、自然保护区、风景名胜区、森林公园、重要湿地及人群密集区等生态敏感区域内进行煤炭、石油、天然气开发。</w:t>
                  </w:r>
                </w:p>
              </w:tc>
              <w:tc>
                <w:tcPr>
                  <w:tcW w:w="1409" w:type="pct"/>
                  <w:tcBorders>
                    <w:tl2br w:val="nil"/>
                    <w:tr2bl w:val="nil"/>
                  </w:tcBorders>
                  <w:noWrap w:val="0"/>
                  <w:vAlign w:val="center"/>
                </w:tcPr>
                <w:p w14:paraId="7AC8C683">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704FBF0F">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符合</w:t>
                  </w:r>
                </w:p>
              </w:tc>
            </w:tr>
            <w:tr w14:paraId="155D11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6DAB6001">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72BF9D1B">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7EE4B952">
                  <w:pPr>
                    <w:keepNext w:val="0"/>
                    <w:keepLines w:val="0"/>
                    <w:widowControl/>
                    <w:suppressLineNumbers w:val="0"/>
                    <w:jc w:val="both"/>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A1.1-5</w:t>
                  </w:r>
                  <w:r>
                    <w:rPr>
                      <w:rFonts w:hint="eastAsia" w:ascii="宋体" w:hAnsi="宋体" w:eastAsia="宋体" w:cs="宋体"/>
                      <w:color w:val="auto"/>
                      <w:kern w:val="0"/>
                      <w:sz w:val="18"/>
                      <w:szCs w:val="18"/>
                      <w:lang w:val="en-US" w:eastAsia="zh-CN" w:bidi="ar"/>
                    </w:rPr>
                    <w:t>〕禁止下列破坏湿地及其生态功能的行为：（一）开（围）垦、排干自然湿地，永久性截断自然湿地水源</w:t>
                  </w:r>
                  <w:r>
                    <w:rPr>
                      <w:rFonts w:hint="eastAsia" w:ascii="宋体" w:hAnsi="宋体" w:cs="宋体"/>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二）擅自填埋自然湿地，擅自采砂、采矿、取土；（三）排放不符合水污染物排放标准的工业废水、生活污水及其他污染湿地的废水、污水，倾倒、堆放、丢弃、遗撒固体废物（四）过度放牧或者滥采野生植物，过度捕捞或者灭绝式捕捞，过度施肥、投药、投放饵料等污染湿地的种植养殖行为；（五）其他破坏湿地及其生态功能的行为。</w:t>
                  </w:r>
                </w:p>
              </w:tc>
              <w:tc>
                <w:tcPr>
                  <w:tcW w:w="1409" w:type="pct"/>
                  <w:tcBorders>
                    <w:tl2br w:val="nil"/>
                    <w:tr2bl w:val="nil"/>
                  </w:tcBorders>
                  <w:noWrap w:val="0"/>
                  <w:vAlign w:val="center"/>
                </w:tcPr>
                <w:p w14:paraId="762EB6DA">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6ECD5419">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7278D6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4821AE1F">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4F3CAE10">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05920657">
                  <w:pPr>
                    <w:keepNext w:val="0"/>
                    <w:keepLines w:val="0"/>
                    <w:widowControl/>
                    <w:suppressLineNumbers w:val="0"/>
                    <w:jc w:val="both"/>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A1.1-6</w:t>
                  </w:r>
                  <w:r>
                    <w:rPr>
                      <w:rFonts w:hint="eastAsia" w:ascii="宋体" w:hAnsi="宋体" w:eastAsia="宋体" w:cs="宋体"/>
                      <w:color w:val="auto"/>
                      <w:kern w:val="0"/>
                      <w:sz w:val="18"/>
                      <w:szCs w:val="18"/>
                      <w:lang w:val="en-US" w:eastAsia="zh-CN" w:bidi="ar"/>
                    </w:rPr>
                    <w:t>〕禁止在自治区行政区域内引进能（水）耗不符合相关国家标准中准入值要求且污染物排放和环境风险防控不符合国家（地方）标准及有关产业准入条件的高污染（排放）、高能（水）耗、高环境风险的工业项目。</w:t>
                  </w:r>
                </w:p>
              </w:tc>
              <w:tc>
                <w:tcPr>
                  <w:tcW w:w="1409" w:type="pct"/>
                  <w:tcBorders>
                    <w:tl2br w:val="nil"/>
                    <w:tr2bl w:val="nil"/>
                  </w:tcBorders>
                  <w:noWrap w:val="0"/>
                  <w:vAlign w:val="center"/>
                </w:tcPr>
                <w:p w14:paraId="1AE265C5">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本项目不属于高污染、高能耗、高风险项目</w:t>
                  </w:r>
                </w:p>
              </w:tc>
              <w:tc>
                <w:tcPr>
                  <w:tcW w:w="385" w:type="pct"/>
                  <w:tcBorders>
                    <w:tl2br w:val="nil"/>
                    <w:tr2bl w:val="nil"/>
                  </w:tcBorders>
                  <w:noWrap w:val="0"/>
                  <w:vAlign w:val="center"/>
                </w:tcPr>
                <w:p w14:paraId="107D79CC">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49741A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1FA983B3">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658F38B8">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550E3D86">
                  <w:pPr>
                    <w:keepNext w:val="0"/>
                    <w:keepLines w:val="0"/>
                    <w:widowControl/>
                    <w:suppressLineNumbers w:val="0"/>
                    <w:jc w:val="both"/>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A1.1-7</w:t>
                  </w:r>
                  <w:r>
                    <w:rPr>
                      <w:rFonts w:hint="eastAsia" w:ascii="宋体" w:hAnsi="宋体" w:eastAsia="宋体" w:cs="宋体"/>
                      <w:color w:val="auto"/>
                      <w:kern w:val="0"/>
                      <w:sz w:val="18"/>
                      <w:szCs w:val="18"/>
                      <w:lang w:val="en-US" w:eastAsia="zh-CN" w:bidi="ar"/>
                    </w:rPr>
                    <w:t>〕①坚决遏制高耗能高排放</w:t>
                  </w:r>
                  <w:r>
                    <w:rPr>
                      <w:rFonts w:hint="eastAsia" w:ascii="宋体" w:hAnsi="宋体" w:cs="宋体"/>
                      <w:color w:val="auto"/>
                      <w:kern w:val="0"/>
                      <w:sz w:val="18"/>
                      <w:szCs w:val="18"/>
                      <w:lang w:val="en-US" w:eastAsia="zh-CN" w:bidi="ar"/>
                    </w:rPr>
                    <w:t>、低水平</w:t>
                  </w:r>
                  <w:r>
                    <w:rPr>
                      <w:rFonts w:hint="eastAsia" w:ascii="宋体" w:hAnsi="宋体" w:eastAsia="宋体" w:cs="宋体"/>
                      <w:color w:val="auto"/>
                      <w:kern w:val="0"/>
                      <w:sz w:val="18"/>
                      <w:szCs w:val="18"/>
                      <w:lang w:val="en-US" w:eastAsia="zh-CN" w:bidi="ar"/>
                    </w:rPr>
                    <w:t>项目盲目发展。严把高耗能</w:t>
                  </w:r>
                  <w:r>
                    <w:rPr>
                      <w:rFonts w:hint="eastAsia" w:ascii="宋体" w:hAnsi="宋体" w:cs="宋体"/>
                      <w:color w:val="auto"/>
                      <w:kern w:val="0"/>
                      <w:sz w:val="18"/>
                      <w:szCs w:val="18"/>
                      <w:lang w:val="en-US" w:eastAsia="zh-CN" w:bidi="ar"/>
                    </w:rPr>
                    <w:t>、高</w:t>
                  </w:r>
                  <w:r>
                    <w:rPr>
                      <w:rFonts w:hint="eastAsia" w:ascii="宋体" w:hAnsi="宋体" w:eastAsia="宋体" w:cs="宋体"/>
                      <w:color w:val="auto"/>
                      <w:kern w:val="0"/>
                      <w:sz w:val="18"/>
                      <w:szCs w:val="18"/>
                      <w:lang w:val="en-US" w:eastAsia="zh-CN" w:bidi="ar"/>
                    </w:rPr>
                    <w:t>排放低水平项目准入关口，严格落实污染物排放区域削减要求，对不符合规定的项目坚决停批停建。依法依规淘汰落后产能和化解过剩产能。②重点行业企业纳入重污染天气绩效分级，制定</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一厂一策</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应急减排清单，实现应纳尽纳；引导重点企业在秋冬季安排停产检修计划，减少冬季和采暖期排放。推进重点行业深度治理，实施全工况脱硫脱硝提标改造，加大无组织排放治理力度，深度开展工业炉窑综合整治，全面提升电解铝、活性炭、硅冶炼、纯碱、电石、聚氯乙烯、石化等行业污染治理</w:t>
                  </w:r>
                  <w:r>
                    <w:rPr>
                      <w:rFonts w:hint="eastAsia" w:ascii="宋体" w:hAnsi="宋体" w:cs="宋体"/>
                      <w:color w:val="auto"/>
                      <w:kern w:val="0"/>
                      <w:sz w:val="18"/>
                      <w:szCs w:val="18"/>
                      <w:lang w:val="en-US" w:eastAsia="zh-CN" w:bidi="ar"/>
                    </w:rPr>
                    <w:t>水平。</w:t>
                  </w:r>
                </w:p>
              </w:tc>
              <w:tc>
                <w:tcPr>
                  <w:tcW w:w="1409" w:type="pct"/>
                  <w:tcBorders>
                    <w:tl2br w:val="nil"/>
                    <w:tr2bl w:val="nil"/>
                  </w:tcBorders>
                  <w:noWrap w:val="0"/>
                  <w:vAlign w:val="center"/>
                </w:tcPr>
                <w:p w14:paraId="0D9DF102">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本项目不属于</w:t>
                  </w:r>
                  <w:r>
                    <w:rPr>
                      <w:rFonts w:hint="eastAsia" w:ascii="宋体" w:hAnsi="宋体" w:eastAsia="宋体" w:cs="宋体"/>
                      <w:color w:val="auto"/>
                      <w:kern w:val="0"/>
                      <w:sz w:val="18"/>
                      <w:szCs w:val="18"/>
                      <w:lang w:val="en-US" w:eastAsia="zh-CN" w:bidi="ar"/>
                    </w:rPr>
                    <w:t>高耗能高排放低水平项目</w:t>
                  </w:r>
                </w:p>
              </w:tc>
              <w:tc>
                <w:tcPr>
                  <w:tcW w:w="385" w:type="pct"/>
                  <w:tcBorders>
                    <w:tl2br w:val="nil"/>
                    <w:tr2bl w:val="nil"/>
                  </w:tcBorders>
                  <w:noWrap w:val="0"/>
                  <w:vAlign w:val="center"/>
                </w:tcPr>
                <w:p w14:paraId="3DA41949">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05D542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4B6FD0C1">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4D498D96">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2D18802B">
                  <w:pPr>
                    <w:keepNext w:val="0"/>
                    <w:keepLines w:val="0"/>
                    <w:widowControl/>
                    <w:suppressLineNumbers w:val="0"/>
                    <w:jc w:val="both"/>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A1.1-8</w:t>
                  </w:r>
                  <w:r>
                    <w:rPr>
                      <w:rFonts w:hint="eastAsia" w:ascii="宋体" w:hAnsi="宋体" w:eastAsia="宋体" w:cs="宋体"/>
                      <w:color w:val="auto"/>
                      <w:kern w:val="0"/>
                      <w:sz w:val="18"/>
                      <w:szCs w:val="18"/>
                      <w:lang w:val="en-US" w:eastAsia="zh-CN" w:bidi="ar"/>
                    </w:rPr>
                    <w:t>〕严格执行危险化学品</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禁限控</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目录，新建危险化学品生产项目必须进入一般或较低安全风险的化工园区（与其他行业生产装置配套建设的项目除外），引导其他石化化工项目在化工园区发展。</w:t>
                  </w:r>
                </w:p>
              </w:tc>
              <w:tc>
                <w:tcPr>
                  <w:tcW w:w="1409" w:type="pct"/>
                  <w:tcBorders>
                    <w:tl2br w:val="nil"/>
                    <w:tr2bl w:val="nil"/>
                  </w:tcBorders>
                  <w:noWrap w:val="0"/>
                  <w:vAlign w:val="center"/>
                </w:tcPr>
                <w:p w14:paraId="2F71E83C">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本项目不属于化工项目</w:t>
                  </w:r>
                </w:p>
              </w:tc>
              <w:tc>
                <w:tcPr>
                  <w:tcW w:w="385" w:type="pct"/>
                  <w:tcBorders>
                    <w:tl2br w:val="nil"/>
                    <w:tr2bl w:val="nil"/>
                  </w:tcBorders>
                  <w:noWrap w:val="0"/>
                  <w:vAlign w:val="center"/>
                </w:tcPr>
                <w:p w14:paraId="73B02922">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1AF806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1D05AFDF">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533838F4">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5AA94D16">
                  <w:pPr>
                    <w:keepNext w:val="0"/>
                    <w:keepLines w:val="0"/>
                    <w:widowControl/>
                    <w:suppressLineNumbers w:val="0"/>
                    <w:jc w:val="both"/>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A1.1-9</w:t>
                  </w:r>
                  <w:r>
                    <w:rPr>
                      <w:rFonts w:hint="eastAsia" w:ascii="宋体" w:hAnsi="宋体" w:eastAsia="宋体" w:cs="宋体"/>
                      <w:color w:val="auto"/>
                      <w:kern w:val="0"/>
                      <w:sz w:val="18"/>
                      <w:szCs w:val="18"/>
                      <w:lang w:val="en-US" w:eastAsia="zh-CN" w:bidi="ar"/>
                    </w:rPr>
                    <w:t>〕严禁新建自治区《禁止、控制和限制危险化学品目录》中淘汰类、禁止类危险化学品化工项目。严格执行生态保护红线、永久基本农田管控要求，禁止新（改、扩）建化工项目违规占用生态保护红线和永久基本农田。在塔里木河、伊犁河、额尔齐斯河干流及主要支流岸线</w:t>
                  </w:r>
                  <w:r>
                    <w:rPr>
                      <w:rFonts w:hint="default" w:ascii="Times New Roman" w:hAnsi="Times New Roman" w:eastAsia="宋体" w:cs="Times New Roman"/>
                      <w:color w:val="auto"/>
                      <w:kern w:val="0"/>
                      <w:sz w:val="18"/>
                      <w:szCs w:val="18"/>
                      <w:lang w:val="en-US" w:eastAsia="zh-CN" w:bidi="ar"/>
                    </w:rPr>
                    <w:t>1</w:t>
                  </w:r>
                  <w:r>
                    <w:rPr>
                      <w:rFonts w:hint="eastAsia" w:ascii="宋体" w:hAnsi="宋体" w:eastAsia="宋体" w:cs="宋体"/>
                      <w:color w:val="auto"/>
                      <w:kern w:val="0"/>
                      <w:sz w:val="18"/>
                      <w:szCs w:val="18"/>
                      <w:lang w:val="en-US" w:eastAsia="zh-CN" w:bidi="ar"/>
                    </w:rPr>
                    <w:t>公里范围内，除提升安全、环保、节能、智能化、产品质量水平的技术改造项目外，严格禁止新建、扩建化工项目，不得布局新的化工园区（含化工集中区）</w:t>
                  </w:r>
                </w:p>
              </w:tc>
              <w:tc>
                <w:tcPr>
                  <w:tcW w:w="1409" w:type="pct"/>
                  <w:tcBorders>
                    <w:tl2br w:val="nil"/>
                    <w:tr2bl w:val="nil"/>
                  </w:tcBorders>
                  <w:noWrap w:val="0"/>
                  <w:vAlign w:val="center"/>
                </w:tcPr>
                <w:p w14:paraId="3E6BD09A">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本项目不属于化工项目</w:t>
                  </w:r>
                </w:p>
              </w:tc>
              <w:tc>
                <w:tcPr>
                  <w:tcW w:w="385" w:type="pct"/>
                  <w:tcBorders>
                    <w:tl2br w:val="nil"/>
                    <w:tr2bl w:val="nil"/>
                  </w:tcBorders>
                  <w:noWrap w:val="0"/>
                  <w:vAlign w:val="center"/>
                </w:tcPr>
                <w:p w14:paraId="0DDC58C7">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7115A3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3AAB624C">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00E1B2D8">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6DD4545C">
                  <w:pPr>
                    <w:keepNext w:val="0"/>
                    <w:keepLines w:val="0"/>
                    <w:widowControl/>
                    <w:suppressLineNumbers w:val="0"/>
                    <w:jc w:val="both"/>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A1.1-10</w:t>
                  </w:r>
                  <w:r>
                    <w:rPr>
                      <w:rFonts w:hint="eastAsia" w:ascii="宋体" w:hAnsi="宋体" w:eastAsia="宋体" w:cs="宋体"/>
                      <w:color w:val="auto"/>
                      <w:kern w:val="0"/>
                      <w:sz w:val="18"/>
                      <w:szCs w:val="18"/>
                      <w:lang w:val="en-US" w:eastAsia="zh-CN" w:bidi="ar"/>
                    </w:rPr>
                    <w:t>〕推动涉重金属产业集中优化发展，禁止新建用汞的电石法（聚）氯乙烯生产工艺，新建、扩建的重有色金属冶炼、电镀、制革企业优先选择布设在依法合规设立并依法开展规划环境影响评价的产业园区。</w:t>
                  </w:r>
                </w:p>
              </w:tc>
              <w:tc>
                <w:tcPr>
                  <w:tcW w:w="1409" w:type="pct"/>
                  <w:tcBorders>
                    <w:tl2br w:val="nil"/>
                    <w:tr2bl w:val="nil"/>
                  </w:tcBorders>
                  <w:noWrap w:val="0"/>
                  <w:vAlign w:val="center"/>
                </w:tcPr>
                <w:p w14:paraId="3BBAFA50">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本项目不涉及重金属</w:t>
                  </w:r>
                </w:p>
              </w:tc>
              <w:tc>
                <w:tcPr>
                  <w:tcW w:w="385" w:type="pct"/>
                  <w:tcBorders>
                    <w:tl2br w:val="nil"/>
                    <w:tr2bl w:val="nil"/>
                  </w:tcBorders>
                  <w:noWrap w:val="0"/>
                  <w:vAlign w:val="center"/>
                </w:tcPr>
                <w:p w14:paraId="3E138ED1">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7F25B5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6BB40FEF">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0338FEBF">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4773805E">
                  <w:pPr>
                    <w:keepNext w:val="0"/>
                    <w:keepLines w:val="0"/>
                    <w:widowControl/>
                    <w:suppressLineNumbers w:val="0"/>
                    <w:jc w:val="both"/>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A1.1-11</w:t>
                  </w:r>
                  <w:r>
                    <w:rPr>
                      <w:rFonts w:hint="eastAsia" w:ascii="宋体" w:hAnsi="宋体" w:eastAsia="宋体" w:cs="宋体"/>
                      <w:color w:val="auto"/>
                      <w:kern w:val="0"/>
                      <w:sz w:val="18"/>
                      <w:szCs w:val="18"/>
                      <w:lang w:val="en-US" w:eastAsia="zh-CN" w:bidi="ar"/>
                    </w:rPr>
                    <w:t>〕国务院有关部门和青藏高原县级以上地方人民政府应当建立健全青藏高原雪山冰川冻土保护制度，加强对雪山冰川冻土的监测预警和系统保护。青藏高原省级人民政府应当将大型冰帽冰川、小规模冰川群等划入生态保护红线，对重要雪山冰川实施封禁保护，采取有效措施，严格控制人为扰动。青藏高原省级人民政府应当划定冻土区保护范围，加强对多年冻土区和中深季节冻土区的保护，严格控制多年冻土区资源开发，严格审批多年冻土区城镇规划和交通、管线、输变电等重大工程项目。青藏高原省级人民政府应当开展雪山冰川冻土与周边生态系统的协同保护，维持有利于雪山冰川冻土保护的自然生态环境。</w:t>
                  </w:r>
                </w:p>
              </w:tc>
              <w:tc>
                <w:tcPr>
                  <w:tcW w:w="1409" w:type="pct"/>
                  <w:tcBorders>
                    <w:tl2br w:val="nil"/>
                    <w:tr2bl w:val="nil"/>
                  </w:tcBorders>
                  <w:noWrap w:val="0"/>
                  <w:vAlign w:val="center"/>
                </w:tcPr>
                <w:p w14:paraId="14928D47">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7E7ADF15">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677148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6740D0ED">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restart"/>
                  <w:tcBorders>
                    <w:tl2br w:val="nil"/>
                    <w:tr2bl w:val="nil"/>
                  </w:tcBorders>
                  <w:noWrap w:val="0"/>
                  <w:vAlign w:val="center"/>
                </w:tcPr>
                <w:p w14:paraId="27AF8222">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lang w:val="en-US" w:eastAsia="zh-CN" w:bidi="ar"/>
                    </w:rPr>
                    <w:t>A1.2</w:t>
                  </w:r>
                  <w:r>
                    <w:rPr>
                      <w:rFonts w:hint="eastAsia" w:ascii="宋体" w:hAnsi="宋体" w:eastAsia="宋体" w:cs="宋体"/>
                      <w:color w:val="auto"/>
                      <w:kern w:val="0"/>
                      <w:sz w:val="18"/>
                      <w:szCs w:val="18"/>
                      <w:lang w:val="en-US" w:eastAsia="zh-CN" w:bidi="ar"/>
                    </w:rPr>
                    <w:t>限制开发建设的活动</w:t>
                  </w:r>
                </w:p>
              </w:tc>
              <w:tc>
                <w:tcPr>
                  <w:tcW w:w="2020" w:type="pct"/>
                  <w:tcBorders>
                    <w:tl2br w:val="nil"/>
                    <w:tr2bl w:val="nil"/>
                  </w:tcBorders>
                  <w:noWrap w:val="0"/>
                  <w:vAlign w:val="center"/>
                </w:tcPr>
                <w:p w14:paraId="4CC4EBE3">
                  <w:pPr>
                    <w:keepNext w:val="0"/>
                    <w:keepLines w:val="0"/>
                    <w:widowControl/>
                    <w:suppressLineNumbers w:val="0"/>
                    <w:jc w:val="left"/>
                    <w:rPr>
                      <w:color w:val="auto"/>
                      <w:sz w:val="18"/>
                      <w:szCs w:val="18"/>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A1.2-1</w:t>
                  </w:r>
                  <w:r>
                    <w:rPr>
                      <w:rFonts w:hint="eastAsia" w:ascii="宋体" w:hAnsi="宋体" w:eastAsia="宋体" w:cs="宋体"/>
                      <w:color w:val="auto"/>
                      <w:kern w:val="0"/>
                      <w:sz w:val="18"/>
                      <w:szCs w:val="18"/>
                      <w:lang w:val="en-US" w:eastAsia="zh-CN" w:bidi="ar"/>
                    </w:rPr>
                    <w:t>〕严格控制缺水地区、水污染严重区域和敏感区域高耗水、高污染行业发展。</w:t>
                  </w:r>
                </w:p>
                <w:p w14:paraId="13FFF0EF">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A1.2-2</w:t>
                  </w:r>
                  <w:r>
                    <w:rPr>
                      <w:rFonts w:hint="eastAsia" w:ascii="宋体" w:hAnsi="宋体" w:eastAsia="宋体" w:cs="宋体"/>
                      <w:color w:val="auto"/>
                      <w:kern w:val="0"/>
                      <w:sz w:val="18"/>
                      <w:szCs w:val="18"/>
                      <w:lang w:val="en-US" w:eastAsia="zh-CN" w:bidi="ar"/>
                    </w:rPr>
                    <w:t>〕建设项目用地原则上不得占用永久基本农田，确需占用永久基本农田的建设项目须符合《中华人民共和国基本农田保护条例》中相关要求，占用耕地、林地或草地的建设项目须按照国家、自治区相关补偿要求进行补偿。</w:t>
                  </w:r>
                </w:p>
              </w:tc>
              <w:tc>
                <w:tcPr>
                  <w:tcW w:w="1409" w:type="pct"/>
                  <w:tcBorders>
                    <w:tl2br w:val="nil"/>
                    <w:tr2bl w:val="nil"/>
                  </w:tcBorders>
                  <w:noWrap w:val="0"/>
                  <w:vAlign w:val="center"/>
                </w:tcPr>
                <w:p w14:paraId="379A405E">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00F4013E">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272895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451DC388">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1F2BB67D">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6006ECEC">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A1.2-3</w:t>
                  </w:r>
                  <w:r>
                    <w:rPr>
                      <w:rFonts w:hint="eastAsia" w:ascii="宋体" w:hAnsi="宋体" w:eastAsia="宋体" w:cs="宋体"/>
                      <w:color w:val="auto"/>
                      <w:kern w:val="0"/>
                      <w:sz w:val="18"/>
                      <w:szCs w:val="18"/>
                      <w:lang w:val="en-US" w:eastAsia="zh-CN" w:bidi="ar"/>
                    </w:rPr>
                    <w:t>〕以用途变更为住宅、公共管理与公共服务用地的地块为重点，严格建设用地准入管理和风险管控，未依法完成土壤污染状况调查或风险评估的地块，不得开工建设与风险管控和修复无关</w:t>
                  </w:r>
                  <w:r>
                    <w:rPr>
                      <w:rFonts w:hint="eastAsia" w:ascii="宋体" w:hAnsi="宋体" w:cs="宋体"/>
                      <w:color w:val="auto"/>
                      <w:kern w:val="0"/>
                      <w:sz w:val="18"/>
                      <w:szCs w:val="18"/>
                      <w:lang w:val="en-US" w:eastAsia="zh-CN" w:bidi="ar"/>
                    </w:rPr>
                    <w:t>的项目。</w:t>
                  </w:r>
                </w:p>
              </w:tc>
              <w:tc>
                <w:tcPr>
                  <w:tcW w:w="1409" w:type="pct"/>
                  <w:tcBorders>
                    <w:tl2br w:val="nil"/>
                    <w:tr2bl w:val="nil"/>
                  </w:tcBorders>
                  <w:noWrap w:val="0"/>
                  <w:vAlign w:val="center"/>
                </w:tcPr>
                <w:p w14:paraId="715E5B47">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419C92C3">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5C3B79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42DF7A17">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6E0F552D">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3BEEE8EC">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A1.2-4</w:t>
                  </w:r>
                  <w:r>
                    <w:rPr>
                      <w:rFonts w:hint="eastAsia" w:ascii="宋体" w:hAnsi="宋体" w:eastAsia="宋体" w:cs="宋体"/>
                      <w:color w:val="auto"/>
                      <w:kern w:val="0"/>
                      <w:sz w:val="18"/>
                      <w:szCs w:val="18"/>
                      <w:lang w:val="en-US" w:eastAsia="zh-CN" w:bidi="ar"/>
                    </w:rPr>
                    <w:t>〕严格控制建设项目占用湿地。因国家和自治区重点建设工程、基础设施建设，以及重点公益性项目建设，确需占用湿地的，应当按照有关法律、法规规定的权限和程序办理批准手续。</w:t>
                  </w:r>
                </w:p>
              </w:tc>
              <w:tc>
                <w:tcPr>
                  <w:tcW w:w="1409" w:type="pct"/>
                  <w:tcBorders>
                    <w:tl2br w:val="nil"/>
                    <w:tr2bl w:val="nil"/>
                  </w:tcBorders>
                  <w:noWrap w:val="0"/>
                  <w:vAlign w:val="center"/>
                </w:tcPr>
                <w:p w14:paraId="082AEA14">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1038A338">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2E8C15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36799C5D">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6BFA9F1F">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5762AD00">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A1.2-5</w:t>
                  </w:r>
                  <w:r>
                    <w:rPr>
                      <w:rFonts w:hint="eastAsia" w:ascii="宋体" w:hAnsi="宋体" w:eastAsia="宋体" w:cs="宋体"/>
                      <w:color w:val="auto"/>
                      <w:kern w:val="0"/>
                      <w:sz w:val="18"/>
                      <w:szCs w:val="18"/>
                      <w:lang w:val="en-US" w:eastAsia="zh-CN" w:bidi="ar"/>
                    </w:rPr>
                    <w:t>〕严格管控自然保护地范围内非生态活动，稳妥推进核心区内居民、耕地有序退出，矿权依法依规退出。</w:t>
                  </w:r>
                </w:p>
              </w:tc>
              <w:tc>
                <w:tcPr>
                  <w:tcW w:w="1409" w:type="pct"/>
                  <w:tcBorders>
                    <w:tl2br w:val="nil"/>
                    <w:tr2bl w:val="nil"/>
                  </w:tcBorders>
                  <w:noWrap w:val="0"/>
                  <w:vAlign w:val="center"/>
                </w:tcPr>
                <w:p w14:paraId="09CCE447">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2CA1D539">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0A8C3E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1933ACF1">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restart"/>
                  <w:tcBorders>
                    <w:tl2br w:val="nil"/>
                    <w:tr2bl w:val="nil"/>
                  </w:tcBorders>
                  <w:noWrap w:val="0"/>
                  <w:vAlign w:val="center"/>
                </w:tcPr>
                <w:p w14:paraId="467D977F">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lang w:val="en-US" w:eastAsia="zh-CN" w:bidi="ar"/>
                    </w:rPr>
                    <w:t>A1.3</w:t>
                  </w:r>
                  <w:r>
                    <w:rPr>
                      <w:rFonts w:hint="eastAsia" w:ascii="宋体" w:hAnsi="宋体" w:eastAsia="宋体" w:cs="宋体"/>
                      <w:color w:val="auto"/>
                      <w:kern w:val="0"/>
                      <w:sz w:val="18"/>
                      <w:szCs w:val="18"/>
                      <w:lang w:val="en-US" w:eastAsia="zh-CN" w:bidi="ar"/>
                    </w:rPr>
                    <w:t>不符合空间布局要求活动的退出要求</w:t>
                  </w:r>
                </w:p>
              </w:tc>
              <w:tc>
                <w:tcPr>
                  <w:tcW w:w="2020" w:type="pct"/>
                  <w:tcBorders>
                    <w:tl2br w:val="nil"/>
                    <w:tr2bl w:val="nil"/>
                  </w:tcBorders>
                  <w:noWrap w:val="0"/>
                  <w:vAlign w:val="center"/>
                </w:tcPr>
                <w:p w14:paraId="0FF778BA">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A1.3-1</w:t>
                  </w:r>
                  <w:r>
                    <w:rPr>
                      <w:rFonts w:hint="eastAsia" w:ascii="宋体" w:hAnsi="宋体" w:eastAsia="宋体" w:cs="宋体"/>
                      <w:color w:val="auto"/>
                      <w:kern w:val="0"/>
                      <w:sz w:val="18"/>
                      <w:szCs w:val="18"/>
                      <w:lang w:val="en-US" w:eastAsia="zh-CN" w:bidi="ar"/>
                    </w:rPr>
                    <w:t>〕任何单位和个人不得在水源涵养区、饮用水水源保护区内和河流、湖泊、水库周围建设重化工、涉重金属等工业污染项目；对已建成的工业污染项目，当地人民政府应当组织限期搬迁。</w:t>
                  </w:r>
                </w:p>
              </w:tc>
              <w:tc>
                <w:tcPr>
                  <w:tcW w:w="1409" w:type="pct"/>
                  <w:tcBorders>
                    <w:tl2br w:val="nil"/>
                    <w:tr2bl w:val="nil"/>
                  </w:tcBorders>
                  <w:noWrap w:val="0"/>
                  <w:vAlign w:val="center"/>
                </w:tcPr>
                <w:p w14:paraId="52853C60">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35B824C8">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033F80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2CFDDE9B">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73D7C2F2">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2B39EBDF">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A1.3-2</w:t>
                  </w:r>
                  <w:r>
                    <w:rPr>
                      <w:rFonts w:hint="eastAsia" w:ascii="宋体" w:hAnsi="宋体" w:eastAsia="宋体" w:cs="宋体"/>
                      <w:color w:val="auto"/>
                      <w:kern w:val="0"/>
                      <w:sz w:val="18"/>
                      <w:szCs w:val="18"/>
                      <w:lang w:val="en-US" w:eastAsia="zh-CN" w:bidi="ar"/>
                    </w:rPr>
                    <w:t>〕对不符合国家产业政策、严重污染水环境的生产项目全部予以取缔。</w:t>
                  </w:r>
                </w:p>
              </w:tc>
              <w:tc>
                <w:tcPr>
                  <w:tcW w:w="1409" w:type="pct"/>
                  <w:tcBorders>
                    <w:tl2br w:val="nil"/>
                    <w:tr2bl w:val="nil"/>
                  </w:tcBorders>
                  <w:noWrap w:val="0"/>
                  <w:vAlign w:val="center"/>
                </w:tcPr>
                <w:p w14:paraId="4DD3959D">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不属于</w:t>
                  </w:r>
                </w:p>
              </w:tc>
              <w:tc>
                <w:tcPr>
                  <w:tcW w:w="385" w:type="pct"/>
                  <w:tcBorders>
                    <w:tl2br w:val="nil"/>
                    <w:tr2bl w:val="nil"/>
                  </w:tcBorders>
                  <w:noWrap w:val="0"/>
                  <w:vAlign w:val="center"/>
                </w:tcPr>
                <w:p w14:paraId="731FFC5C">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709AB6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7E88A3B6">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0E08A248">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19C30D15">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A1.3-3</w:t>
                  </w:r>
                  <w:r>
                    <w:rPr>
                      <w:rFonts w:hint="eastAsia" w:ascii="宋体" w:hAnsi="宋体" w:eastAsia="宋体" w:cs="宋体"/>
                      <w:color w:val="auto"/>
                      <w:kern w:val="0"/>
                      <w:sz w:val="18"/>
                      <w:szCs w:val="18"/>
                      <w:lang w:val="en-US" w:eastAsia="zh-CN" w:bidi="ar"/>
                    </w:rPr>
                    <w:t>〕根据《产业结构调整指导目录》《限期淘汰产生严重污染环境的工业固体废物的落后生产工艺设备名录》等要求，配合有关部门依法淘汰烧结</w:t>
                  </w:r>
                  <w:r>
                    <w:rPr>
                      <w:rFonts w:hint="eastAsia" w:ascii="宋体" w:hAnsi="宋体" w:cs="宋体"/>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鼓风炉炼铅工艺炼铅等涉重金属落后产能和化解过剩产能。严格执行生态环境保护等相关法规标准，推动经整改仍达不到要求的产能依法依规关闭退出。</w:t>
                  </w:r>
                </w:p>
              </w:tc>
              <w:tc>
                <w:tcPr>
                  <w:tcW w:w="1409" w:type="pct"/>
                  <w:tcBorders>
                    <w:tl2br w:val="nil"/>
                    <w:tr2bl w:val="nil"/>
                  </w:tcBorders>
                  <w:noWrap w:val="0"/>
                  <w:vAlign w:val="center"/>
                </w:tcPr>
                <w:p w14:paraId="303DA264">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本项目属于允许类项目</w:t>
                  </w:r>
                </w:p>
              </w:tc>
              <w:tc>
                <w:tcPr>
                  <w:tcW w:w="385" w:type="pct"/>
                  <w:tcBorders>
                    <w:tl2br w:val="nil"/>
                    <w:tr2bl w:val="nil"/>
                  </w:tcBorders>
                  <w:noWrap w:val="0"/>
                  <w:vAlign w:val="center"/>
                </w:tcPr>
                <w:p w14:paraId="6196AD55">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1C7524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75FD34EE">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5605A2FD">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65EF8AC4">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A1.3-4</w:t>
                  </w:r>
                  <w:r>
                    <w:rPr>
                      <w:rFonts w:hint="eastAsia" w:ascii="宋体" w:hAnsi="宋体" w:eastAsia="宋体" w:cs="宋体"/>
                      <w:color w:val="auto"/>
                      <w:kern w:val="0"/>
                      <w:sz w:val="18"/>
                      <w:szCs w:val="18"/>
                      <w:lang w:val="en-US" w:eastAsia="zh-CN" w:bidi="ar"/>
                    </w:rPr>
                    <w:t>〕城市建成区、重点流域内已建成投产</w:t>
                  </w:r>
                  <w:r>
                    <w:rPr>
                      <w:rFonts w:hint="eastAsia" w:ascii="宋体" w:hAnsi="宋体" w:cs="宋体"/>
                      <w:color w:val="auto"/>
                      <w:kern w:val="0"/>
                      <w:sz w:val="18"/>
                      <w:szCs w:val="18"/>
                      <w:lang w:val="en-US" w:eastAsia="zh-CN" w:bidi="ar"/>
                    </w:rPr>
                    <w:t>的化工企业</w:t>
                  </w:r>
                  <w:r>
                    <w:rPr>
                      <w:rFonts w:hint="eastAsia" w:ascii="宋体" w:hAnsi="宋体" w:eastAsia="宋体" w:cs="宋体"/>
                      <w:color w:val="auto"/>
                      <w:kern w:val="0"/>
                      <w:sz w:val="18"/>
                      <w:szCs w:val="18"/>
                      <w:lang w:val="en-US" w:eastAsia="zh-CN" w:bidi="ar"/>
                    </w:rPr>
                    <w:t>和危险化学品生产企业应加快退城入园，搬入化工园区前企业不应实施改扩建工程扩大生产规模。</w:t>
                  </w:r>
                </w:p>
              </w:tc>
              <w:tc>
                <w:tcPr>
                  <w:tcW w:w="1409" w:type="pct"/>
                  <w:tcBorders>
                    <w:tl2br w:val="nil"/>
                    <w:tr2bl w:val="nil"/>
                  </w:tcBorders>
                  <w:noWrap w:val="0"/>
                  <w:vAlign w:val="center"/>
                </w:tcPr>
                <w:p w14:paraId="1331B154">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本项目不属于化工项目</w:t>
                  </w:r>
                </w:p>
              </w:tc>
              <w:tc>
                <w:tcPr>
                  <w:tcW w:w="385" w:type="pct"/>
                  <w:tcBorders>
                    <w:tl2br w:val="nil"/>
                    <w:tr2bl w:val="nil"/>
                  </w:tcBorders>
                  <w:noWrap w:val="0"/>
                  <w:vAlign w:val="center"/>
                </w:tcPr>
                <w:p w14:paraId="3BFC4497">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213BA1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623A9269">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restart"/>
                  <w:tcBorders>
                    <w:tl2br w:val="nil"/>
                    <w:tr2bl w:val="nil"/>
                  </w:tcBorders>
                  <w:noWrap w:val="0"/>
                  <w:vAlign w:val="center"/>
                </w:tcPr>
                <w:p w14:paraId="7383ADCC">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lang w:val="en-US" w:eastAsia="zh-CN" w:bidi="ar"/>
                    </w:rPr>
                    <w:t>A1.4</w:t>
                  </w:r>
                  <w:r>
                    <w:rPr>
                      <w:rFonts w:hint="eastAsia" w:cs="Times New Roman"/>
                      <w:color w:val="auto"/>
                      <w:kern w:val="0"/>
                      <w:sz w:val="18"/>
                      <w:szCs w:val="18"/>
                      <w:lang w:val="en-US" w:eastAsia="zh-CN" w:bidi="ar"/>
                    </w:rPr>
                    <w:t>其他</w:t>
                  </w:r>
                  <w:r>
                    <w:rPr>
                      <w:rFonts w:hint="eastAsia" w:ascii="宋体" w:hAnsi="宋体" w:eastAsia="宋体" w:cs="宋体"/>
                      <w:color w:val="auto"/>
                      <w:kern w:val="0"/>
                      <w:sz w:val="18"/>
                      <w:szCs w:val="18"/>
                      <w:lang w:val="en-US" w:eastAsia="zh-CN" w:bidi="ar"/>
                    </w:rPr>
                    <w:t>布局要求</w:t>
                  </w:r>
                </w:p>
              </w:tc>
              <w:tc>
                <w:tcPr>
                  <w:tcW w:w="2020" w:type="pct"/>
                  <w:tcBorders>
                    <w:tl2br w:val="nil"/>
                    <w:tr2bl w:val="nil"/>
                  </w:tcBorders>
                  <w:noWrap w:val="0"/>
                  <w:vAlign w:val="center"/>
                </w:tcPr>
                <w:p w14:paraId="2E612040">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A1.4-1</w:t>
                  </w:r>
                  <w:r>
                    <w:rPr>
                      <w:rFonts w:hint="eastAsia" w:ascii="宋体" w:hAnsi="宋体" w:eastAsia="宋体" w:cs="宋体"/>
                      <w:color w:val="auto"/>
                      <w:kern w:val="0"/>
                      <w:sz w:val="18"/>
                      <w:szCs w:val="18"/>
                      <w:lang w:val="en-US" w:eastAsia="zh-CN" w:bidi="ar"/>
                    </w:rPr>
                    <w:t>〕一切开发建设活动应符合国家、自治区主体功能区规划、自治区和各地颁布实施的生态环境功能区划、国民经济发展规划、产业发展规划、国土空间规划等相关规划及重点生态功能区负面清单要求，符合区域或产业规划环评要求。</w:t>
                  </w:r>
                </w:p>
              </w:tc>
              <w:tc>
                <w:tcPr>
                  <w:tcW w:w="1409" w:type="pct"/>
                  <w:tcBorders>
                    <w:tl2br w:val="nil"/>
                    <w:tr2bl w:val="nil"/>
                  </w:tcBorders>
                  <w:noWrap w:val="0"/>
                  <w:vAlign w:val="center"/>
                </w:tcPr>
                <w:p w14:paraId="4AEC0C43">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本项目符合园区规划</w:t>
                  </w:r>
                </w:p>
              </w:tc>
              <w:tc>
                <w:tcPr>
                  <w:tcW w:w="385" w:type="pct"/>
                  <w:tcBorders>
                    <w:tl2br w:val="nil"/>
                    <w:tr2bl w:val="nil"/>
                  </w:tcBorders>
                  <w:noWrap w:val="0"/>
                  <w:vAlign w:val="center"/>
                </w:tcPr>
                <w:p w14:paraId="3CFAED06">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7D24DD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06D23567">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6D160796">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6F9E1975">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A1.4-2</w:t>
                  </w:r>
                  <w:r>
                    <w:rPr>
                      <w:rFonts w:hint="eastAsia" w:ascii="宋体" w:hAnsi="宋体" w:eastAsia="宋体" w:cs="宋体"/>
                      <w:color w:val="auto"/>
                      <w:kern w:val="0"/>
                      <w:sz w:val="18"/>
                      <w:szCs w:val="18"/>
                      <w:lang w:val="en-US" w:eastAsia="zh-CN" w:bidi="ar"/>
                    </w:rPr>
                    <w:t>〕新建、扩建石化、化工、焦化、有色金属冶炼、平板玻璃项目应布设在依法合规设立并经规划环评的产业园区。</w:t>
                  </w:r>
                </w:p>
              </w:tc>
              <w:tc>
                <w:tcPr>
                  <w:tcW w:w="1409" w:type="pct"/>
                  <w:tcBorders>
                    <w:tl2br w:val="nil"/>
                    <w:tr2bl w:val="nil"/>
                  </w:tcBorders>
                  <w:noWrap w:val="0"/>
                  <w:vAlign w:val="center"/>
                </w:tcPr>
                <w:p w14:paraId="01FCAB49">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13EF70C0">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13FD2B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5D38C296">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086BDF98">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4D9F59C2">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A1.4-3</w:t>
                  </w:r>
                  <w:r>
                    <w:rPr>
                      <w:rFonts w:hint="eastAsia" w:ascii="宋体" w:hAnsi="宋体" w:eastAsia="宋体" w:cs="宋体"/>
                      <w:color w:val="auto"/>
                      <w:kern w:val="0"/>
                      <w:sz w:val="18"/>
                      <w:szCs w:val="18"/>
                      <w:lang w:val="en-US" w:eastAsia="zh-CN" w:bidi="ar"/>
                    </w:rPr>
                    <w:t>〕危险化学品生产企业搬迁改造及新建化工项目必须进入国家及自治区各级人民政府正式批准设立，规划环评通过审查，规划通过审批且环保基础设施完善的工业园区，并符合国土空间规划、产业发展规划和生态红线管控要求。</w:t>
                  </w:r>
                </w:p>
              </w:tc>
              <w:tc>
                <w:tcPr>
                  <w:tcW w:w="1409" w:type="pct"/>
                  <w:tcBorders>
                    <w:tl2br w:val="nil"/>
                    <w:tr2bl w:val="nil"/>
                  </w:tcBorders>
                  <w:noWrap w:val="0"/>
                  <w:vAlign w:val="center"/>
                </w:tcPr>
                <w:p w14:paraId="1345E452">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65CD8B22">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6A0B30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restart"/>
                  <w:tcBorders>
                    <w:tl2br w:val="nil"/>
                    <w:tr2bl w:val="nil"/>
                  </w:tcBorders>
                  <w:noWrap w:val="0"/>
                  <w:vAlign w:val="center"/>
                </w:tcPr>
                <w:p w14:paraId="7DABAAEA">
                  <w:pPr>
                    <w:keepNext w:val="0"/>
                    <w:keepLines w:val="0"/>
                    <w:widowControl/>
                    <w:suppressLineNumbers w:val="0"/>
                    <w:jc w:val="left"/>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0"/>
                      <w:sz w:val="18"/>
                      <w:szCs w:val="18"/>
                      <w:lang w:val="en-US" w:eastAsia="zh-CN" w:bidi="ar"/>
                    </w:rPr>
                    <w:t>A2</w:t>
                  </w:r>
                  <w:r>
                    <w:rPr>
                      <w:rFonts w:hint="eastAsia" w:ascii="宋体" w:hAnsi="宋体" w:eastAsia="宋体" w:cs="宋体"/>
                      <w:color w:val="auto"/>
                      <w:kern w:val="0"/>
                      <w:sz w:val="18"/>
                      <w:szCs w:val="18"/>
                      <w:lang w:val="en-US" w:eastAsia="zh-CN" w:bidi="ar"/>
                    </w:rPr>
                    <w:t>污染物排放管控</w:t>
                  </w:r>
                </w:p>
              </w:tc>
              <w:tc>
                <w:tcPr>
                  <w:tcW w:w="571" w:type="pct"/>
                  <w:vMerge w:val="restart"/>
                  <w:tcBorders>
                    <w:tl2br w:val="nil"/>
                    <w:tr2bl w:val="nil"/>
                  </w:tcBorders>
                  <w:noWrap w:val="0"/>
                  <w:vAlign w:val="center"/>
                </w:tcPr>
                <w:p w14:paraId="3F3AA21C">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lang w:val="en-US" w:eastAsia="zh-CN" w:bidi="ar"/>
                    </w:rPr>
                    <w:t>A2.1</w:t>
                  </w:r>
                  <w:r>
                    <w:rPr>
                      <w:rFonts w:hint="eastAsia" w:ascii="宋体" w:hAnsi="宋体" w:eastAsia="宋体" w:cs="宋体"/>
                      <w:color w:val="auto"/>
                      <w:kern w:val="0"/>
                      <w:sz w:val="18"/>
                      <w:szCs w:val="18"/>
                      <w:lang w:val="en-US" w:eastAsia="zh-CN" w:bidi="ar"/>
                    </w:rPr>
                    <w:t>污染物削减</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替代要求</w:t>
                  </w:r>
                </w:p>
              </w:tc>
              <w:tc>
                <w:tcPr>
                  <w:tcW w:w="2020" w:type="pct"/>
                  <w:tcBorders>
                    <w:tl2br w:val="nil"/>
                    <w:tr2bl w:val="nil"/>
                  </w:tcBorders>
                  <w:noWrap w:val="0"/>
                  <w:vAlign w:val="center"/>
                </w:tcPr>
                <w:p w14:paraId="60E3062F">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A2.1-1</w:t>
                  </w:r>
                  <w:r>
                    <w:rPr>
                      <w:rFonts w:hint="eastAsia" w:ascii="宋体" w:hAnsi="宋体" w:eastAsia="宋体" w:cs="宋体"/>
                      <w:color w:val="auto"/>
                      <w:kern w:val="0"/>
                      <w:sz w:val="18"/>
                      <w:szCs w:val="18"/>
                      <w:lang w:val="en-US" w:eastAsia="zh-CN" w:bidi="ar"/>
                    </w:rPr>
                    <w:t>〕新、改、扩建重点行业建设项目应符合</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三线一单</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、产业政策、区域环评、规划环评和行业环境准入管控要求。重点区域的新、改、扩建重点行业建设项目应遵循重点重金属污染物排放</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减量替代</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原则。</w:t>
                  </w:r>
                </w:p>
              </w:tc>
              <w:tc>
                <w:tcPr>
                  <w:tcW w:w="1409" w:type="pct"/>
                  <w:tcBorders>
                    <w:tl2br w:val="nil"/>
                    <w:tr2bl w:val="nil"/>
                  </w:tcBorders>
                  <w:noWrap w:val="0"/>
                  <w:vAlign w:val="center"/>
                </w:tcPr>
                <w:p w14:paraId="33B186FF">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本项目符合昌吉生态环境分区管控要求、属于允许类建设项目；项目符合园区规划环评要求，属于准入行业</w:t>
                  </w:r>
                </w:p>
              </w:tc>
              <w:tc>
                <w:tcPr>
                  <w:tcW w:w="385" w:type="pct"/>
                  <w:tcBorders>
                    <w:tl2br w:val="nil"/>
                    <w:tr2bl w:val="nil"/>
                  </w:tcBorders>
                  <w:noWrap w:val="0"/>
                  <w:vAlign w:val="center"/>
                </w:tcPr>
                <w:p w14:paraId="1E0B95ED">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5710D4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78821946">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1E18B582">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5CD426E5">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A2.1-2</w:t>
                  </w:r>
                  <w:r>
                    <w:rPr>
                      <w:rFonts w:hint="eastAsia" w:ascii="宋体" w:hAnsi="宋体" w:eastAsia="宋体" w:cs="宋体"/>
                      <w:color w:val="auto"/>
                      <w:kern w:val="0"/>
                      <w:sz w:val="18"/>
                      <w:szCs w:val="18"/>
                      <w:lang w:val="en-US" w:eastAsia="zh-CN" w:bidi="ar"/>
                    </w:rPr>
                    <w:t>〕以石化、化工、涂装、医药、包装印刷、油品储运销等行业领域为重点，安全高效推进挥发性有机物综合治理，实施原辅材料和产品源头替代工程。</w:t>
                  </w:r>
                </w:p>
              </w:tc>
              <w:tc>
                <w:tcPr>
                  <w:tcW w:w="1409" w:type="pct"/>
                  <w:tcBorders>
                    <w:tl2br w:val="nil"/>
                    <w:tr2bl w:val="nil"/>
                  </w:tcBorders>
                  <w:noWrap w:val="0"/>
                  <w:vAlign w:val="center"/>
                </w:tcPr>
                <w:p w14:paraId="510725A4">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本项目不属于左侧所列项目</w:t>
                  </w:r>
                </w:p>
              </w:tc>
              <w:tc>
                <w:tcPr>
                  <w:tcW w:w="385" w:type="pct"/>
                  <w:tcBorders>
                    <w:tl2br w:val="nil"/>
                    <w:tr2bl w:val="nil"/>
                  </w:tcBorders>
                  <w:noWrap w:val="0"/>
                  <w:vAlign w:val="center"/>
                </w:tcPr>
                <w:p w14:paraId="1CF0D027">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39208A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6356A8DE">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2D2A8DB0">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53D14AE9">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A2.1-3</w:t>
                  </w:r>
                  <w:r>
                    <w:rPr>
                      <w:rFonts w:hint="eastAsia" w:ascii="宋体" w:hAnsi="宋体" w:eastAsia="宋体" w:cs="宋体"/>
                      <w:color w:val="auto"/>
                      <w:kern w:val="0"/>
                      <w:sz w:val="18"/>
                      <w:szCs w:val="18"/>
                      <w:lang w:val="en-US" w:eastAsia="zh-CN" w:bidi="ar"/>
                    </w:rPr>
                    <w:t>〕促进大气污染物与温室气体协同控制。实施污染物和温室气体协同控制，实现减污降碳协同效应。开展工业、农业温室气体和污染减排协同控制研究，减少温室气体和污染物排放。强化污水、垃圾等集中处置设施环境管理，协同控制氢氟碳化物、甲烷、氧化亚氮等温室气体。加强节约能源与大气污染防治协同有效衔接，促进大气污染防治协同增效。</w:t>
                  </w:r>
                </w:p>
              </w:tc>
              <w:tc>
                <w:tcPr>
                  <w:tcW w:w="1409" w:type="pct"/>
                  <w:tcBorders>
                    <w:tl2br w:val="nil"/>
                    <w:tr2bl w:val="nil"/>
                  </w:tcBorders>
                  <w:noWrap w:val="0"/>
                  <w:vAlign w:val="center"/>
                </w:tcPr>
                <w:p w14:paraId="2939B189">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本项目建成后按照要求进行温室气体控制</w:t>
                  </w:r>
                </w:p>
              </w:tc>
              <w:tc>
                <w:tcPr>
                  <w:tcW w:w="385" w:type="pct"/>
                  <w:tcBorders>
                    <w:tl2br w:val="nil"/>
                    <w:tr2bl w:val="nil"/>
                  </w:tcBorders>
                  <w:noWrap w:val="0"/>
                  <w:vAlign w:val="center"/>
                </w:tcPr>
                <w:p w14:paraId="7E8C7C39">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205168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028304EB">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3860CE2A">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07F77CEB">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A2.1-4</w:t>
                  </w:r>
                  <w:r>
                    <w:rPr>
                      <w:rFonts w:hint="eastAsia" w:ascii="宋体" w:hAnsi="宋体" w:eastAsia="宋体" w:cs="宋体"/>
                      <w:color w:val="auto"/>
                      <w:kern w:val="0"/>
                      <w:sz w:val="18"/>
                      <w:szCs w:val="18"/>
                      <w:lang w:val="en-US" w:eastAsia="zh-CN" w:bidi="ar"/>
                    </w:rPr>
                    <w:t>〕严控建材、铸造、冶炼等行业无组织排放，推进石化、化工、涂装、医药、包装印刷、油品储运销等行业项目挥发性有机物（</w:t>
                  </w:r>
                  <w:r>
                    <w:rPr>
                      <w:rFonts w:hint="default" w:ascii="Times New Roman" w:hAnsi="Times New Roman" w:eastAsia="宋体" w:cs="Times New Roman"/>
                      <w:color w:val="auto"/>
                      <w:kern w:val="0"/>
                      <w:sz w:val="18"/>
                      <w:szCs w:val="18"/>
                      <w:lang w:val="en-US" w:eastAsia="zh-CN" w:bidi="ar"/>
                    </w:rPr>
                    <w:t>VOCs</w:t>
                  </w:r>
                  <w:r>
                    <w:rPr>
                      <w:rFonts w:hint="eastAsia" w:ascii="宋体" w:hAnsi="宋体" w:eastAsia="宋体" w:cs="宋体"/>
                      <w:color w:val="auto"/>
                      <w:kern w:val="0"/>
                      <w:sz w:val="18"/>
                      <w:szCs w:val="18"/>
                      <w:lang w:val="en-US" w:eastAsia="zh-CN" w:bidi="ar"/>
                    </w:rPr>
                    <w:t>）防治。严格有色金属冶炼、石油加工、化工、焦化等行业项目的土壤、地下水污染防治措施要求。推进工业园区和企业集群建设涉</w:t>
                  </w:r>
                  <w:r>
                    <w:rPr>
                      <w:rFonts w:hint="default" w:ascii="Times New Roman" w:hAnsi="Times New Roman" w:eastAsia="宋体" w:cs="Times New Roman"/>
                      <w:color w:val="auto"/>
                      <w:kern w:val="0"/>
                      <w:sz w:val="18"/>
                      <w:szCs w:val="18"/>
                      <w:lang w:val="en-US" w:eastAsia="zh-CN" w:bidi="ar"/>
                    </w:rPr>
                    <w:t>VOCs“</w:t>
                  </w:r>
                  <w:r>
                    <w:rPr>
                      <w:rFonts w:hint="eastAsia" w:ascii="宋体" w:hAnsi="宋体" w:eastAsia="宋体" w:cs="宋体"/>
                      <w:color w:val="auto"/>
                      <w:kern w:val="0"/>
                      <w:sz w:val="18"/>
                      <w:szCs w:val="18"/>
                      <w:lang w:val="en-US" w:eastAsia="zh-CN" w:bidi="ar"/>
                    </w:rPr>
                    <w:t>绿岛</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项目，统筹规划建设一批集中涂装中心、活性炭集中处理中心、溶剂回收中心等，实现</w:t>
                  </w:r>
                  <w:r>
                    <w:rPr>
                      <w:rFonts w:hint="default" w:ascii="Times New Roman" w:hAnsi="Times New Roman" w:eastAsia="宋体" w:cs="Times New Roman"/>
                      <w:color w:val="auto"/>
                      <w:kern w:val="0"/>
                      <w:sz w:val="18"/>
                      <w:szCs w:val="18"/>
                      <w:lang w:val="en-US" w:eastAsia="zh-CN" w:bidi="ar"/>
                    </w:rPr>
                    <w:t>VOCs</w:t>
                  </w:r>
                  <w:r>
                    <w:rPr>
                      <w:rFonts w:hint="eastAsia" w:ascii="宋体" w:hAnsi="宋体" w:eastAsia="宋体" w:cs="宋体"/>
                      <w:color w:val="auto"/>
                      <w:kern w:val="0"/>
                      <w:sz w:val="18"/>
                      <w:szCs w:val="18"/>
                      <w:lang w:val="en-US" w:eastAsia="zh-CN" w:bidi="ar"/>
                    </w:rPr>
                    <w:t>集中高效处理。</w:t>
                  </w:r>
                </w:p>
              </w:tc>
              <w:tc>
                <w:tcPr>
                  <w:tcW w:w="1409" w:type="pct"/>
                  <w:tcBorders>
                    <w:tl2br w:val="nil"/>
                    <w:tr2bl w:val="nil"/>
                  </w:tcBorders>
                  <w:noWrap w:val="0"/>
                  <w:vAlign w:val="center"/>
                </w:tcPr>
                <w:p w14:paraId="4AB87674">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5BE4E39E">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4814EE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0946D88D">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restart"/>
                  <w:tcBorders>
                    <w:tl2br w:val="nil"/>
                    <w:tr2bl w:val="nil"/>
                  </w:tcBorders>
                  <w:noWrap w:val="0"/>
                  <w:vAlign w:val="center"/>
                </w:tcPr>
                <w:p w14:paraId="0A961C26">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lang w:val="en-US" w:eastAsia="zh-CN" w:bidi="ar"/>
                    </w:rPr>
                    <w:t>A2.2</w:t>
                  </w:r>
                  <w:r>
                    <w:rPr>
                      <w:rFonts w:hint="eastAsia" w:ascii="宋体" w:hAnsi="宋体" w:eastAsia="宋体" w:cs="宋体"/>
                      <w:color w:val="auto"/>
                      <w:kern w:val="0"/>
                      <w:sz w:val="18"/>
                      <w:szCs w:val="18"/>
                      <w:lang w:val="en-US" w:eastAsia="zh-CN" w:bidi="ar"/>
                    </w:rPr>
                    <w:t>污染控制措施要求</w:t>
                  </w:r>
                </w:p>
              </w:tc>
              <w:tc>
                <w:tcPr>
                  <w:tcW w:w="2020" w:type="pct"/>
                  <w:tcBorders>
                    <w:tl2br w:val="nil"/>
                    <w:tr2bl w:val="nil"/>
                  </w:tcBorders>
                  <w:noWrap w:val="0"/>
                  <w:vAlign w:val="center"/>
                </w:tcPr>
                <w:p w14:paraId="7573F661">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A2.2-1</w:t>
                  </w:r>
                  <w:r>
                    <w:rPr>
                      <w:rFonts w:hint="eastAsia" w:ascii="宋体" w:hAnsi="宋体" w:eastAsia="宋体" w:cs="宋体"/>
                      <w:color w:val="auto"/>
                      <w:kern w:val="0"/>
                      <w:sz w:val="18"/>
                      <w:szCs w:val="18"/>
                      <w:lang w:val="en-US" w:eastAsia="zh-CN" w:bidi="ar"/>
                    </w:rPr>
                    <w:t>〕推动能源、钢铁、建材、有色、电力、化工等重点领域技术升级，控制工业过程温室气体排放，推动工业领域绿色低碳发展。积极鼓励发展二氧化碳捕集利用与封存等低碳技术。促进大气污染物与温室气体协同控制。实施污染物和温室气体协同控制，实现减污降碳协同效应。强化污水、垃圾等集中处置设施环境管理，协同控制氢氟碳化物、甲烷、氧化亚氮等温室气体。加强节约能源与大气污染防治协同有效衔接，促进大气污染防治协同增效。</w:t>
                  </w:r>
                </w:p>
              </w:tc>
              <w:tc>
                <w:tcPr>
                  <w:tcW w:w="1409" w:type="pct"/>
                  <w:tcBorders>
                    <w:tl2br w:val="nil"/>
                    <w:tr2bl w:val="nil"/>
                  </w:tcBorders>
                  <w:noWrap w:val="0"/>
                  <w:vAlign w:val="center"/>
                </w:tcPr>
                <w:p w14:paraId="51F0FC53">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本项目建成后按照要求进行温室气体控制</w:t>
                  </w:r>
                </w:p>
              </w:tc>
              <w:tc>
                <w:tcPr>
                  <w:tcW w:w="385" w:type="pct"/>
                  <w:tcBorders>
                    <w:tl2br w:val="nil"/>
                    <w:tr2bl w:val="nil"/>
                  </w:tcBorders>
                  <w:noWrap w:val="0"/>
                  <w:vAlign w:val="center"/>
                </w:tcPr>
                <w:p w14:paraId="3DAAA47D">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1FDA19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0AF96A74">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7BB1FA98">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0D2A7778">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A2.2-2</w:t>
                  </w:r>
                  <w:r>
                    <w:rPr>
                      <w:rFonts w:hint="eastAsia" w:ascii="宋体" w:hAnsi="宋体" w:eastAsia="宋体" w:cs="宋体"/>
                      <w:color w:val="auto"/>
                      <w:kern w:val="0"/>
                      <w:sz w:val="18"/>
                      <w:szCs w:val="18"/>
                      <w:lang w:val="en-US" w:eastAsia="zh-CN" w:bidi="ar"/>
                    </w:rPr>
                    <w:t>〕实施重点行业氮氧化物等污染物深度治理。持续推进钢铁、水泥、焦化行业超低排放改造。推进玻璃、陶瓷、铸造、铁合金、有色、煤化和石化等行业采取清洁生产、提标改造、深度治理等综合措施。加强自备燃煤机组污染治理设施运行管控，确保按照超低排放标准运行。针对铸造、铁合金、焦化、水泥、砖瓦、石灰、耐火材料、金属冶炼以及煤化工、石油化工等行业，严格控制物料储存、输送及生产工艺过程无组织排放。重点涉气排放企业逐步取消烟气旁路，因安全生产无法取消的，安装在线监控系统。</w:t>
                  </w:r>
                </w:p>
              </w:tc>
              <w:tc>
                <w:tcPr>
                  <w:tcW w:w="1409" w:type="pct"/>
                  <w:vMerge w:val="restart"/>
                  <w:tcBorders>
                    <w:tl2br w:val="nil"/>
                    <w:tr2bl w:val="nil"/>
                  </w:tcBorders>
                  <w:noWrap w:val="0"/>
                  <w:vAlign w:val="center"/>
                </w:tcPr>
                <w:p w14:paraId="1BCD2E5B">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本项目热处理炉及锅炉配套低氮燃烧技术，采用天然气清洁能源</w:t>
                  </w:r>
                </w:p>
              </w:tc>
              <w:tc>
                <w:tcPr>
                  <w:tcW w:w="385" w:type="pct"/>
                  <w:tcBorders>
                    <w:tl2br w:val="nil"/>
                    <w:tr2bl w:val="nil"/>
                  </w:tcBorders>
                  <w:noWrap w:val="0"/>
                  <w:vAlign w:val="center"/>
                </w:tcPr>
                <w:p w14:paraId="43C4F91D">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2EE30A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2B73B077">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356C3A32">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02A53499">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A2.2-3</w:t>
                  </w:r>
                  <w:r>
                    <w:rPr>
                      <w:rFonts w:hint="eastAsia" w:ascii="宋体" w:hAnsi="宋体" w:eastAsia="宋体" w:cs="宋体"/>
                      <w:color w:val="auto"/>
                      <w:kern w:val="0"/>
                      <w:sz w:val="18"/>
                      <w:szCs w:val="18"/>
                      <w:lang w:val="en-US" w:eastAsia="zh-CN" w:bidi="ar"/>
                    </w:rPr>
                    <w:t>〕强化重点区域大气污染联防联控，合理确定产业布局，推动区域内统一产业准入和排放标准。实施水泥行业错峰生产，推进散煤整治、挥发性有机污染物综合治理、钢铁、水泥、焦化和燃煤工业锅炉行业超低排放改造、燃气锅炉低氮燃烧改造、工业园区内轨道运输（大宗货物</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公转铁</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）、柴油货车治理、锅炉炉窑综合治理等工程项目。全面推行绿色施工，持续推动城市建成区重污染企业搬迁或关闭退出。</w:t>
                  </w:r>
                </w:p>
              </w:tc>
              <w:tc>
                <w:tcPr>
                  <w:tcW w:w="1409" w:type="pct"/>
                  <w:vMerge w:val="continue"/>
                  <w:tcBorders>
                    <w:tl2br w:val="nil"/>
                    <w:tr2bl w:val="nil"/>
                  </w:tcBorders>
                  <w:noWrap w:val="0"/>
                  <w:vAlign w:val="center"/>
                </w:tcPr>
                <w:p w14:paraId="0AC8D2AB">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p>
              </w:tc>
              <w:tc>
                <w:tcPr>
                  <w:tcW w:w="385" w:type="pct"/>
                  <w:tcBorders>
                    <w:tl2br w:val="nil"/>
                    <w:tr2bl w:val="nil"/>
                  </w:tcBorders>
                  <w:noWrap w:val="0"/>
                  <w:vAlign w:val="center"/>
                </w:tcPr>
                <w:p w14:paraId="42C4F5D5">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572FAB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6ED05A06">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4D3AE0FB">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0A81B0FC">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A2.2-4</w:t>
                  </w:r>
                  <w:r>
                    <w:rPr>
                      <w:rFonts w:hint="eastAsia" w:ascii="宋体" w:hAnsi="宋体" w:eastAsia="宋体" w:cs="宋体"/>
                      <w:color w:val="auto"/>
                      <w:kern w:val="0"/>
                      <w:sz w:val="18"/>
                      <w:szCs w:val="18"/>
                      <w:lang w:val="en-US" w:eastAsia="zh-CN" w:bidi="ar"/>
                    </w:rPr>
                    <w:t>〕强化用水定额管理。推进地下水超采综合治理。开展河湖生态流量（水量）确定工作，强化生态用水保障。</w:t>
                  </w:r>
                </w:p>
              </w:tc>
              <w:tc>
                <w:tcPr>
                  <w:tcW w:w="1409" w:type="pct"/>
                  <w:tcBorders>
                    <w:tl2br w:val="nil"/>
                    <w:tr2bl w:val="nil"/>
                  </w:tcBorders>
                  <w:noWrap w:val="0"/>
                  <w:vAlign w:val="center"/>
                </w:tcPr>
                <w:p w14:paraId="166D4CA8">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2ADB519E">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651CF7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109952A3">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2FD33270">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187DA207">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A2.2-5</w:t>
                  </w:r>
                  <w:r>
                    <w:rPr>
                      <w:rFonts w:hint="eastAsia" w:ascii="宋体" w:hAnsi="宋体" w:eastAsia="宋体" w:cs="宋体"/>
                      <w:color w:val="auto"/>
                      <w:kern w:val="0"/>
                      <w:sz w:val="18"/>
                      <w:szCs w:val="18"/>
                      <w:lang w:val="en-US" w:eastAsia="zh-CN" w:bidi="ar"/>
                    </w:rPr>
                    <w:t>〕持续推进伊犁河、额尔齐斯河、额敏河、玛纳斯河、乌伦古湖、博斯腾湖等流域生态治理，加强生态修复。推动重点行业、重点企业绿色发展，严格落实水污染物排放标准。加强农副食品加工、化工、印染、棉浆粕、粘胶纤维等企业综合治理和清洁化改造。</w:t>
                  </w:r>
                </w:p>
              </w:tc>
              <w:tc>
                <w:tcPr>
                  <w:tcW w:w="1409" w:type="pct"/>
                  <w:tcBorders>
                    <w:tl2br w:val="nil"/>
                    <w:tr2bl w:val="nil"/>
                  </w:tcBorders>
                  <w:noWrap w:val="0"/>
                  <w:vAlign w:val="center"/>
                </w:tcPr>
                <w:p w14:paraId="28340AAF">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4DCCD44F">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151338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10DB187D">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05470EE2">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3DAFBD81">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A2.2-6</w:t>
                  </w:r>
                  <w:r>
                    <w:rPr>
                      <w:rFonts w:hint="eastAsia" w:ascii="宋体" w:hAnsi="宋体" w:eastAsia="宋体" w:cs="宋体"/>
                      <w:color w:val="auto"/>
                      <w:kern w:val="0"/>
                      <w:sz w:val="18"/>
                      <w:szCs w:val="18"/>
                      <w:lang w:val="en-US" w:eastAsia="zh-CN" w:bidi="ar"/>
                    </w:rPr>
                    <w:t>〕推进地表水与地下水协同防治。以傍河型地下水饮用水水源为重点，防范受污染河段侧渗和垂直补给对地下水污染。加强化学品生产企业、工业聚集区、矿山开采区等污染源的地表、地下协同防治与环境风险管控。加强工业污染防治。推动重点行业、重点企业绿色发展，严格落实水污染物排放标准和排污许可制度。加强农副食品加工、化工、印染、棉浆粕、粘胶纤维、制糖等企业综合治理和清洁化改造。支持企业积极实施节水技术改造，加强工业园区污水集中处理设施运行管理，加快再生水回用设施建设，提升园区水资源循环利用水平。</w:t>
                  </w:r>
                </w:p>
              </w:tc>
              <w:tc>
                <w:tcPr>
                  <w:tcW w:w="1409" w:type="pct"/>
                  <w:tcBorders>
                    <w:tl2br w:val="nil"/>
                    <w:tr2bl w:val="nil"/>
                  </w:tcBorders>
                  <w:noWrap w:val="0"/>
                  <w:vAlign w:val="center"/>
                </w:tcPr>
                <w:p w14:paraId="0D2112ED">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本项目按照要求设置防渗，对地下水和地表水影响较小</w:t>
                  </w:r>
                </w:p>
              </w:tc>
              <w:tc>
                <w:tcPr>
                  <w:tcW w:w="385" w:type="pct"/>
                  <w:tcBorders>
                    <w:tl2br w:val="nil"/>
                    <w:tr2bl w:val="nil"/>
                  </w:tcBorders>
                  <w:noWrap w:val="0"/>
                  <w:vAlign w:val="center"/>
                </w:tcPr>
                <w:p w14:paraId="729480B7">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640D96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6B6901B5">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6BFC5CCB">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3979AABA">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A2.2-7</w:t>
                  </w:r>
                  <w:r>
                    <w:rPr>
                      <w:rFonts w:hint="eastAsia" w:ascii="宋体" w:hAnsi="宋体" w:eastAsia="宋体" w:cs="宋体"/>
                      <w:color w:val="auto"/>
                      <w:kern w:val="0"/>
                      <w:sz w:val="18"/>
                      <w:szCs w:val="18"/>
                      <w:lang w:val="en-US" w:eastAsia="zh-CN" w:bidi="ar"/>
                    </w:rPr>
                    <w:t>〕强化重点区域地下水环境风险管控，对化学品生产企业、工业集聚区、尾矿库、矿山开采区、危险废物处置场、垃圾填埋场等地下水污染源及周边区域，逐步开展地下水环境状况调查评估，加强风险管控</w:t>
                  </w:r>
                </w:p>
              </w:tc>
              <w:tc>
                <w:tcPr>
                  <w:tcW w:w="1409" w:type="pct"/>
                  <w:tcBorders>
                    <w:tl2br w:val="nil"/>
                    <w:tr2bl w:val="nil"/>
                  </w:tcBorders>
                  <w:noWrap w:val="0"/>
                  <w:vAlign w:val="center"/>
                </w:tcPr>
                <w:p w14:paraId="6A286333">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本项目对地下水影响较小</w:t>
                  </w:r>
                </w:p>
              </w:tc>
              <w:tc>
                <w:tcPr>
                  <w:tcW w:w="385" w:type="pct"/>
                  <w:tcBorders>
                    <w:tl2br w:val="nil"/>
                    <w:tr2bl w:val="nil"/>
                  </w:tcBorders>
                  <w:noWrap w:val="0"/>
                  <w:vAlign w:val="center"/>
                </w:tcPr>
                <w:p w14:paraId="5F123030">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4E1685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698D4C1C">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13080CFF">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48ABC247">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A2.2-8</w:t>
                  </w:r>
                  <w:r>
                    <w:rPr>
                      <w:rFonts w:hint="eastAsia" w:ascii="宋体" w:hAnsi="宋体" w:eastAsia="宋体" w:cs="宋体"/>
                      <w:color w:val="auto"/>
                      <w:kern w:val="0"/>
                      <w:sz w:val="18"/>
                      <w:szCs w:val="18"/>
                      <w:lang w:val="en-US" w:eastAsia="zh-CN" w:bidi="ar"/>
                    </w:rPr>
                    <w:t>〕严控土壤重金属污染，加强油（气）田开发土壤污染防治，以历史遗留工业企业污染场地为重点，开展土壤污染风险管控与修复工程。</w:t>
                  </w:r>
                </w:p>
              </w:tc>
              <w:tc>
                <w:tcPr>
                  <w:tcW w:w="1409" w:type="pct"/>
                  <w:tcBorders>
                    <w:tl2br w:val="nil"/>
                    <w:tr2bl w:val="nil"/>
                  </w:tcBorders>
                  <w:noWrap w:val="0"/>
                  <w:vAlign w:val="center"/>
                </w:tcPr>
                <w:p w14:paraId="5D31A5E5">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本项目不涉及重金属</w:t>
                  </w:r>
                </w:p>
              </w:tc>
              <w:tc>
                <w:tcPr>
                  <w:tcW w:w="385" w:type="pct"/>
                  <w:tcBorders>
                    <w:tl2br w:val="nil"/>
                    <w:tr2bl w:val="nil"/>
                  </w:tcBorders>
                  <w:noWrap w:val="0"/>
                  <w:vAlign w:val="center"/>
                </w:tcPr>
                <w:p w14:paraId="23FCEFB6">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28CAA8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3D2FFD81">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4B4ECD9D">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32D6EAE0">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A2.2-9</w:t>
                  </w:r>
                  <w:r>
                    <w:rPr>
                      <w:rFonts w:hint="eastAsia" w:ascii="宋体" w:hAnsi="宋体" w:eastAsia="宋体" w:cs="宋体"/>
                      <w:color w:val="auto"/>
                      <w:kern w:val="0"/>
                      <w:sz w:val="18"/>
                      <w:szCs w:val="18"/>
                      <w:lang w:val="en-US" w:eastAsia="zh-CN" w:bidi="ar"/>
                    </w:rPr>
                    <w:t>〕加强种植业污染防治。深入推进化肥农药减量增效，全面推广测土配方施肥，引导推动有机肥、绿肥替代化肥，集成推广化肥减量增效技术模式，加强农药包装废弃物管理。实施农膜回收行动，健全农田废旧地膜回收利用体系，提高废旧地膜回收率。推进农作物秸秆综合利用，不断完善秸秆收储运用体系，形成布局合理、多元利用的秸秆综合利用格局。</w:t>
                  </w:r>
                </w:p>
              </w:tc>
              <w:tc>
                <w:tcPr>
                  <w:tcW w:w="1409" w:type="pct"/>
                  <w:tcBorders>
                    <w:tl2br w:val="nil"/>
                    <w:tr2bl w:val="nil"/>
                  </w:tcBorders>
                  <w:noWrap w:val="0"/>
                  <w:vAlign w:val="center"/>
                </w:tcPr>
                <w:p w14:paraId="4FF20773">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41A0096E">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65E87A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restart"/>
                  <w:tcBorders>
                    <w:tl2br w:val="nil"/>
                    <w:tr2bl w:val="nil"/>
                  </w:tcBorders>
                  <w:noWrap w:val="0"/>
                  <w:vAlign w:val="center"/>
                </w:tcPr>
                <w:p w14:paraId="19535A27">
                  <w:pPr>
                    <w:keepNext w:val="0"/>
                    <w:keepLines w:val="0"/>
                    <w:widowControl/>
                    <w:suppressLineNumbers w:val="0"/>
                    <w:jc w:val="left"/>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0"/>
                      <w:sz w:val="18"/>
                      <w:szCs w:val="18"/>
                      <w:lang w:val="en-US" w:eastAsia="zh-CN" w:bidi="ar"/>
                    </w:rPr>
                    <w:t>A3</w:t>
                  </w:r>
                  <w:r>
                    <w:rPr>
                      <w:rFonts w:hint="eastAsia" w:ascii="宋体" w:hAnsi="宋体" w:eastAsia="宋体" w:cs="宋体"/>
                      <w:color w:val="auto"/>
                      <w:kern w:val="0"/>
                      <w:sz w:val="18"/>
                      <w:szCs w:val="18"/>
                      <w:lang w:val="en-US" w:eastAsia="zh-CN" w:bidi="ar"/>
                    </w:rPr>
                    <w:t>环境风险防控</w:t>
                  </w:r>
                </w:p>
              </w:tc>
              <w:tc>
                <w:tcPr>
                  <w:tcW w:w="571" w:type="pct"/>
                  <w:vMerge w:val="restart"/>
                  <w:tcBorders>
                    <w:tl2br w:val="nil"/>
                    <w:tr2bl w:val="nil"/>
                  </w:tcBorders>
                  <w:noWrap w:val="0"/>
                  <w:vAlign w:val="center"/>
                </w:tcPr>
                <w:p w14:paraId="1BB50CD3">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lang w:val="en-US" w:eastAsia="zh-CN" w:bidi="ar"/>
                    </w:rPr>
                    <w:t>A3.1</w:t>
                  </w:r>
                  <w:r>
                    <w:rPr>
                      <w:rFonts w:hint="eastAsia" w:ascii="宋体" w:hAnsi="宋体" w:eastAsia="宋体" w:cs="宋体"/>
                      <w:color w:val="auto"/>
                      <w:kern w:val="0"/>
                      <w:sz w:val="18"/>
                      <w:szCs w:val="18"/>
                      <w:lang w:val="en-US" w:eastAsia="zh-CN" w:bidi="ar"/>
                    </w:rPr>
                    <w:t>人居环境要求</w:t>
                  </w:r>
                </w:p>
              </w:tc>
              <w:tc>
                <w:tcPr>
                  <w:tcW w:w="2020" w:type="pct"/>
                  <w:tcBorders>
                    <w:tl2br w:val="nil"/>
                    <w:tr2bl w:val="nil"/>
                  </w:tcBorders>
                  <w:noWrap w:val="0"/>
                  <w:vAlign w:val="center"/>
                </w:tcPr>
                <w:p w14:paraId="17FBE273">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A3.1-1</w:t>
                  </w:r>
                  <w:r>
                    <w:rPr>
                      <w:rFonts w:hint="eastAsia" w:ascii="宋体" w:hAnsi="宋体" w:eastAsia="宋体" w:cs="宋体"/>
                      <w:color w:val="auto"/>
                      <w:kern w:val="0"/>
                      <w:sz w:val="18"/>
                      <w:szCs w:val="18"/>
                      <w:lang w:val="en-US" w:eastAsia="zh-CN" w:bidi="ar"/>
                    </w:rPr>
                    <w:t>〕建立和完善重污染天气兵地联合应急预案、预报预警应急机制和会商联动机制。</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乌一昌一石</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区域内可能影响相邻行政区域大气环境的项目，兵地间、城市间必须相互征求意见。</w:t>
                  </w:r>
                </w:p>
              </w:tc>
              <w:tc>
                <w:tcPr>
                  <w:tcW w:w="1409" w:type="pct"/>
                  <w:tcBorders>
                    <w:tl2br w:val="nil"/>
                    <w:tr2bl w:val="nil"/>
                  </w:tcBorders>
                  <w:noWrap w:val="0"/>
                  <w:vAlign w:val="center"/>
                </w:tcPr>
                <w:p w14:paraId="0095B927">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本项目建成后建立重污染天气应急预案</w:t>
                  </w:r>
                </w:p>
              </w:tc>
              <w:tc>
                <w:tcPr>
                  <w:tcW w:w="385" w:type="pct"/>
                  <w:tcBorders>
                    <w:tl2br w:val="nil"/>
                    <w:tr2bl w:val="nil"/>
                  </w:tcBorders>
                  <w:noWrap w:val="0"/>
                  <w:vAlign w:val="center"/>
                </w:tcPr>
                <w:p w14:paraId="56BA267C">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60FD7D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4DD64C6F">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4D34146F">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66D0A4D2">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A3.1-2</w:t>
                  </w:r>
                  <w:r>
                    <w:rPr>
                      <w:rFonts w:hint="eastAsia" w:ascii="宋体" w:hAnsi="宋体" w:eastAsia="宋体" w:cs="宋体"/>
                      <w:color w:val="auto"/>
                      <w:kern w:val="0"/>
                      <w:sz w:val="18"/>
                      <w:szCs w:val="18"/>
                      <w:lang w:val="en-US" w:eastAsia="zh-CN" w:bidi="ar"/>
                    </w:rPr>
                    <w:t>〕对跨国境河流、涉及县级及以上集中式饮用水水源地的河流、其他重要环境敏感目标的河流，建立健全流域上下游突发水污染事件联防联动机制，建立流域环境应急基础信息动态更新长效机制，绘制全流域</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一河一策一图</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。建立健全跨部门、跨区域的环境应急协调联动处置机制，强化流域上下游、兵地各部门协调，实施联合监测、联合执法、应急联动、信息共享，形成</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政府引导、多元联动、社会参与、专业救援</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的环境应急处置机制，持续开展应急综合演练，实现从被动应对到主动防控的重大转变。加强流域突发水环境事件应急能力建设，提升应急响应水平，加强监测预警、拦污控污、信息通报、协同处置、基础保障等工作，防范重大生态环境风险，坚决守住生态环境安全底线。</w:t>
                  </w:r>
                </w:p>
              </w:tc>
              <w:tc>
                <w:tcPr>
                  <w:tcW w:w="1409" w:type="pct"/>
                  <w:tcBorders>
                    <w:tl2br w:val="nil"/>
                    <w:tr2bl w:val="nil"/>
                  </w:tcBorders>
                  <w:noWrap w:val="0"/>
                  <w:vAlign w:val="center"/>
                </w:tcPr>
                <w:p w14:paraId="01055ADD">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05C60055">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47AD85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4070DBA1">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1C7C948B">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2F512619">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A3.1-3</w:t>
                  </w:r>
                  <w:r>
                    <w:rPr>
                      <w:rFonts w:hint="eastAsia" w:ascii="宋体" w:hAnsi="宋体" w:eastAsia="宋体" w:cs="宋体"/>
                      <w:color w:val="auto"/>
                      <w:kern w:val="0"/>
                      <w:sz w:val="18"/>
                      <w:szCs w:val="18"/>
                      <w:lang w:val="en-US" w:eastAsia="zh-CN" w:bidi="ar"/>
                    </w:rPr>
                    <w:t>〕强化重污染天气监测预报预警能力，建立和完善重污染天气兵地联合应急预案、预警应急机制和会商联动机制，加强轻、中度污染天气管控。</w:t>
                  </w:r>
                </w:p>
              </w:tc>
              <w:tc>
                <w:tcPr>
                  <w:tcW w:w="1409" w:type="pct"/>
                  <w:tcBorders>
                    <w:tl2br w:val="nil"/>
                    <w:tr2bl w:val="nil"/>
                  </w:tcBorders>
                  <w:noWrap w:val="0"/>
                  <w:vAlign w:val="center"/>
                </w:tcPr>
                <w:p w14:paraId="443E1CD0">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06C64A99">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531D2A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47972609">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restart"/>
                  <w:tcBorders>
                    <w:tl2br w:val="nil"/>
                    <w:tr2bl w:val="nil"/>
                  </w:tcBorders>
                  <w:noWrap w:val="0"/>
                  <w:vAlign w:val="center"/>
                </w:tcPr>
                <w:p w14:paraId="7432EF4D">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lang w:val="en-US" w:eastAsia="zh-CN" w:bidi="ar"/>
                    </w:rPr>
                    <w:t>A3.2</w:t>
                  </w:r>
                  <w:r>
                    <w:rPr>
                      <w:rFonts w:hint="eastAsia" w:ascii="宋体" w:hAnsi="宋体" w:eastAsia="宋体" w:cs="宋体"/>
                      <w:color w:val="auto"/>
                      <w:kern w:val="0"/>
                      <w:sz w:val="18"/>
                      <w:szCs w:val="18"/>
                      <w:lang w:val="en-US" w:eastAsia="zh-CN" w:bidi="ar"/>
                    </w:rPr>
                    <w:t>联防联控要求</w:t>
                  </w:r>
                </w:p>
              </w:tc>
              <w:tc>
                <w:tcPr>
                  <w:tcW w:w="2020" w:type="pct"/>
                  <w:tcBorders>
                    <w:tl2br w:val="nil"/>
                    <w:tr2bl w:val="nil"/>
                  </w:tcBorders>
                  <w:noWrap w:val="0"/>
                  <w:vAlign w:val="center"/>
                </w:tcPr>
                <w:p w14:paraId="7D2D9A16">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A3.2-1</w:t>
                  </w:r>
                  <w:r>
                    <w:rPr>
                      <w:rFonts w:hint="eastAsia" w:ascii="宋体" w:hAnsi="宋体" w:eastAsia="宋体" w:cs="宋体"/>
                      <w:color w:val="auto"/>
                      <w:kern w:val="0"/>
                      <w:sz w:val="18"/>
                      <w:szCs w:val="18"/>
                      <w:lang w:val="en-US" w:eastAsia="zh-CN" w:bidi="ar"/>
                    </w:rPr>
                    <w:t>〕提升饮用水安全保障水平。以县级及以上集中式饮用水水源地为重点，推进饮用水水源保护区规范化建设，统筹推进备用水源或应急水源建设。单一水源供水的重点城市于</w:t>
                  </w:r>
                  <w:r>
                    <w:rPr>
                      <w:rFonts w:hint="default" w:ascii="Times New Roman" w:hAnsi="Times New Roman" w:eastAsia="宋体" w:cs="Times New Roman"/>
                      <w:color w:val="auto"/>
                      <w:kern w:val="0"/>
                      <w:sz w:val="18"/>
                      <w:szCs w:val="18"/>
                      <w:lang w:val="en-US" w:eastAsia="zh-CN" w:bidi="ar"/>
                    </w:rPr>
                    <w:t>2025</w:t>
                  </w:r>
                  <w:r>
                    <w:rPr>
                      <w:rFonts w:hint="eastAsia" w:ascii="宋体" w:hAnsi="宋体" w:eastAsia="宋体" w:cs="宋体"/>
                      <w:color w:val="auto"/>
                      <w:kern w:val="0"/>
                      <w:sz w:val="18"/>
                      <w:szCs w:val="18"/>
                      <w:lang w:val="en-US" w:eastAsia="zh-CN" w:bidi="ar"/>
                    </w:rPr>
                    <w:t>年底前基本完成备用水源或应急水源建设，有条件的地区开展兵地互为备用水源建设。梯次推进农村集中式饮用水水源保护区划定，到</w:t>
                  </w:r>
                  <w:r>
                    <w:rPr>
                      <w:rFonts w:hint="default" w:ascii="Times New Roman" w:hAnsi="Times New Roman" w:eastAsia="宋体" w:cs="Times New Roman"/>
                      <w:color w:val="auto"/>
                      <w:kern w:val="0"/>
                      <w:sz w:val="18"/>
                      <w:szCs w:val="18"/>
                      <w:lang w:val="en-US" w:eastAsia="zh-CN" w:bidi="ar"/>
                    </w:rPr>
                    <w:t>2025</w:t>
                  </w:r>
                  <w:r>
                    <w:rPr>
                      <w:rFonts w:hint="eastAsia" w:ascii="宋体" w:hAnsi="宋体" w:eastAsia="宋体" w:cs="宋体"/>
                      <w:color w:val="auto"/>
                      <w:kern w:val="0"/>
                      <w:sz w:val="18"/>
                      <w:szCs w:val="18"/>
                      <w:lang w:val="en-US" w:eastAsia="zh-CN" w:bidi="ar"/>
                    </w:rPr>
                    <w:t>年，完成乡镇级集中式饮用水水源保护区划定与勘界立标。开展</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千吨万人</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农村饮用水水源保护区环境风险排查整治，加强农村水源水质监测，依法清理饮用水水源保护区内违法建筑和排污口，实施从水源到水龙头全过程监管。强化饮用水水源保护区环境应急管理，完善重大突发环境事件的物资和技术储备。针对汇水区、补给区存在兵地跨界的，建立统一的饮用水水源应急和执法机制，共享应急物资。</w:t>
                  </w:r>
                </w:p>
              </w:tc>
              <w:tc>
                <w:tcPr>
                  <w:tcW w:w="1409" w:type="pct"/>
                  <w:tcBorders>
                    <w:tl2br w:val="nil"/>
                    <w:tr2bl w:val="nil"/>
                  </w:tcBorders>
                  <w:noWrap w:val="0"/>
                  <w:vAlign w:val="center"/>
                </w:tcPr>
                <w:p w14:paraId="0AFF15A0">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3A55CAF1">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219A4B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348A9343">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32923680">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0F084AA5">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A3.2-2</w:t>
                  </w:r>
                  <w:r>
                    <w:rPr>
                      <w:rFonts w:hint="eastAsia" w:ascii="宋体" w:hAnsi="宋体" w:eastAsia="宋体" w:cs="宋体"/>
                      <w:color w:val="auto"/>
                      <w:kern w:val="0"/>
                      <w:sz w:val="18"/>
                      <w:szCs w:val="18"/>
                      <w:lang w:val="en-US" w:eastAsia="zh-CN" w:bidi="ar"/>
                    </w:rPr>
                    <w:t>〕依法推行农用地分类管理制度，强化受污染耕地安全利用和风险管控。因地制宜制定实施安全利用方案，鼓励采取种植结构调整等措施，确保受污染耕地全部实现安全利用。</w:t>
                  </w:r>
                </w:p>
              </w:tc>
              <w:tc>
                <w:tcPr>
                  <w:tcW w:w="1409" w:type="pct"/>
                  <w:tcBorders>
                    <w:tl2br w:val="nil"/>
                    <w:tr2bl w:val="nil"/>
                  </w:tcBorders>
                  <w:noWrap w:val="0"/>
                  <w:vAlign w:val="center"/>
                </w:tcPr>
                <w:p w14:paraId="73E99A8D">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7D209407">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4FC554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14D1DFF4">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5EDD0FE1">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66BCD2A7">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A3.2-3</w:t>
                  </w:r>
                  <w:r>
                    <w:rPr>
                      <w:rFonts w:hint="eastAsia" w:ascii="宋体" w:hAnsi="宋体" w:eastAsia="宋体" w:cs="宋体"/>
                      <w:color w:val="auto"/>
                      <w:kern w:val="0"/>
                      <w:sz w:val="18"/>
                      <w:szCs w:val="18"/>
                      <w:lang w:val="en-US" w:eastAsia="zh-CN" w:bidi="ar"/>
                    </w:rPr>
                    <w:t>〕加强新污染物多环境介质协同治理。排放重点管控新污染物的企事业单位应采取污染控制措施，达到相关污染物排放标准及环境质量目标要求；按照排污许可管理有关要求，依法申领排污许可证或填写排污登记表，并在其中载明执行的污染控制标准要求及采取的污染控制措施。排放重点管控新污染物的企事业单位和其他生产经营者应按照相关法律法规要求，对排放（污）口及其周边环境定期开展环境监测，评估环境风险，排查整治环境安全隐患，依法公开新污染物信息，采取措施防范环境风险。土壤污染重点监管单位应严格控制有毒有害物质排放，建立土壤污染隐患排查制度，防止有毒有害物质渗漏、流失、扬散。</w:t>
                  </w:r>
                </w:p>
              </w:tc>
              <w:tc>
                <w:tcPr>
                  <w:tcW w:w="1409" w:type="pct"/>
                  <w:tcBorders>
                    <w:tl2br w:val="nil"/>
                    <w:tr2bl w:val="nil"/>
                  </w:tcBorders>
                  <w:noWrap w:val="0"/>
                  <w:vAlign w:val="center"/>
                </w:tcPr>
                <w:p w14:paraId="2A031161">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1EE59347">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1A6DAA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663F5001">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427DE927">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450F8361">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A3.2-4</w:t>
                  </w:r>
                  <w:r>
                    <w:rPr>
                      <w:rFonts w:hint="eastAsia" w:ascii="宋体" w:hAnsi="宋体" w:eastAsia="宋体" w:cs="宋体"/>
                      <w:color w:val="auto"/>
                      <w:kern w:val="0"/>
                      <w:sz w:val="18"/>
                      <w:szCs w:val="18"/>
                      <w:lang w:val="en-US" w:eastAsia="zh-CN" w:bidi="ar"/>
                    </w:rPr>
                    <w:t>〕加强环境风险预警防控。加强涉危险废物企业、涉重金属企业、化工园区、集中式饮用水水源地及重点流域环境风险调查评估，实施分类分级风险管控，协同推进重点区域、流域生态环境污染综合防治、风险防控与生态修复。</w:t>
                  </w:r>
                </w:p>
              </w:tc>
              <w:tc>
                <w:tcPr>
                  <w:tcW w:w="1409" w:type="pct"/>
                  <w:tcBorders>
                    <w:tl2br w:val="nil"/>
                    <w:tr2bl w:val="nil"/>
                  </w:tcBorders>
                  <w:noWrap w:val="0"/>
                  <w:vAlign w:val="center"/>
                </w:tcPr>
                <w:p w14:paraId="19A23422">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本项目建成后风险可控</w:t>
                  </w:r>
                </w:p>
              </w:tc>
              <w:tc>
                <w:tcPr>
                  <w:tcW w:w="385" w:type="pct"/>
                  <w:tcBorders>
                    <w:tl2br w:val="nil"/>
                    <w:tr2bl w:val="nil"/>
                  </w:tcBorders>
                  <w:noWrap w:val="0"/>
                  <w:vAlign w:val="center"/>
                </w:tcPr>
                <w:p w14:paraId="3C79CFB8">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469489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3CFF154F">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25A2C152">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16617966">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A3.2-5</w:t>
                  </w:r>
                  <w:r>
                    <w:rPr>
                      <w:rFonts w:hint="eastAsia" w:ascii="宋体" w:hAnsi="宋体" w:eastAsia="宋体" w:cs="宋体"/>
                      <w:color w:val="auto"/>
                      <w:kern w:val="0"/>
                      <w:sz w:val="18"/>
                      <w:szCs w:val="18"/>
                      <w:lang w:val="en-US" w:eastAsia="zh-CN" w:bidi="ar"/>
                    </w:rPr>
                    <w:t>〕强化生态环境应急管理。实施企业突发生态环境应急预案电子化备案，完成县级以上政府突发环境事件应急预案修编。完善区域和企业应急处置物资储备系统，结合新疆各地特征污染物的特性，加强应急物资储备及应急物资信息化建设，掌握社会应急物资储备动态信息，妥善应对各类突发生态环境事件。加强应急监测装备配置，定期开展应急演练，增强实战能力。</w:t>
                  </w:r>
                </w:p>
              </w:tc>
              <w:tc>
                <w:tcPr>
                  <w:tcW w:w="1409" w:type="pct"/>
                  <w:tcBorders>
                    <w:tl2br w:val="nil"/>
                    <w:tr2bl w:val="nil"/>
                  </w:tcBorders>
                  <w:noWrap w:val="0"/>
                  <w:vAlign w:val="center"/>
                </w:tcPr>
                <w:p w14:paraId="736000A7">
                  <w:pPr>
                    <w:keepNext w:val="0"/>
                    <w:keepLines w:val="0"/>
                    <w:pageBreakBefore w:val="0"/>
                    <w:widowControl w:val="0"/>
                    <w:kinsoku/>
                    <w:wordWrap/>
                    <w:overflowPunct/>
                    <w:topLinePunct w:val="0"/>
                    <w:autoSpaceDE/>
                    <w:autoSpaceDN/>
                    <w:bidi w:val="0"/>
                    <w:adjustRightInd w:val="0"/>
                    <w:snapToGrid w:val="0"/>
                    <w:spacing w:line="240" w:lineRule="auto"/>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本项目建成后按照要求编制</w:t>
                  </w:r>
                  <w:r>
                    <w:rPr>
                      <w:rFonts w:hint="eastAsia" w:ascii="宋体" w:hAnsi="宋体" w:eastAsia="宋体" w:cs="宋体"/>
                      <w:color w:val="auto"/>
                      <w:kern w:val="0"/>
                      <w:sz w:val="18"/>
                      <w:szCs w:val="18"/>
                      <w:lang w:val="en-US" w:eastAsia="zh-CN" w:bidi="ar"/>
                    </w:rPr>
                    <w:t>突发环境事件应急预案</w:t>
                  </w:r>
                  <w:r>
                    <w:rPr>
                      <w:rFonts w:hint="eastAsia" w:ascii="宋体" w:hAnsi="宋体" w:cs="宋体"/>
                      <w:color w:val="auto"/>
                      <w:kern w:val="0"/>
                      <w:sz w:val="18"/>
                      <w:szCs w:val="18"/>
                      <w:lang w:val="en-US" w:eastAsia="zh-CN" w:bidi="ar"/>
                    </w:rPr>
                    <w:t>；按照要求储备应急物资，</w:t>
                  </w:r>
                  <w:r>
                    <w:rPr>
                      <w:rFonts w:hint="eastAsia" w:ascii="宋体" w:hAnsi="宋体" w:eastAsia="宋体" w:cs="宋体"/>
                      <w:color w:val="auto"/>
                      <w:kern w:val="0"/>
                      <w:sz w:val="18"/>
                      <w:szCs w:val="18"/>
                      <w:lang w:val="en-US" w:eastAsia="zh-CN" w:bidi="ar"/>
                    </w:rPr>
                    <w:t>定期开展应急演练</w:t>
                  </w:r>
                </w:p>
              </w:tc>
              <w:tc>
                <w:tcPr>
                  <w:tcW w:w="385" w:type="pct"/>
                  <w:tcBorders>
                    <w:tl2br w:val="nil"/>
                    <w:tr2bl w:val="nil"/>
                  </w:tcBorders>
                  <w:noWrap w:val="0"/>
                  <w:vAlign w:val="center"/>
                </w:tcPr>
                <w:p w14:paraId="24A35057">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0EFD79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41DCAC8A">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08F34F0A">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283E83D0">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A3.2-6</w:t>
                  </w:r>
                  <w:r>
                    <w:rPr>
                      <w:rFonts w:hint="eastAsia" w:ascii="宋体" w:hAnsi="宋体" w:eastAsia="宋体" w:cs="宋体"/>
                      <w:color w:val="auto"/>
                      <w:kern w:val="0"/>
                      <w:sz w:val="18"/>
                      <w:szCs w:val="18"/>
                      <w:lang w:val="en-US" w:eastAsia="zh-CN" w:bidi="ar"/>
                    </w:rPr>
                    <w:t>〕强化兵地联防联控联治，落实兵地统一规划、统一政策、统一标准、统一要求、统一推进的防治管理措施，完善重大项目环境影响评价区域会商、重污染天气兵地联合应急联动机制。建立兵地生态环境联合执法和联合监测长效机制。</w:t>
                  </w:r>
                </w:p>
              </w:tc>
              <w:tc>
                <w:tcPr>
                  <w:tcW w:w="1409" w:type="pct"/>
                  <w:tcBorders>
                    <w:tl2br w:val="nil"/>
                    <w:tr2bl w:val="nil"/>
                  </w:tcBorders>
                  <w:noWrap w:val="0"/>
                  <w:vAlign w:val="center"/>
                </w:tcPr>
                <w:p w14:paraId="6D315FB9">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3B8BA631">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794C08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restart"/>
                  <w:tcBorders>
                    <w:tl2br w:val="nil"/>
                    <w:tr2bl w:val="nil"/>
                  </w:tcBorders>
                  <w:noWrap w:val="0"/>
                  <w:vAlign w:val="center"/>
                </w:tcPr>
                <w:p w14:paraId="39CE1003">
                  <w:pPr>
                    <w:keepNext w:val="0"/>
                    <w:keepLines w:val="0"/>
                    <w:widowControl/>
                    <w:suppressLineNumbers w:val="0"/>
                    <w:jc w:val="left"/>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0"/>
                      <w:sz w:val="18"/>
                      <w:szCs w:val="18"/>
                      <w:lang w:val="en-US" w:eastAsia="zh-CN" w:bidi="ar"/>
                    </w:rPr>
                    <w:t>A4</w:t>
                  </w:r>
                  <w:r>
                    <w:rPr>
                      <w:rFonts w:hint="eastAsia" w:ascii="宋体" w:hAnsi="宋体" w:eastAsia="宋体" w:cs="宋体"/>
                      <w:color w:val="auto"/>
                      <w:kern w:val="0"/>
                      <w:sz w:val="18"/>
                      <w:szCs w:val="18"/>
                      <w:lang w:val="en-US" w:eastAsia="zh-CN" w:bidi="ar"/>
                    </w:rPr>
                    <w:t>资源利用要求</w:t>
                  </w:r>
                </w:p>
              </w:tc>
              <w:tc>
                <w:tcPr>
                  <w:tcW w:w="571" w:type="pct"/>
                  <w:vMerge w:val="restart"/>
                  <w:tcBorders>
                    <w:tl2br w:val="nil"/>
                    <w:tr2bl w:val="nil"/>
                  </w:tcBorders>
                  <w:noWrap w:val="0"/>
                  <w:vAlign w:val="center"/>
                </w:tcPr>
                <w:p w14:paraId="1532FFE6">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lang w:val="en-US" w:eastAsia="zh-CN" w:bidi="ar"/>
                    </w:rPr>
                    <w:t>A4.1</w:t>
                  </w:r>
                  <w:r>
                    <w:rPr>
                      <w:rFonts w:hint="eastAsia" w:ascii="宋体" w:hAnsi="宋体" w:eastAsia="宋体" w:cs="宋体"/>
                      <w:color w:val="auto"/>
                      <w:kern w:val="0"/>
                      <w:sz w:val="18"/>
                      <w:szCs w:val="18"/>
                      <w:lang w:val="en-US" w:eastAsia="zh-CN" w:bidi="ar"/>
                    </w:rPr>
                    <w:t>水资源</w:t>
                  </w:r>
                </w:p>
              </w:tc>
              <w:tc>
                <w:tcPr>
                  <w:tcW w:w="2020" w:type="pct"/>
                  <w:tcBorders>
                    <w:tl2br w:val="nil"/>
                    <w:tr2bl w:val="nil"/>
                  </w:tcBorders>
                  <w:noWrap w:val="0"/>
                  <w:vAlign w:val="center"/>
                </w:tcPr>
                <w:p w14:paraId="278B7BFD">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A4.1-1</w:t>
                  </w:r>
                  <w:r>
                    <w:rPr>
                      <w:rFonts w:hint="eastAsia" w:ascii="宋体" w:hAnsi="宋体" w:eastAsia="宋体" w:cs="宋体"/>
                      <w:color w:val="auto"/>
                      <w:kern w:val="0"/>
                      <w:sz w:val="18"/>
                      <w:szCs w:val="18"/>
                      <w:lang w:val="en-US" w:eastAsia="zh-CN" w:bidi="ar"/>
                    </w:rPr>
                    <w:t>〕自治区用水总量</w:t>
                  </w:r>
                  <w:r>
                    <w:rPr>
                      <w:rFonts w:hint="default" w:ascii="Times New Roman" w:hAnsi="Times New Roman" w:eastAsia="宋体" w:cs="Times New Roman"/>
                      <w:color w:val="auto"/>
                      <w:kern w:val="0"/>
                      <w:sz w:val="18"/>
                      <w:szCs w:val="18"/>
                      <w:lang w:val="en-US" w:eastAsia="zh-CN" w:bidi="ar"/>
                    </w:rPr>
                    <w:t>2025</w:t>
                  </w:r>
                  <w:r>
                    <w:rPr>
                      <w:rFonts w:hint="eastAsia" w:ascii="宋体" w:hAnsi="宋体" w:eastAsia="宋体" w:cs="宋体"/>
                      <w:color w:val="auto"/>
                      <w:kern w:val="0"/>
                      <w:sz w:val="18"/>
                      <w:szCs w:val="18"/>
                      <w:lang w:val="en-US" w:eastAsia="zh-CN" w:bidi="ar"/>
                    </w:rPr>
                    <w:t>年、</w:t>
                  </w:r>
                  <w:r>
                    <w:rPr>
                      <w:rFonts w:hint="default" w:ascii="Times New Roman" w:hAnsi="Times New Roman" w:eastAsia="宋体" w:cs="Times New Roman"/>
                      <w:color w:val="auto"/>
                      <w:kern w:val="0"/>
                      <w:sz w:val="18"/>
                      <w:szCs w:val="18"/>
                      <w:lang w:val="en-US" w:eastAsia="zh-CN" w:bidi="ar"/>
                    </w:rPr>
                    <w:t>2030</w:t>
                  </w:r>
                  <w:r>
                    <w:rPr>
                      <w:rFonts w:hint="eastAsia" w:ascii="宋体" w:hAnsi="宋体" w:eastAsia="宋体" w:cs="宋体"/>
                      <w:color w:val="auto"/>
                      <w:kern w:val="0"/>
                      <w:sz w:val="18"/>
                      <w:szCs w:val="18"/>
                      <w:lang w:val="en-US" w:eastAsia="zh-CN" w:bidi="ar"/>
                    </w:rPr>
                    <w:t>年控制在国家下达的标内。</w:t>
                  </w:r>
                </w:p>
              </w:tc>
              <w:tc>
                <w:tcPr>
                  <w:tcW w:w="1409" w:type="pct"/>
                  <w:tcBorders>
                    <w:tl2br w:val="nil"/>
                    <w:tr2bl w:val="nil"/>
                  </w:tcBorders>
                  <w:noWrap w:val="0"/>
                  <w:vAlign w:val="center"/>
                </w:tcPr>
                <w:p w14:paraId="5AEF41BD">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02746970">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31122B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54034A49">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35EB1A03">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05CBAC70">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A4.1-2</w:t>
                  </w:r>
                  <w:r>
                    <w:rPr>
                      <w:rFonts w:hint="eastAsia" w:ascii="宋体" w:hAnsi="宋体" w:eastAsia="宋体" w:cs="宋体"/>
                      <w:color w:val="auto"/>
                      <w:kern w:val="0"/>
                      <w:sz w:val="18"/>
                      <w:szCs w:val="18"/>
                      <w:lang w:val="en-US" w:eastAsia="zh-CN" w:bidi="ar"/>
                    </w:rPr>
                    <w:t>〕加大城镇污水再生利用工程建设力度，推进区域再生水循环利用，到</w:t>
                  </w:r>
                  <w:r>
                    <w:rPr>
                      <w:rFonts w:hint="default" w:ascii="Times New Roman" w:hAnsi="Times New Roman" w:eastAsia="宋体" w:cs="Times New Roman"/>
                      <w:color w:val="auto"/>
                      <w:kern w:val="0"/>
                      <w:sz w:val="18"/>
                      <w:szCs w:val="18"/>
                      <w:lang w:val="en-US" w:eastAsia="zh-CN" w:bidi="ar"/>
                    </w:rPr>
                    <w:t>2025</w:t>
                  </w:r>
                  <w:r>
                    <w:rPr>
                      <w:rFonts w:hint="eastAsia" w:ascii="宋体" w:hAnsi="宋体" w:eastAsia="宋体" w:cs="宋体"/>
                      <w:color w:val="auto"/>
                      <w:kern w:val="0"/>
                      <w:sz w:val="18"/>
                      <w:szCs w:val="18"/>
                      <w:lang w:val="en-US" w:eastAsia="zh-CN" w:bidi="ar"/>
                    </w:rPr>
                    <w:t>年，城市生活污水再生利用率力争达到</w:t>
                  </w:r>
                  <w:r>
                    <w:rPr>
                      <w:rFonts w:hint="default" w:ascii="Times New Roman" w:hAnsi="Times New Roman" w:eastAsia="宋体" w:cs="Times New Roman"/>
                      <w:color w:val="auto"/>
                      <w:kern w:val="0"/>
                      <w:sz w:val="18"/>
                      <w:szCs w:val="18"/>
                      <w:lang w:val="en-US" w:eastAsia="zh-CN" w:bidi="ar"/>
                    </w:rPr>
                    <w:t>60%</w:t>
                  </w:r>
                  <w:r>
                    <w:rPr>
                      <w:rFonts w:hint="eastAsia" w:ascii="宋体" w:hAnsi="宋体" w:eastAsia="宋体" w:cs="宋体"/>
                      <w:color w:val="auto"/>
                      <w:kern w:val="0"/>
                      <w:sz w:val="18"/>
                      <w:szCs w:val="18"/>
                      <w:lang w:val="en-US" w:eastAsia="zh-CN" w:bidi="ar"/>
                    </w:rPr>
                    <w:t>。</w:t>
                  </w:r>
                </w:p>
              </w:tc>
              <w:tc>
                <w:tcPr>
                  <w:tcW w:w="1409" w:type="pct"/>
                  <w:tcBorders>
                    <w:tl2br w:val="nil"/>
                    <w:tr2bl w:val="nil"/>
                  </w:tcBorders>
                  <w:noWrap w:val="0"/>
                  <w:vAlign w:val="center"/>
                </w:tcPr>
                <w:p w14:paraId="2D3676A8">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74F84149">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42B401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6F11CE70">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4DC7A1C9">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484969DC">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A4.1-3</w:t>
                  </w:r>
                  <w:r>
                    <w:rPr>
                      <w:rFonts w:hint="eastAsia" w:ascii="宋体" w:hAnsi="宋体" w:eastAsia="宋体" w:cs="宋体"/>
                      <w:color w:val="auto"/>
                      <w:kern w:val="0"/>
                      <w:sz w:val="18"/>
                      <w:szCs w:val="18"/>
                      <w:lang w:val="en-US" w:eastAsia="zh-CN" w:bidi="ar"/>
                    </w:rPr>
                    <w:t>〕加强农村水利基础设施建设，推进农村供水保障工程，农村自来水普及率、集中供水率分别达到</w:t>
                  </w:r>
                  <w:r>
                    <w:rPr>
                      <w:rFonts w:hint="default" w:ascii="Times New Roman" w:hAnsi="Times New Roman" w:eastAsia="宋体" w:cs="Times New Roman"/>
                      <w:color w:val="auto"/>
                      <w:kern w:val="0"/>
                      <w:sz w:val="18"/>
                      <w:szCs w:val="18"/>
                      <w:lang w:val="en-US" w:eastAsia="zh-CN" w:bidi="ar"/>
                    </w:rPr>
                    <w:t>99.3%</w:t>
                  </w: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99.7%</w:t>
                  </w:r>
                  <w:r>
                    <w:rPr>
                      <w:rFonts w:hint="eastAsia" w:ascii="宋体" w:hAnsi="宋体" w:eastAsia="宋体" w:cs="宋体"/>
                      <w:color w:val="auto"/>
                      <w:kern w:val="0"/>
                      <w:sz w:val="18"/>
                      <w:szCs w:val="18"/>
                      <w:lang w:val="en-US" w:eastAsia="zh-CN" w:bidi="ar"/>
                    </w:rPr>
                    <w:t>。</w:t>
                  </w:r>
                </w:p>
              </w:tc>
              <w:tc>
                <w:tcPr>
                  <w:tcW w:w="1409" w:type="pct"/>
                  <w:tcBorders>
                    <w:tl2br w:val="nil"/>
                    <w:tr2bl w:val="nil"/>
                  </w:tcBorders>
                  <w:noWrap w:val="0"/>
                  <w:vAlign w:val="center"/>
                </w:tcPr>
                <w:p w14:paraId="59602A96">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7DD1B4FF">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7CC166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5C0424F7">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63215D73">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51E4BB01">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A4.1-4</w:t>
                  </w:r>
                  <w:r>
                    <w:rPr>
                      <w:rFonts w:hint="eastAsia" w:ascii="宋体" w:hAnsi="宋体" w:eastAsia="宋体" w:cs="宋体"/>
                      <w:color w:val="auto"/>
                      <w:kern w:val="0"/>
                      <w:sz w:val="18"/>
                      <w:szCs w:val="18"/>
                      <w:lang w:val="en-US" w:eastAsia="zh-CN" w:bidi="ar"/>
                    </w:rPr>
                    <w:t>〕地下水资源利用实行总量控制和水位控制。取用地下水资源，应当按照国家和自治区有关规定申请取水许可。地下水利用应当以浅层地下水为主。</w:t>
                  </w:r>
                </w:p>
              </w:tc>
              <w:tc>
                <w:tcPr>
                  <w:tcW w:w="1409" w:type="pct"/>
                  <w:tcBorders>
                    <w:tl2br w:val="nil"/>
                    <w:tr2bl w:val="nil"/>
                  </w:tcBorders>
                  <w:noWrap w:val="0"/>
                  <w:vAlign w:val="center"/>
                </w:tcPr>
                <w:p w14:paraId="483A7338">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5FA1EA10">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1A17C6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6D6A5020">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tcBorders>
                    <w:tl2br w:val="nil"/>
                    <w:tr2bl w:val="nil"/>
                  </w:tcBorders>
                  <w:noWrap w:val="0"/>
                  <w:vAlign w:val="center"/>
                </w:tcPr>
                <w:p w14:paraId="20E96EB5">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lang w:val="en-US" w:eastAsia="zh-CN" w:bidi="ar"/>
                    </w:rPr>
                    <w:t>A4.2</w:t>
                  </w:r>
                  <w:r>
                    <w:rPr>
                      <w:rFonts w:hint="eastAsia" w:ascii="宋体" w:hAnsi="宋体" w:eastAsia="宋体" w:cs="宋体"/>
                      <w:color w:val="auto"/>
                      <w:kern w:val="0"/>
                      <w:sz w:val="18"/>
                      <w:szCs w:val="18"/>
                      <w:lang w:val="en-US" w:eastAsia="zh-CN" w:bidi="ar"/>
                    </w:rPr>
                    <w:t>土地资源</w:t>
                  </w:r>
                </w:p>
              </w:tc>
              <w:tc>
                <w:tcPr>
                  <w:tcW w:w="2020" w:type="pct"/>
                  <w:tcBorders>
                    <w:tl2br w:val="nil"/>
                    <w:tr2bl w:val="nil"/>
                  </w:tcBorders>
                  <w:noWrap w:val="0"/>
                  <w:vAlign w:val="center"/>
                </w:tcPr>
                <w:p w14:paraId="3BB06E23">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A4.2-1</w:t>
                  </w:r>
                  <w:r>
                    <w:rPr>
                      <w:rFonts w:hint="eastAsia" w:ascii="宋体" w:hAnsi="宋体" w:eastAsia="宋体" w:cs="宋体"/>
                      <w:color w:val="auto"/>
                      <w:kern w:val="0"/>
                      <w:sz w:val="18"/>
                      <w:szCs w:val="18"/>
                      <w:lang w:val="en-US" w:eastAsia="zh-CN" w:bidi="ar"/>
                    </w:rPr>
                    <w:t>〕土地资源上线指标控制在最终批复的国土空间规划控制指标内。</w:t>
                  </w:r>
                </w:p>
              </w:tc>
              <w:tc>
                <w:tcPr>
                  <w:tcW w:w="1409" w:type="pct"/>
                  <w:tcBorders>
                    <w:tl2br w:val="nil"/>
                    <w:tr2bl w:val="nil"/>
                  </w:tcBorders>
                  <w:noWrap w:val="0"/>
                  <w:vAlign w:val="center"/>
                </w:tcPr>
                <w:p w14:paraId="04B9E9DE">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78195EC2">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51B3FD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579F573E">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restart"/>
                  <w:tcBorders>
                    <w:tl2br w:val="nil"/>
                    <w:tr2bl w:val="nil"/>
                  </w:tcBorders>
                  <w:noWrap w:val="0"/>
                  <w:vAlign w:val="center"/>
                </w:tcPr>
                <w:p w14:paraId="01FEC8FA">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lang w:val="en-US" w:eastAsia="zh-CN" w:bidi="ar"/>
                    </w:rPr>
                    <w:t>A4.3</w:t>
                  </w:r>
                  <w:r>
                    <w:rPr>
                      <w:rFonts w:hint="eastAsia" w:ascii="宋体" w:hAnsi="宋体" w:eastAsia="宋体" w:cs="宋体"/>
                      <w:color w:val="auto"/>
                      <w:kern w:val="0"/>
                      <w:sz w:val="18"/>
                      <w:szCs w:val="18"/>
                      <w:lang w:val="en-US" w:eastAsia="zh-CN" w:bidi="ar"/>
                    </w:rPr>
                    <w:t>能源利用</w:t>
                  </w:r>
                </w:p>
              </w:tc>
              <w:tc>
                <w:tcPr>
                  <w:tcW w:w="2020" w:type="pct"/>
                  <w:tcBorders>
                    <w:tl2br w:val="nil"/>
                    <w:tr2bl w:val="nil"/>
                  </w:tcBorders>
                  <w:noWrap w:val="0"/>
                  <w:vAlign w:val="center"/>
                </w:tcPr>
                <w:p w14:paraId="4C06A809">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A4.3-4</w:t>
                  </w:r>
                  <w:r>
                    <w:rPr>
                      <w:rFonts w:hint="eastAsia" w:ascii="宋体" w:hAnsi="宋体" w:eastAsia="宋体" w:cs="宋体"/>
                      <w:color w:val="auto"/>
                      <w:kern w:val="0"/>
                      <w:sz w:val="18"/>
                      <w:szCs w:val="18"/>
                      <w:lang w:val="en-US" w:eastAsia="zh-CN" w:bidi="ar"/>
                    </w:rPr>
                    <w:t>〕鼓励使用清洁能源或电厂热力、工业余热等替代锅炉、炉窑燃料用煤。</w:t>
                  </w:r>
                </w:p>
              </w:tc>
              <w:tc>
                <w:tcPr>
                  <w:tcW w:w="1409" w:type="pct"/>
                  <w:tcBorders>
                    <w:tl2br w:val="nil"/>
                    <w:tr2bl w:val="nil"/>
                  </w:tcBorders>
                  <w:noWrap w:val="0"/>
                  <w:vAlign w:val="center"/>
                </w:tcPr>
                <w:p w14:paraId="0616FE70">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本项目使用天然气清洁能源</w:t>
                  </w:r>
                </w:p>
              </w:tc>
              <w:tc>
                <w:tcPr>
                  <w:tcW w:w="385" w:type="pct"/>
                  <w:tcBorders>
                    <w:tl2br w:val="nil"/>
                    <w:tr2bl w:val="nil"/>
                  </w:tcBorders>
                  <w:noWrap w:val="0"/>
                  <w:vAlign w:val="center"/>
                </w:tcPr>
                <w:p w14:paraId="67A6B98B">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1A3DCF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62BFA61A">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1B47E3EA">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6947A9EA">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A4.3-5</w:t>
                  </w:r>
                  <w:r>
                    <w:rPr>
                      <w:rFonts w:hint="eastAsia" w:ascii="宋体" w:hAnsi="宋体" w:eastAsia="宋体" w:cs="宋体"/>
                      <w:color w:val="auto"/>
                      <w:kern w:val="0"/>
                      <w:sz w:val="18"/>
                      <w:szCs w:val="18"/>
                      <w:lang w:val="en-US" w:eastAsia="zh-CN" w:bidi="ar"/>
                    </w:rPr>
                    <w:t>〕以碳达峰碳中和工作为引领，着力提高能源资源利用效率。引导重点行业深入实施清洁生产改造，钢铁、建材、石油化工等重点行业以及其他行业重点用能单位持续开展节能降耗。</w:t>
                  </w:r>
                </w:p>
              </w:tc>
              <w:tc>
                <w:tcPr>
                  <w:tcW w:w="1409" w:type="pct"/>
                  <w:tcBorders>
                    <w:tl2br w:val="nil"/>
                    <w:tr2bl w:val="nil"/>
                  </w:tcBorders>
                  <w:noWrap w:val="0"/>
                  <w:vAlign w:val="center"/>
                </w:tcPr>
                <w:p w14:paraId="4FFB86D1">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本项目开展节能降耗</w:t>
                  </w:r>
                </w:p>
              </w:tc>
              <w:tc>
                <w:tcPr>
                  <w:tcW w:w="385" w:type="pct"/>
                  <w:tcBorders>
                    <w:tl2br w:val="nil"/>
                    <w:tr2bl w:val="nil"/>
                  </w:tcBorders>
                  <w:noWrap w:val="0"/>
                  <w:vAlign w:val="center"/>
                </w:tcPr>
                <w:p w14:paraId="1FF344E9">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1DB945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3FE49AEC">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tcBorders>
                    <w:tl2br w:val="nil"/>
                    <w:tr2bl w:val="nil"/>
                  </w:tcBorders>
                  <w:noWrap w:val="0"/>
                  <w:vAlign w:val="center"/>
                </w:tcPr>
                <w:p w14:paraId="32E91DCB">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lang w:val="en-US" w:eastAsia="zh-CN" w:bidi="ar"/>
                    </w:rPr>
                    <w:t>A4.4</w:t>
                  </w:r>
                  <w:r>
                    <w:rPr>
                      <w:rFonts w:hint="eastAsia" w:ascii="宋体" w:hAnsi="宋体" w:eastAsia="宋体" w:cs="宋体"/>
                      <w:color w:val="auto"/>
                      <w:kern w:val="0"/>
                      <w:sz w:val="18"/>
                      <w:szCs w:val="18"/>
                      <w:lang w:val="en-US" w:eastAsia="zh-CN" w:bidi="ar"/>
                    </w:rPr>
                    <w:t>禁燃区要求</w:t>
                  </w:r>
                </w:p>
              </w:tc>
              <w:tc>
                <w:tcPr>
                  <w:tcW w:w="2020" w:type="pct"/>
                  <w:tcBorders>
                    <w:tl2br w:val="nil"/>
                    <w:tr2bl w:val="nil"/>
                  </w:tcBorders>
                  <w:noWrap w:val="0"/>
                  <w:vAlign w:val="center"/>
                </w:tcPr>
                <w:p w14:paraId="1A42EE50">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A4.4-1</w:t>
                  </w:r>
                  <w:r>
                    <w:rPr>
                      <w:rFonts w:hint="eastAsia" w:ascii="宋体" w:hAnsi="宋体" w:eastAsia="宋体" w:cs="宋体"/>
                      <w:color w:val="auto"/>
                      <w:kern w:val="0"/>
                      <w:sz w:val="18"/>
                      <w:szCs w:val="18"/>
                      <w:lang w:val="en-US" w:eastAsia="zh-CN" w:bidi="ar"/>
                    </w:rPr>
                    <w:t>〕在禁燃区内，禁止销售、燃用高污染燃料；禁止新建、扩建燃用高污染燃料的设施。已建成的，应当在规定期限内改用清洁能源。</w:t>
                  </w:r>
                </w:p>
              </w:tc>
              <w:tc>
                <w:tcPr>
                  <w:tcW w:w="1409" w:type="pct"/>
                  <w:tcBorders>
                    <w:tl2br w:val="nil"/>
                    <w:tr2bl w:val="nil"/>
                  </w:tcBorders>
                  <w:noWrap w:val="0"/>
                  <w:vAlign w:val="center"/>
                </w:tcPr>
                <w:p w14:paraId="47BB86EF">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项目所在区域不属于禁燃区</w:t>
                  </w:r>
                </w:p>
              </w:tc>
              <w:tc>
                <w:tcPr>
                  <w:tcW w:w="385" w:type="pct"/>
                  <w:tcBorders>
                    <w:tl2br w:val="nil"/>
                    <w:tr2bl w:val="nil"/>
                  </w:tcBorders>
                  <w:noWrap w:val="0"/>
                  <w:vAlign w:val="center"/>
                </w:tcPr>
                <w:p w14:paraId="4288A733">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028DA9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76C4D766">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restart"/>
                  <w:tcBorders>
                    <w:tl2br w:val="nil"/>
                    <w:tr2bl w:val="nil"/>
                  </w:tcBorders>
                  <w:noWrap w:val="0"/>
                  <w:vAlign w:val="center"/>
                </w:tcPr>
                <w:p w14:paraId="4460766E">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lang w:val="en-US" w:eastAsia="zh-CN" w:bidi="ar"/>
                    </w:rPr>
                    <w:t>A4.5</w:t>
                  </w:r>
                  <w:r>
                    <w:rPr>
                      <w:rFonts w:hint="eastAsia" w:ascii="宋体" w:hAnsi="宋体" w:eastAsia="宋体" w:cs="宋体"/>
                      <w:color w:val="auto"/>
                      <w:kern w:val="0"/>
                      <w:sz w:val="18"/>
                      <w:szCs w:val="18"/>
                      <w:lang w:val="en-US" w:eastAsia="zh-CN" w:bidi="ar"/>
                    </w:rPr>
                    <w:t>资源综合利用</w:t>
                  </w:r>
                </w:p>
              </w:tc>
              <w:tc>
                <w:tcPr>
                  <w:tcW w:w="2020" w:type="pct"/>
                  <w:tcBorders>
                    <w:tl2br w:val="nil"/>
                    <w:tr2bl w:val="nil"/>
                  </w:tcBorders>
                  <w:noWrap w:val="0"/>
                  <w:vAlign w:val="center"/>
                </w:tcPr>
                <w:p w14:paraId="73C87DA0">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A4.5-1</w:t>
                  </w:r>
                  <w:r>
                    <w:rPr>
                      <w:rFonts w:hint="eastAsia" w:ascii="宋体" w:hAnsi="宋体" w:eastAsia="宋体" w:cs="宋体"/>
                      <w:color w:val="auto"/>
                      <w:kern w:val="0"/>
                      <w:sz w:val="18"/>
                      <w:szCs w:val="18"/>
                      <w:lang w:val="en-US" w:eastAsia="zh-CN" w:bidi="ar"/>
                    </w:rPr>
                    <w:t>〕加强固体废物源头减量、资源化利用和无害化处置，最大限度减少填埋量。推进工业固体废物精细化、名录化环境管理，促进大宗工业固废综合利用、主要农业废弃物全量利用。加快构建废旧物资回收和循环利用体系，健全强制报废制度和废旧家电、消费电子等耐用消费品回收处理体系，推行生产企业</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逆向回收</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等模式。以尾矿和共伴生矿、煤矸石、炉渣、粉煤灰、脱硫石膏、冶炼渣、建筑垃圾等为重点，持续推进固体废物综合利用和环境整治，不断提高大宗固体废物资源化利用水平。推行生活垃圾分类，加快建设县（市）生活垃圾处理设施，到</w:t>
                  </w:r>
                  <w:r>
                    <w:rPr>
                      <w:rFonts w:hint="default" w:ascii="Times New Roman" w:hAnsi="Times New Roman" w:eastAsia="宋体" w:cs="Times New Roman"/>
                      <w:color w:val="auto"/>
                      <w:kern w:val="0"/>
                      <w:sz w:val="18"/>
                      <w:szCs w:val="18"/>
                      <w:lang w:val="en-US" w:eastAsia="zh-CN" w:bidi="ar"/>
                    </w:rPr>
                    <w:t>2025</w:t>
                  </w:r>
                  <w:r>
                    <w:rPr>
                      <w:rFonts w:hint="eastAsia" w:ascii="宋体" w:hAnsi="宋体" w:eastAsia="宋体" w:cs="宋体"/>
                      <w:color w:val="auto"/>
                      <w:kern w:val="0"/>
                      <w:sz w:val="18"/>
                      <w:szCs w:val="18"/>
                      <w:lang w:val="en-US" w:eastAsia="zh-CN" w:bidi="ar"/>
                    </w:rPr>
                    <w:t>年，全疆城市生活垃圾无害化处理率达到</w:t>
                  </w:r>
                  <w:r>
                    <w:rPr>
                      <w:rFonts w:hint="default" w:ascii="Times New Roman" w:hAnsi="Times New Roman" w:eastAsia="宋体" w:cs="Times New Roman"/>
                      <w:color w:val="auto"/>
                      <w:kern w:val="0"/>
                      <w:sz w:val="18"/>
                      <w:szCs w:val="18"/>
                      <w:lang w:val="en-US" w:eastAsia="zh-CN" w:bidi="ar"/>
                    </w:rPr>
                    <w:t>99%</w:t>
                  </w:r>
                  <w:r>
                    <w:rPr>
                      <w:rFonts w:hint="eastAsia" w:ascii="宋体" w:hAnsi="宋体" w:eastAsia="宋体" w:cs="宋体"/>
                      <w:color w:val="auto"/>
                      <w:kern w:val="0"/>
                      <w:sz w:val="18"/>
                      <w:szCs w:val="18"/>
                      <w:lang w:val="en-US" w:eastAsia="zh-CN" w:bidi="ar"/>
                    </w:rPr>
                    <w:t>以上。</w:t>
                  </w:r>
                </w:p>
              </w:tc>
              <w:tc>
                <w:tcPr>
                  <w:tcW w:w="1409" w:type="pct"/>
                  <w:tcBorders>
                    <w:tl2br w:val="nil"/>
                    <w:tr2bl w:val="nil"/>
                  </w:tcBorders>
                  <w:noWrap w:val="0"/>
                  <w:vAlign w:val="center"/>
                </w:tcPr>
                <w:p w14:paraId="5C516BC6">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本项目建成后一般固废和危险废物全部妥善处置</w:t>
                  </w:r>
                </w:p>
              </w:tc>
              <w:tc>
                <w:tcPr>
                  <w:tcW w:w="385" w:type="pct"/>
                  <w:tcBorders>
                    <w:tl2br w:val="nil"/>
                    <w:tr2bl w:val="nil"/>
                  </w:tcBorders>
                  <w:noWrap w:val="0"/>
                  <w:vAlign w:val="center"/>
                </w:tcPr>
                <w:p w14:paraId="7AAB262C">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72DD07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363A9D7E">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6D0342D7">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6161D523">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A4.5-2</w:t>
                  </w:r>
                  <w:r>
                    <w:rPr>
                      <w:rFonts w:hint="eastAsia" w:ascii="宋体" w:hAnsi="宋体" w:eastAsia="宋体" w:cs="宋体"/>
                      <w:color w:val="auto"/>
                      <w:kern w:val="0"/>
                      <w:sz w:val="18"/>
                      <w:szCs w:val="18"/>
                      <w:lang w:val="en-US" w:eastAsia="zh-CN" w:bidi="ar"/>
                    </w:rPr>
                    <w:t>〕推动工业固废按元素价值综合开发利用，加快推进尾矿（共伴生矿）、粉煤灰、煤矸石、冶炼渣、工业副产石膏、赤泥、化工废渣等工业固废在有价组分提取、建材生产、市政设施建设、井下充填、生态修复、土壤治理等领域的规模化利用。着力提升工业固废在生产纤维材料、微晶玻璃、超细化填料、低碳水泥、固废基高性能混凝土、预制件、节能型建筑材料等领域的高值化利用水平。</w:t>
                  </w:r>
                </w:p>
              </w:tc>
              <w:tc>
                <w:tcPr>
                  <w:tcW w:w="1409" w:type="pct"/>
                  <w:tcBorders>
                    <w:tl2br w:val="nil"/>
                    <w:tr2bl w:val="nil"/>
                  </w:tcBorders>
                  <w:noWrap w:val="0"/>
                  <w:vAlign w:val="center"/>
                </w:tcPr>
                <w:p w14:paraId="2914096F">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3424A045">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43575B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6E460932">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3D74E4BA">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33A1B77F">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A4.5-3</w:t>
                  </w:r>
                  <w:r>
                    <w:rPr>
                      <w:rFonts w:hint="eastAsia" w:ascii="宋体" w:hAnsi="宋体" w:eastAsia="宋体" w:cs="宋体"/>
                      <w:color w:val="auto"/>
                      <w:kern w:val="0"/>
                      <w:sz w:val="18"/>
                      <w:szCs w:val="18"/>
                      <w:lang w:val="en-US" w:eastAsia="zh-CN" w:bidi="ar"/>
                    </w:rPr>
                    <w:t>〕结合工业领域减污降碳要求，加快探索钢铁、有色、化工、建材等重点行业工业固体废物减量化路径，全面推行清洁生产。全面推进绿色矿山、</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无废</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矿区建设，推广尾矿等大宗工业固体废物环境友好型井下充填回填，减少尾矿库贮存量。推动大宗工业固体废物在提取有价组分、生产建材、筑路、生态修复、土壤治理等领域的规模化利用。</w:t>
                  </w:r>
                </w:p>
              </w:tc>
              <w:tc>
                <w:tcPr>
                  <w:tcW w:w="1409" w:type="pct"/>
                  <w:tcBorders>
                    <w:tl2br w:val="nil"/>
                    <w:tr2bl w:val="nil"/>
                  </w:tcBorders>
                  <w:noWrap w:val="0"/>
                  <w:vAlign w:val="center"/>
                </w:tcPr>
                <w:p w14:paraId="4CEED8BD">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794ED11D">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r w14:paraId="6FDA68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57" w:type="dxa"/>
                  <w:bottom w:w="28" w:type="dxa"/>
                  <w:right w:w="57" w:type="dxa"/>
                </w:tblCellMar>
              </w:tblPrEx>
              <w:trPr>
                <w:trHeight w:val="283" w:hRule="atLeast"/>
              </w:trPr>
              <w:tc>
                <w:tcPr>
                  <w:tcW w:w="612" w:type="pct"/>
                  <w:vMerge w:val="continue"/>
                  <w:tcBorders>
                    <w:tl2br w:val="nil"/>
                    <w:tr2bl w:val="nil"/>
                  </w:tcBorders>
                  <w:noWrap w:val="0"/>
                  <w:vAlign w:val="center"/>
                </w:tcPr>
                <w:p w14:paraId="6C5EF297">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71" w:type="pct"/>
                  <w:vMerge w:val="continue"/>
                  <w:tcBorders>
                    <w:tl2br w:val="nil"/>
                    <w:tr2bl w:val="nil"/>
                  </w:tcBorders>
                  <w:noWrap w:val="0"/>
                  <w:vAlign w:val="center"/>
                </w:tcPr>
                <w:p w14:paraId="54556002">
                  <w:pPr>
                    <w:pStyle w:val="13"/>
                    <w:keepNext w:val="0"/>
                    <w:keepLines w:val="0"/>
                    <w:pageBreakBefore w:val="0"/>
                    <w:widowControl w:val="0"/>
                    <w:kinsoku/>
                    <w:wordWrap/>
                    <w:overflowPunct/>
                    <w:topLinePunct w:val="0"/>
                    <w:autoSpaceDE/>
                    <w:autoSpaceDN/>
                    <w:bidi w:val="0"/>
                    <w:spacing w:line="320" w:lineRule="exact"/>
                    <w:jc w:val="center"/>
                    <w:textAlignment w:val="auto"/>
                    <w:rPr>
                      <w:rFonts w:hint="default" w:ascii="Times New Roman" w:hAnsi="Times New Roman" w:eastAsia="宋体" w:cs="Times New Roman"/>
                      <w:color w:val="auto"/>
                      <w:sz w:val="18"/>
                      <w:szCs w:val="18"/>
                      <w:highlight w:val="none"/>
                      <w:lang w:val="en-US" w:eastAsia="zh-CN"/>
                    </w:rPr>
                  </w:pPr>
                </w:p>
              </w:tc>
              <w:tc>
                <w:tcPr>
                  <w:tcW w:w="2020" w:type="pct"/>
                  <w:tcBorders>
                    <w:tl2br w:val="nil"/>
                    <w:tr2bl w:val="nil"/>
                  </w:tcBorders>
                  <w:noWrap w:val="0"/>
                  <w:vAlign w:val="center"/>
                </w:tcPr>
                <w:p w14:paraId="76B818C6">
                  <w:pPr>
                    <w:keepNext w:val="0"/>
                    <w:keepLines w:val="0"/>
                    <w:widowControl/>
                    <w:suppressLineNumbers w:val="0"/>
                    <w:jc w:val="left"/>
                    <w:rPr>
                      <w:rFonts w:hint="default" w:ascii="Times New Roman" w:hAnsi="Times New Roman" w:eastAsia="宋体" w:cs="Times New Roman"/>
                      <w:color w:val="auto"/>
                      <w:sz w:val="18"/>
                      <w:szCs w:val="18"/>
                      <w:highlight w:val="none"/>
                      <w:lang w:val="en-US" w:eastAsia="zh-CN"/>
                    </w:rPr>
                  </w:pP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A4.5-4</w:t>
                  </w:r>
                  <w:r>
                    <w:rPr>
                      <w:rFonts w:hint="eastAsia" w:ascii="宋体" w:hAnsi="宋体" w:eastAsia="宋体" w:cs="宋体"/>
                      <w:color w:val="auto"/>
                      <w:kern w:val="0"/>
                      <w:sz w:val="18"/>
                      <w:szCs w:val="18"/>
                      <w:lang w:val="en-US" w:eastAsia="zh-CN" w:bidi="ar"/>
                    </w:rPr>
                    <w:t>〕发展生态种植、生态养殖，建立农业循环经济发展模式，促进农业固体废物综合利用。鼓励和引导农民采用增施有机肥秸秆还田、种植绿肥等技术，持续减少化肥农药使用比例。加大畜禽粪污和秸秆资源化利用先进技术和新型市场模式的集成推广，推动形成长效运行机制。</w:t>
                  </w:r>
                </w:p>
              </w:tc>
              <w:tc>
                <w:tcPr>
                  <w:tcW w:w="1409" w:type="pct"/>
                  <w:tcBorders>
                    <w:tl2br w:val="nil"/>
                    <w:tr2bl w:val="nil"/>
                  </w:tcBorders>
                  <w:noWrap w:val="0"/>
                  <w:vAlign w:val="center"/>
                </w:tcPr>
                <w:p w14:paraId="29751F76">
                  <w:pPr>
                    <w:keepNext w:val="0"/>
                    <w:keepLines w:val="0"/>
                    <w:pageBreakBefore w:val="0"/>
                    <w:widowControl w:val="0"/>
                    <w:kinsoku/>
                    <w:wordWrap/>
                    <w:overflowPunct/>
                    <w:topLinePunct w:val="0"/>
                    <w:autoSpaceDE/>
                    <w:autoSpaceDN/>
                    <w:bidi w:val="0"/>
                    <w:adjustRightInd w:val="0"/>
                    <w:snapToGrid w:val="0"/>
                    <w:spacing w:line="320" w:lineRule="exact"/>
                    <w:ind w:left="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不涉及</w:t>
                  </w:r>
                </w:p>
              </w:tc>
              <w:tc>
                <w:tcPr>
                  <w:tcW w:w="385" w:type="pct"/>
                  <w:tcBorders>
                    <w:tl2br w:val="nil"/>
                    <w:tr2bl w:val="nil"/>
                  </w:tcBorders>
                  <w:noWrap w:val="0"/>
                  <w:vAlign w:val="center"/>
                </w:tcPr>
                <w:p w14:paraId="4EBB3445">
                  <w:pPr>
                    <w:keepNext w:val="0"/>
                    <w:keepLines w:val="0"/>
                    <w:pageBreakBefore w:val="0"/>
                    <w:widowControl w:val="0"/>
                    <w:kinsoku/>
                    <w:wordWrap/>
                    <w:overflowPunct/>
                    <w:topLinePunct w:val="0"/>
                    <w:autoSpaceDE/>
                    <w:autoSpaceDN/>
                    <w:bidi w:val="0"/>
                    <w:adjustRightInd w:val="0"/>
                    <w:snapToGrid w:val="0"/>
                    <w:spacing w:line="320" w:lineRule="exact"/>
                    <w:ind w:left="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lang w:val="en-US" w:eastAsia="zh-CN"/>
                    </w:rPr>
                    <w:t>符合</w:t>
                  </w:r>
                </w:p>
              </w:tc>
            </w:tr>
          </w:tbl>
          <w:p w14:paraId="72A0E211">
            <w:pPr>
              <w:keepNext w:val="0"/>
              <w:keepLines w:val="0"/>
              <w:pageBreakBefore w:val="0"/>
              <w:widowControl w:val="0"/>
              <w:kinsoku/>
              <w:wordWrap/>
              <w:overflowPunct/>
              <w:topLinePunct w:val="0"/>
              <w:autoSpaceDE/>
              <w:autoSpaceDN/>
              <w:bidi w:val="0"/>
              <w:adjustRightInd/>
              <w:snapToGrid/>
              <w:spacing w:line="120" w:lineRule="auto"/>
              <w:textAlignment w:val="auto"/>
              <w:rPr>
                <w:rFonts w:hint="default" w:ascii="Times New Roman" w:hAnsi="Times New Roman" w:eastAsia="宋体" w:cs="Times New Roman"/>
                <w:color w:val="auto"/>
                <w:sz w:val="21"/>
                <w:szCs w:val="21"/>
                <w:lang w:val="en-US" w:eastAsia="zh-CN"/>
              </w:rPr>
            </w:pPr>
          </w:p>
          <w:p w14:paraId="4296AE2B">
            <w:pPr>
              <w:pStyle w:val="49"/>
              <w:keepNext w:val="0"/>
              <w:keepLines w:val="0"/>
              <w:pageBreakBefore w:val="0"/>
              <w:widowControl w:val="0"/>
              <w:kinsoku/>
              <w:wordWrap/>
              <w:overflowPunct/>
              <w:topLinePunct w:val="0"/>
              <w:bidi w:val="0"/>
              <w:adjustRightInd w:val="0"/>
              <w:snapToGrid w:val="0"/>
              <w:spacing w:line="360" w:lineRule="auto"/>
              <w:ind w:firstLine="422" w:firstLineChars="200"/>
              <w:jc w:val="both"/>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w:t>
            </w:r>
            <w:r>
              <w:rPr>
                <w:rFonts w:hint="eastAsia" w:ascii="Times New Roman" w:cs="Times New Roman"/>
                <w:b/>
                <w:bCs/>
                <w:color w:val="auto"/>
                <w:sz w:val="21"/>
                <w:szCs w:val="21"/>
                <w:highlight w:val="none"/>
                <w:lang w:val="en-US" w:eastAsia="zh-CN"/>
              </w:rPr>
              <w:t>2</w:t>
            </w:r>
            <w:r>
              <w:rPr>
                <w:rFonts w:hint="default" w:ascii="Times New Roman" w:hAnsi="Times New Roman" w:cs="Times New Roman"/>
                <w:b/>
                <w:bCs/>
                <w:color w:val="auto"/>
                <w:sz w:val="21"/>
                <w:szCs w:val="21"/>
                <w:highlight w:val="none"/>
              </w:rPr>
              <w:t>）与</w:t>
            </w:r>
            <w:r>
              <w:rPr>
                <w:rFonts w:hint="eastAsia" w:ascii="Times New Roman" w:cs="Times New Roman"/>
                <w:b/>
                <w:bCs/>
                <w:color w:val="auto"/>
                <w:sz w:val="21"/>
                <w:szCs w:val="21"/>
                <w:highlight w:val="none"/>
                <w:lang w:eastAsia="zh-CN"/>
              </w:rPr>
              <w:t>《昌吉回族自治州生态环境分区管控动态更新成果》的符合性分析</w:t>
            </w:r>
          </w:p>
          <w:p w14:paraId="422DDBC8">
            <w:pPr>
              <w:pStyle w:val="49"/>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20" w:firstLineChars="200"/>
              <w:jc w:val="both"/>
              <w:textAlignment w:val="auto"/>
              <w:rPr>
                <w:rFonts w:hint="eastAsia"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根据《关于发布昌吉回族自治州生态环境分区管控动态更新成果的公告》</w:t>
            </w:r>
            <w:r>
              <w:rPr>
                <w:rFonts w:hint="eastAsia" w:ascii="Times New Roman" w:cs="Times New Roman"/>
                <w:b w:val="0"/>
                <w:bCs/>
                <w:color w:val="auto"/>
                <w:sz w:val="21"/>
                <w:szCs w:val="21"/>
                <w:highlight w:val="none"/>
                <w:lang w:val="en-US" w:eastAsia="zh-CN"/>
              </w:rPr>
              <w:t>（2025年1月10日）</w:t>
            </w:r>
            <w:r>
              <w:rPr>
                <w:rFonts w:hint="default" w:ascii="Times New Roman" w:hAnsi="Times New Roman" w:eastAsia="宋体" w:cs="Times New Roman"/>
                <w:b w:val="0"/>
                <w:bCs/>
                <w:color w:val="auto"/>
                <w:sz w:val="21"/>
                <w:szCs w:val="21"/>
                <w:highlight w:val="none"/>
                <w:lang w:val="en-US" w:eastAsia="zh-CN"/>
              </w:rPr>
              <w:t>，本项目环境管控单元编码为“ZH65230120002”，属于“昌吉高新技术产业开发区重点管控单元”，重点管控单元要着力优化空间布局，不断提升资源利用效率，有针对性地加强污染物排放管控和环境风险防控，解决生态环境质量不达标、生态环境风险高等问题。本项目与《关于发布昌吉回族自治州生态环境分区管控动态更新成果的公告》的符合性分析见表1-3，项目在昌吉回族自治州生态环境分区管控动态更新成果位置图见附图3。</w:t>
            </w:r>
          </w:p>
          <w:p w14:paraId="30B65901">
            <w:pPr>
              <w:pStyle w:val="74"/>
              <w:keepNext w:val="0"/>
              <w:keepLines w:val="0"/>
              <w:pageBreakBefore w:val="0"/>
              <w:kinsoku/>
              <w:wordWrap/>
              <w:overflowPunct/>
              <w:topLinePunct w:val="0"/>
              <w:autoSpaceDE/>
              <w:autoSpaceDN/>
              <w:bidi w:val="0"/>
              <w:spacing w:line="240" w:lineRule="auto"/>
              <w:ind w:firstLine="0"/>
              <w:jc w:val="center"/>
              <w:textAlignment w:val="auto"/>
              <w:rPr>
                <w:rFonts w:hint="default" w:ascii="Times New Roman" w:hAnsi="Times New Roman" w:eastAsia="黑体" w:cs="Times New Roman"/>
                <w:b w:val="0"/>
                <w:bCs w:val="0"/>
                <w:color w:val="auto"/>
                <w:kern w:val="2"/>
                <w:sz w:val="21"/>
                <w:szCs w:val="21"/>
                <w:lang w:val="en-US" w:eastAsia="zh-CN" w:bidi="ar-SA"/>
              </w:rPr>
            </w:pPr>
          </w:p>
          <w:p w14:paraId="3DF089FC">
            <w:pPr>
              <w:pStyle w:val="74"/>
              <w:keepNext w:val="0"/>
              <w:keepLines w:val="0"/>
              <w:pageBreakBefore w:val="0"/>
              <w:kinsoku/>
              <w:wordWrap/>
              <w:overflowPunct/>
              <w:topLinePunct w:val="0"/>
              <w:autoSpaceDE/>
              <w:autoSpaceDN/>
              <w:bidi w:val="0"/>
              <w:spacing w:line="240" w:lineRule="auto"/>
              <w:ind w:firstLine="0"/>
              <w:jc w:val="center"/>
              <w:textAlignment w:val="auto"/>
              <w:rPr>
                <w:rFonts w:hint="default" w:ascii="Times New Roman" w:hAnsi="Times New Roman" w:eastAsia="宋体" w:cs="Times New Roman"/>
                <w:b/>
                <w:bCs w:val="0"/>
                <w:color w:val="auto"/>
                <w:kern w:val="0"/>
                <w:sz w:val="21"/>
                <w:szCs w:val="21"/>
                <w:lang w:val="en-US" w:eastAsia="zh-CN" w:bidi="ar"/>
              </w:rPr>
            </w:pPr>
            <w:r>
              <w:rPr>
                <w:rFonts w:hint="default" w:ascii="Times New Roman" w:hAnsi="Times New Roman" w:eastAsia="黑体" w:cs="Times New Roman"/>
                <w:b w:val="0"/>
                <w:bCs w:val="0"/>
                <w:color w:val="auto"/>
                <w:kern w:val="2"/>
                <w:sz w:val="21"/>
                <w:szCs w:val="21"/>
                <w:lang w:val="en-US" w:eastAsia="zh-CN" w:bidi="ar-SA"/>
              </w:rPr>
              <w:t>表1</w:t>
            </w:r>
            <w:r>
              <w:rPr>
                <w:rFonts w:hint="eastAsia" w:ascii="Times New Roman" w:hAnsi="Times New Roman" w:eastAsia="黑体" w:cs="Times New Roman"/>
                <w:b w:val="0"/>
                <w:bCs w:val="0"/>
                <w:color w:val="auto"/>
                <w:kern w:val="2"/>
                <w:sz w:val="21"/>
                <w:szCs w:val="21"/>
                <w:lang w:val="en-US" w:eastAsia="zh-CN" w:bidi="ar-SA"/>
              </w:rPr>
              <w:t>-3与昌吉回族自治州生态环境分区管控要求</w:t>
            </w:r>
            <w:r>
              <w:rPr>
                <w:rFonts w:hint="default" w:ascii="Times New Roman" w:hAnsi="Times New Roman" w:eastAsia="黑体" w:cs="Times New Roman"/>
                <w:b w:val="0"/>
                <w:bCs w:val="0"/>
                <w:color w:val="auto"/>
                <w:kern w:val="2"/>
                <w:sz w:val="21"/>
                <w:szCs w:val="21"/>
                <w:lang w:val="en-US" w:eastAsia="zh-CN" w:bidi="ar-SA"/>
              </w:rPr>
              <w:t>符合性分析表</w:t>
            </w:r>
          </w:p>
          <w:tbl>
            <w:tblPr>
              <w:tblStyle w:val="33"/>
              <w:tblW w:w="4998"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57" w:type="dxa"/>
                <w:left w:w="57" w:type="dxa"/>
                <w:bottom w:w="57" w:type="dxa"/>
                <w:right w:w="57" w:type="dxa"/>
              </w:tblCellMar>
            </w:tblPr>
            <w:tblGrid>
              <w:gridCol w:w="3269"/>
              <w:gridCol w:w="3173"/>
              <w:gridCol w:w="1081"/>
            </w:tblGrid>
            <w:tr w14:paraId="6DCC98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2172" w:type="pct"/>
                  <w:tcBorders>
                    <w:tl2br w:val="nil"/>
                    <w:tr2bl w:val="nil"/>
                  </w:tcBorders>
                  <w:noWrap w:val="0"/>
                  <w:vAlign w:val="center"/>
                </w:tcPr>
                <w:p w14:paraId="5B6C7C18">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bCs/>
                      <w:color w:val="auto"/>
                      <w:sz w:val="18"/>
                      <w:szCs w:val="18"/>
                      <w:lang w:val="en-US" w:eastAsia="zh-CN"/>
                    </w:rPr>
                  </w:pPr>
                  <w:r>
                    <w:rPr>
                      <w:rFonts w:hint="eastAsia" w:ascii="Times New Roman" w:hAnsi="Times New Roman" w:eastAsia="宋体" w:cs="Times New Roman"/>
                      <w:b/>
                      <w:bCs/>
                      <w:color w:val="auto"/>
                      <w:sz w:val="18"/>
                      <w:szCs w:val="18"/>
                      <w:lang w:val="en-US" w:eastAsia="zh-CN"/>
                    </w:rPr>
                    <w:t>生态环境分区管控方案</w:t>
                  </w:r>
                  <w:r>
                    <w:rPr>
                      <w:rFonts w:ascii="Times New Roman" w:hAnsi="Times New Roman" w:eastAsia="宋体" w:cs="Times New Roman"/>
                      <w:b/>
                      <w:bCs/>
                      <w:color w:val="auto"/>
                      <w:sz w:val="18"/>
                      <w:szCs w:val="18"/>
                    </w:rPr>
                    <w:t>要求</w:t>
                  </w:r>
                </w:p>
              </w:tc>
              <w:tc>
                <w:tcPr>
                  <w:tcW w:w="2108" w:type="pct"/>
                  <w:tcBorders>
                    <w:tl2br w:val="nil"/>
                    <w:tr2bl w:val="nil"/>
                  </w:tcBorders>
                  <w:noWrap w:val="0"/>
                  <w:vAlign w:val="center"/>
                </w:tcPr>
                <w:p w14:paraId="39A1473F">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bCs/>
                      <w:color w:val="auto"/>
                      <w:sz w:val="18"/>
                      <w:szCs w:val="18"/>
                      <w:lang w:val="en-US" w:eastAsia="zh-CN"/>
                    </w:rPr>
                  </w:pPr>
                  <w:r>
                    <w:rPr>
                      <w:rFonts w:hint="eastAsia" w:ascii="Times New Roman" w:hAnsi="Times New Roman" w:eastAsia="宋体" w:cs="Times New Roman"/>
                      <w:b/>
                      <w:bCs/>
                      <w:color w:val="auto"/>
                      <w:sz w:val="18"/>
                      <w:szCs w:val="18"/>
                      <w:lang w:val="en-US" w:eastAsia="zh-CN"/>
                    </w:rPr>
                    <w:t>项目情况</w:t>
                  </w:r>
                </w:p>
              </w:tc>
              <w:tc>
                <w:tcPr>
                  <w:tcW w:w="718" w:type="pct"/>
                  <w:tcBorders>
                    <w:tl2br w:val="nil"/>
                    <w:tr2bl w:val="nil"/>
                  </w:tcBorders>
                  <w:noWrap w:val="0"/>
                  <w:vAlign w:val="center"/>
                </w:tcPr>
                <w:p w14:paraId="6D2AC864">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eastAsia" w:ascii="Times New Roman" w:hAnsi="Times New Roman" w:eastAsia="宋体" w:cs="Times New Roman"/>
                      <w:b/>
                      <w:bCs/>
                      <w:color w:val="auto"/>
                      <w:sz w:val="18"/>
                      <w:szCs w:val="18"/>
                      <w:lang w:val="en-US" w:eastAsia="zh-CN"/>
                    </w:rPr>
                  </w:pPr>
                  <w:r>
                    <w:rPr>
                      <w:rFonts w:hint="eastAsia" w:ascii="Times New Roman" w:hAnsi="Times New Roman" w:eastAsia="宋体" w:cs="Times New Roman"/>
                      <w:b/>
                      <w:bCs/>
                      <w:color w:val="auto"/>
                      <w:sz w:val="18"/>
                      <w:szCs w:val="18"/>
                      <w:lang w:val="en-US" w:eastAsia="zh-CN"/>
                    </w:rPr>
                    <w:t>符合性</w:t>
                  </w:r>
                </w:p>
              </w:tc>
            </w:tr>
            <w:tr w14:paraId="74EFCA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999" w:hRule="atLeast"/>
              </w:trPr>
              <w:tc>
                <w:tcPr>
                  <w:tcW w:w="2172" w:type="pct"/>
                  <w:tcBorders>
                    <w:tl2br w:val="nil"/>
                    <w:tr2bl w:val="nil"/>
                  </w:tcBorders>
                  <w:noWrap w:val="0"/>
                  <w:vAlign w:val="center"/>
                </w:tcPr>
                <w:p w14:paraId="5737AC41">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jc w:val="both"/>
                    <w:textAlignment w:val="auto"/>
                    <w:rPr>
                      <w:rFonts w:hint="default"/>
                      <w:color w:val="auto"/>
                      <w:sz w:val="18"/>
                      <w:szCs w:val="18"/>
                      <w:lang w:val="en-US" w:eastAsia="zh-CN"/>
                    </w:rPr>
                  </w:pPr>
                  <w:r>
                    <w:rPr>
                      <w:rFonts w:hint="default"/>
                      <w:color w:val="auto"/>
                      <w:sz w:val="18"/>
                      <w:szCs w:val="18"/>
                      <w:lang w:val="en-US" w:eastAsia="zh-CN"/>
                    </w:rPr>
                    <w:t>1、入园企业须符合园区产业发展定位、布局规划等要求。2、入园企业须符合国土空间规划的布局及土地利用等相关要求。3、园区入驻项目须满足《新疆维吾尔自治区重点行业生态环境准入条件（2024 年）》相关要求。4、园区入驻项目须严格执行园区规划及规划环评相关要求。5、除国家规定新增原料用能不纳入能源消费总量控制的项目和列入国家规划的项目外，“乌-昌-石”等重点区域原则不再新建、扩建使用燃料用煤项目。</w:t>
                  </w:r>
                </w:p>
              </w:tc>
              <w:tc>
                <w:tcPr>
                  <w:tcW w:w="2108" w:type="pct"/>
                  <w:tcBorders>
                    <w:tl2br w:val="nil"/>
                    <w:tr2bl w:val="nil"/>
                  </w:tcBorders>
                  <w:noWrap w:val="0"/>
                  <w:vAlign w:val="center"/>
                </w:tcPr>
                <w:p w14:paraId="6CCCCA0E">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本项目符合</w:t>
                  </w:r>
                  <w:r>
                    <w:rPr>
                      <w:rFonts w:hint="default"/>
                      <w:color w:val="auto"/>
                      <w:sz w:val="18"/>
                      <w:szCs w:val="18"/>
                      <w:lang w:val="en-US" w:eastAsia="zh-CN"/>
                    </w:rPr>
                    <w:t>园区产业发展定位、布局规划等要求</w:t>
                  </w:r>
                  <w:r>
                    <w:rPr>
                      <w:rFonts w:hint="eastAsia"/>
                      <w:color w:val="auto"/>
                      <w:sz w:val="18"/>
                      <w:szCs w:val="18"/>
                      <w:lang w:val="en-US" w:eastAsia="zh-CN"/>
                    </w:rPr>
                    <w:t>，用地属于工业用地</w:t>
                  </w:r>
                </w:p>
              </w:tc>
              <w:tc>
                <w:tcPr>
                  <w:tcW w:w="718" w:type="pct"/>
                  <w:tcBorders>
                    <w:tl2br w:val="nil"/>
                    <w:tr2bl w:val="nil"/>
                  </w:tcBorders>
                  <w:noWrap w:val="0"/>
                  <w:vAlign w:val="center"/>
                </w:tcPr>
                <w:p w14:paraId="0F54A3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ascii="Times New Roman" w:hAnsi="Times New Roman" w:eastAsia="宋体" w:cs="Times New Roman"/>
                      <w:color w:val="auto"/>
                      <w:sz w:val="18"/>
                      <w:szCs w:val="18"/>
                    </w:rPr>
                    <w:t>符合</w:t>
                  </w:r>
                </w:p>
              </w:tc>
            </w:tr>
            <w:tr w14:paraId="517057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999" w:hRule="atLeast"/>
              </w:trPr>
              <w:tc>
                <w:tcPr>
                  <w:tcW w:w="2172" w:type="pct"/>
                  <w:tcBorders>
                    <w:tl2br w:val="nil"/>
                    <w:tr2bl w:val="nil"/>
                  </w:tcBorders>
                  <w:noWrap w:val="0"/>
                  <w:vAlign w:val="center"/>
                </w:tcPr>
                <w:p w14:paraId="0A0CD186">
                  <w:pPr>
                    <w:keepNext w:val="0"/>
                    <w:keepLines w:val="0"/>
                    <w:pageBreakBefore w:val="0"/>
                    <w:widowControl w:val="0"/>
                    <w:kinsoku/>
                    <w:wordWrap/>
                    <w:overflowPunct/>
                    <w:topLinePunct w:val="0"/>
                    <w:autoSpaceDE/>
                    <w:autoSpaceDN/>
                    <w:bidi w:val="0"/>
                    <w:spacing w:beforeLines="0" w:afterLines="0" w:line="240" w:lineRule="auto"/>
                    <w:jc w:val="both"/>
                    <w:textAlignment w:val="auto"/>
                    <w:rPr>
                      <w:rFonts w:hint="default"/>
                      <w:color w:val="auto"/>
                      <w:sz w:val="18"/>
                      <w:szCs w:val="18"/>
                      <w:lang w:val="en-US" w:eastAsia="zh-CN"/>
                    </w:rPr>
                  </w:pPr>
                  <w:r>
                    <w:rPr>
                      <w:rFonts w:hint="default"/>
                      <w:color w:val="auto"/>
                      <w:sz w:val="18"/>
                      <w:szCs w:val="18"/>
                      <w:lang w:val="en-US" w:eastAsia="zh-CN"/>
                    </w:rPr>
                    <w:t>1、聚焦采暖期重污染天气治理，加大重点区域、重点行业结构调整和污染治理力度2、新（改、扩）建项目应执行最严格的大气污染物排放标准。3、“乌-昌-石”区域内，已实施超低排放的涉气排污单位，其实施超低排放改造的污染因子执行超低排放限值，其他污染因子执行特别排放限值和特别控制要求。4、推动园区企业绿色发展，严格落实水污染物排放标准。5、严格实施污染物排放总量控制要求；全面深化面源污染治理，积极推进绿色施工。</w:t>
                  </w:r>
                </w:p>
              </w:tc>
              <w:tc>
                <w:tcPr>
                  <w:tcW w:w="2108" w:type="pct"/>
                  <w:tcBorders>
                    <w:tl2br w:val="nil"/>
                    <w:tr2bl w:val="nil"/>
                  </w:tcBorders>
                  <w:noWrap w:val="0"/>
                  <w:vAlign w:val="center"/>
                </w:tcPr>
                <w:p w14:paraId="79A36EF8">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本项目大气污染物排放标准执行</w:t>
                  </w:r>
                  <w:r>
                    <w:rPr>
                      <w:rFonts w:hint="eastAsia" w:eastAsia="宋体" w:cs="Times New Roman"/>
                      <w:color w:val="auto"/>
                      <w:kern w:val="2"/>
                      <w:sz w:val="18"/>
                      <w:szCs w:val="18"/>
                      <w:lang w:val="en-US" w:eastAsia="zh-CN" w:bidi="ar-SA"/>
                    </w:rPr>
                    <w:t>《</w:t>
                  </w:r>
                  <w:r>
                    <w:rPr>
                      <w:rFonts w:hint="eastAsia" w:cs="Times New Roman"/>
                      <w:color w:val="auto"/>
                      <w:kern w:val="2"/>
                      <w:sz w:val="18"/>
                      <w:szCs w:val="18"/>
                      <w:lang w:val="en-US" w:eastAsia="zh-CN" w:bidi="ar-SA"/>
                    </w:rPr>
                    <w:t>轧钢</w:t>
                  </w:r>
                  <w:r>
                    <w:rPr>
                      <w:rFonts w:hint="eastAsia" w:eastAsia="宋体" w:cs="Times New Roman"/>
                      <w:color w:val="auto"/>
                      <w:kern w:val="2"/>
                      <w:sz w:val="18"/>
                      <w:szCs w:val="18"/>
                      <w:lang w:val="en-US" w:eastAsia="zh-CN" w:bidi="ar-SA"/>
                    </w:rPr>
                    <w:t>工业大气污染物排放标准》（GB2866</w:t>
                  </w:r>
                  <w:r>
                    <w:rPr>
                      <w:rFonts w:hint="eastAsia" w:cs="Times New Roman"/>
                      <w:color w:val="auto"/>
                      <w:kern w:val="2"/>
                      <w:sz w:val="18"/>
                      <w:szCs w:val="18"/>
                      <w:lang w:val="en-US" w:eastAsia="zh-CN" w:bidi="ar-SA"/>
                    </w:rPr>
                    <w:t>5</w:t>
                  </w:r>
                  <w:r>
                    <w:rPr>
                      <w:rFonts w:hint="eastAsia" w:eastAsia="宋体" w:cs="Times New Roman"/>
                      <w:color w:val="auto"/>
                      <w:kern w:val="2"/>
                      <w:sz w:val="18"/>
                      <w:szCs w:val="18"/>
                      <w:lang w:val="en-US" w:eastAsia="zh-CN" w:bidi="ar-SA"/>
                    </w:rPr>
                    <w:t>-2012）</w:t>
                  </w:r>
                  <w:r>
                    <w:rPr>
                      <w:rFonts w:hint="eastAsia" w:cs="Times New Roman"/>
                      <w:color w:val="auto"/>
                      <w:kern w:val="2"/>
                      <w:sz w:val="18"/>
                      <w:szCs w:val="18"/>
                      <w:lang w:val="en-US" w:eastAsia="zh-CN" w:bidi="ar-SA"/>
                    </w:rPr>
                    <w:t>及其修改单</w:t>
                  </w:r>
                  <w:r>
                    <w:rPr>
                      <w:rFonts w:hint="eastAsia" w:eastAsia="宋体" w:cs="Times New Roman"/>
                      <w:color w:val="auto"/>
                      <w:kern w:val="2"/>
                      <w:sz w:val="18"/>
                      <w:szCs w:val="18"/>
                      <w:lang w:val="en-US" w:eastAsia="zh-CN" w:bidi="ar-SA"/>
                    </w:rPr>
                    <w:t>表3特别排放限值要求</w:t>
                  </w:r>
                </w:p>
              </w:tc>
              <w:tc>
                <w:tcPr>
                  <w:tcW w:w="718" w:type="pct"/>
                  <w:tcBorders>
                    <w:tl2br w:val="nil"/>
                    <w:tr2bl w:val="nil"/>
                  </w:tcBorders>
                  <w:noWrap w:val="0"/>
                  <w:vAlign w:val="center"/>
                </w:tcPr>
                <w:p w14:paraId="0DF297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符合</w:t>
                  </w:r>
                </w:p>
              </w:tc>
            </w:tr>
            <w:tr w14:paraId="48AB17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999" w:hRule="atLeast"/>
              </w:trPr>
              <w:tc>
                <w:tcPr>
                  <w:tcW w:w="2172" w:type="pct"/>
                  <w:tcBorders>
                    <w:tl2br w:val="nil"/>
                    <w:tr2bl w:val="nil"/>
                  </w:tcBorders>
                  <w:noWrap w:val="0"/>
                  <w:vAlign w:val="center"/>
                </w:tcPr>
                <w:p w14:paraId="45F00601">
                  <w:pPr>
                    <w:keepNext w:val="0"/>
                    <w:keepLines w:val="0"/>
                    <w:pageBreakBefore w:val="0"/>
                    <w:widowControl w:val="0"/>
                    <w:kinsoku/>
                    <w:wordWrap/>
                    <w:overflowPunct/>
                    <w:topLinePunct w:val="0"/>
                    <w:autoSpaceDE/>
                    <w:autoSpaceDN/>
                    <w:bidi w:val="0"/>
                    <w:spacing w:beforeLines="0" w:afterLines="0" w:line="240" w:lineRule="auto"/>
                    <w:jc w:val="both"/>
                    <w:textAlignment w:val="auto"/>
                    <w:rPr>
                      <w:rFonts w:hint="default"/>
                      <w:color w:val="auto"/>
                      <w:sz w:val="18"/>
                      <w:szCs w:val="18"/>
                      <w:lang w:val="en-US" w:eastAsia="zh-CN"/>
                    </w:rPr>
                  </w:pPr>
                  <w:r>
                    <w:rPr>
                      <w:rFonts w:hint="default"/>
                      <w:color w:val="auto"/>
                      <w:sz w:val="18"/>
                      <w:szCs w:val="18"/>
                      <w:lang w:val="en-US" w:eastAsia="zh-CN"/>
                    </w:rPr>
                    <w:t>1、园区应设立环境应急管理机构，建立环境风险监管制度、环境风险预警制度、突发环境事件应急预案、环境风险应急保障制度等环境风险防控体系，并具备环境风险应急救援能力。</w:t>
                  </w:r>
                </w:p>
              </w:tc>
              <w:tc>
                <w:tcPr>
                  <w:tcW w:w="2108" w:type="pct"/>
                  <w:tcBorders>
                    <w:tl2br w:val="nil"/>
                    <w:tr2bl w:val="nil"/>
                  </w:tcBorders>
                  <w:shd w:val="clear" w:color="auto" w:fill="auto"/>
                  <w:noWrap w:val="0"/>
                  <w:vAlign w:val="center"/>
                </w:tcPr>
                <w:p w14:paraId="07BEE85D">
                  <w:pPr>
                    <w:keepNext w:val="0"/>
                    <w:keepLines w:val="0"/>
                    <w:pageBreakBefore w:val="0"/>
                    <w:widowControl w:val="0"/>
                    <w:kinsoku/>
                    <w:wordWrap/>
                    <w:overflowPunct/>
                    <w:topLinePunct w:val="0"/>
                    <w:autoSpaceDE/>
                    <w:autoSpaceDN/>
                    <w:bidi w:val="0"/>
                    <w:adjustRightInd w:val="0"/>
                    <w:snapToGrid w:val="0"/>
                    <w:spacing w:line="240" w:lineRule="auto"/>
                    <w:ind w:left="0" w:leftChars="0"/>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本项目建成后按照要求编制</w:t>
                  </w:r>
                  <w:r>
                    <w:rPr>
                      <w:rFonts w:hint="eastAsia" w:ascii="宋体" w:hAnsi="宋体" w:eastAsia="宋体" w:cs="宋体"/>
                      <w:color w:val="auto"/>
                      <w:kern w:val="0"/>
                      <w:sz w:val="18"/>
                      <w:szCs w:val="18"/>
                      <w:lang w:val="en-US" w:eastAsia="zh-CN" w:bidi="ar"/>
                    </w:rPr>
                    <w:t>突发环境事件应急预案</w:t>
                  </w:r>
                  <w:r>
                    <w:rPr>
                      <w:rFonts w:hint="eastAsia" w:ascii="宋体" w:hAnsi="宋体" w:cs="宋体"/>
                      <w:color w:val="auto"/>
                      <w:kern w:val="0"/>
                      <w:sz w:val="18"/>
                      <w:szCs w:val="18"/>
                      <w:lang w:val="en-US" w:eastAsia="zh-CN" w:bidi="ar"/>
                    </w:rPr>
                    <w:t>；园区具备环境风险应急救援能力，并可以与其他企业进行应急救援互助</w:t>
                  </w:r>
                </w:p>
              </w:tc>
              <w:tc>
                <w:tcPr>
                  <w:tcW w:w="718" w:type="pct"/>
                  <w:tcBorders>
                    <w:tl2br w:val="nil"/>
                    <w:tr2bl w:val="nil"/>
                  </w:tcBorders>
                  <w:noWrap w:val="0"/>
                  <w:vAlign w:val="center"/>
                </w:tcPr>
                <w:p w14:paraId="4F4343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符合</w:t>
                  </w:r>
                </w:p>
              </w:tc>
            </w:tr>
            <w:tr w14:paraId="7C16D7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999" w:hRule="atLeast"/>
              </w:trPr>
              <w:tc>
                <w:tcPr>
                  <w:tcW w:w="2172" w:type="pct"/>
                  <w:tcBorders>
                    <w:tl2br w:val="nil"/>
                    <w:tr2bl w:val="nil"/>
                  </w:tcBorders>
                  <w:noWrap w:val="0"/>
                  <w:vAlign w:val="center"/>
                </w:tcPr>
                <w:p w14:paraId="45C6185F">
                  <w:pPr>
                    <w:keepNext w:val="0"/>
                    <w:keepLines w:val="0"/>
                    <w:pageBreakBefore w:val="0"/>
                    <w:widowControl w:val="0"/>
                    <w:kinsoku/>
                    <w:wordWrap/>
                    <w:overflowPunct/>
                    <w:topLinePunct w:val="0"/>
                    <w:autoSpaceDE/>
                    <w:autoSpaceDN/>
                    <w:bidi w:val="0"/>
                    <w:spacing w:beforeLines="0" w:afterLines="0" w:line="240" w:lineRule="auto"/>
                    <w:jc w:val="both"/>
                    <w:textAlignment w:val="auto"/>
                    <w:rPr>
                      <w:rFonts w:hint="default" w:ascii="Times New Roman" w:hAnsi="Times New Roman" w:eastAsia="FZFSK--GBK1-0" w:cs="Times New Roman"/>
                      <w:color w:val="auto"/>
                      <w:sz w:val="18"/>
                      <w:szCs w:val="18"/>
                      <w:lang w:val="en-US" w:eastAsia="zh-CN"/>
                    </w:rPr>
                  </w:pPr>
                  <w:r>
                    <w:rPr>
                      <w:rFonts w:hint="default" w:ascii="Times New Roman" w:hAnsi="Times New Roman" w:eastAsia="FZFSK--GBK1-0" w:cs="Times New Roman"/>
                      <w:color w:val="auto"/>
                      <w:sz w:val="18"/>
                      <w:szCs w:val="18"/>
                      <w:lang w:val="en-US" w:eastAsia="zh-CN"/>
                    </w:rPr>
                    <w:t>1、严守水资源开发利用控制、用水效率控制和水功能区限制纳污“三条红线”，严格实行区域用水总量和强度控制，强化用水定额管理。2、推行清洁生产、降低生产水耗、从源头上控制污染物的产生。3、加强能耗“双控”管理，优化能源消费结构。严格合理控制煤炭消费增长，精准测算原料煤、动力煤，新增原料用能不纳入能源消费总量控制。</w:t>
                  </w:r>
                </w:p>
              </w:tc>
              <w:tc>
                <w:tcPr>
                  <w:tcW w:w="2108" w:type="pct"/>
                  <w:tcBorders>
                    <w:tl2br w:val="nil"/>
                    <w:tr2bl w:val="nil"/>
                  </w:tcBorders>
                  <w:noWrap w:val="0"/>
                  <w:vAlign w:val="center"/>
                </w:tcPr>
                <w:p w14:paraId="10A8088B">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本项目蒸汽冷凝水全部回用，</w:t>
                  </w:r>
                  <w:r>
                    <w:rPr>
                      <w:rFonts w:hint="default" w:ascii="Times New Roman" w:hAnsi="Times New Roman" w:eastAsia="FZFSK--GBK1-0" w:cs="Times New Roman"/>
                      <w:color w:val="auto"/>
                      <w:sz w:val="18"/>
                      <w:szCs w:val="18"/>
                      <w:lang w:val="en-US" w:eastAsia="zh-CN"/>
                    </w:rPr>
                    <w:t>严格实行区域用水总量和强度控制</w:t>
                  </w:r>
                </w:p>
              </w:tc>
              <w:tc>
                <w:tcPr>
                  <w:tcW w:w="718" w:type="pct"/>
                  <w:tcBorders>
                    <w:tl2br w:val="nil"/>
                    <w:tr2bl w:val="nil"/>
                  </w:tcBorders>
                  <w:noWrap w:val="0"/>
                  <w:vAlign w:val="center"/>
                </w:tcPr>
                <w:p w14:paraId="3E7D04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符合</w:t>
                  </w:r>
                </w:p>
              </w:tc>
            </w:tr>
          </w:tbl>
          <w:p w14:paraId="5FC9EDF7">
            <w:pPr>
              <w:keepNext w:val="0"/>
              <w:keepLines w:val="0"/>
              <w:pageBreakBefore w:val="0"/>
              <w:widowControl w:val="0"/>
              <w:numPr>
                <w:ilvl w:val="0"/>
                <w:numId w:val="3"/>
              </w:numPr>
              <w:kinsoku/>
              <w:wordWrap/>
              <w:overflowPunct/>
              <w:topLinePunct w:val="0"/>
              <w:autoSpaceDE/>
              <w:autoSpaceDN/>
              <w:bidi w:val="0"/>
              <w:adjustRightInd/>
              <w:snapToGrid/>
              <w:spacing w:line="360" w:lineRule="auto"/>
              <w:jc w:val="left"/>
              <w:textAlignment w:val="auto"/>
              <w:rPr>
                <w:rFonts w:hint="eastAsia" w:cs="Times New Roman"/>
                <w:b/>
                <w:color w:val="auto"/>
                <w:kern w:val="0"/>
                <w:sz w:val="21"/>
                <w:szCs w:val="21"/>
                <w:lang w:val="en-US" w:eastAsia="zh-CN"/>
              </w:rPr>
            </w:pPr>
            <w:r>
              <w:rPr>
                <w:rFonts w:hint="eastAsia" w:cs="Times New Roman"/>
                <w:b/>
                <w:color w:val="auto"/>
                <w:kern w:val="0"/>
                <w:sz w:val="21"/>
                <w:szCs w:val="21"/>
                <w:lang w:val="en-US" w:eastAsia="zh-CN"/>
              </w:rPr>
              <w:t>与相关环保政策符合性分析</w:t>
            </w:r>
          </w:p>
          <w:p w14:paraId="37AC0996">
            <w:pPr>
              <w:pStyle w:val="74"/>
              <w:keepNext w:val="0"/>
              <w:keepLines w:val="0"/>
              <w:pageBreakBefore w:val="0"/>
              <w:kinsoku/>
              <w:wordWrap/>
              <w:overflowPunct/>
              <w:topLinePunct w:val="0"/>
              <w:autoSpaceDE/>
              <w:autoSpaceDN/>
              <w:bidi w:val="0"/>
              <w:spacing w:line="240" w:lineRule="auto"/>
              <w:ind w:firstLine="0"/>
              <w:jc w:val="center"/>
              <w:textAlignment w:val="auto"/>
              <w:rPr>
                <w:rFonts w:hint="default" w:ascii="Times New Roman" w:hAnsi="Times New Roman" w:eastAsia="宋体" w:cs="Times New Roman"/>
                <w:b/>
                <w:bCs w:val="0"/>
                <w:color w:val="auto"/>
                <w:kern w:val="0"/>
                <w:sz w:val="21"/>
                <w:szCs w:val="21"/>
                <w:lang w:val="en-US" w:eastAsia="zh-CN" w:bidi="ar"/>
              </w:rPr>
            </w:pPr>
            <w:r>
              <w:rPr>
                <w:rFonts w:hint="default" w:ascii="Times New Roman" w:hAnsi="Times New Roman" w:eastAsia="黑体" w:cs="Times New Roman"/>
                <w:b w:val="0"/>
                <w:bCs/>
                <w:color w:val="auto"/>
                <w:kern w:val="0"/>
                <w:sz w:val="21"/>
                <w:szCs w:val="21"/>
                <w:lang w:val="en-US" w:eastAsia="zh-CN" w:bidi="ar"/>
              </w:rPr>
              <w:t>表1-</w:t>
            </w:r>
            <w:r>
              <w:rPr>
                <w:rFonts w:hint="eastAsia" w:ascii="Times New Roman" w:hAnsi="Times New Roman" w:eastAsia="黑体" w:cs="Times New Roman"/>
                <w:b w:val="0"/>
                <w:bCs/>
                <w:color w:val="auto"/>
                <w:kern w:val="0"/>
                <w:sz w:val="21"/>
                <w:szCs w:val="21"/>
                <w:lang w:val="en-US" w:eastAsia="zh-CN" w:bidi="ar"/>
              </w:rPr>
              <w:t>5</w:t>
            </w:r>
            <w:r>
              <w:rPr>
                <w:rFonts w:hint="default" w:ascii="Times New Roman" w:hAnsi="Times New Roman" w:eastAsia="黑体" w:cs="Times New Roman"/>
                <w:b w:val="0"/>
                <w:bCs/>
                <w:color w:val="auto"/>
                <w:kern w:val="0"/>
                <w:sz w:val="21"/>
                <w:szCs w:val="21"/>
                <w:lang w:val="en-US" w:eastAsia="zh-CN" w:bidi="ar"/>
              </w:rPr>
              <w:t>与相关环保政策单符合性分析表</w:t>
            </w:r>
          </w:p>
          <w:tbl>
            <w:tblPr>
              <w:tblStyle w:val="33"/>
              <w:tblW w:w="4998"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57" w:type="dxa"/>
                <w:left w:w="57" w:type="dxa"/>
                <w:bottom w:w="57" w:type="dxa"/>
                <w:right w:w="57" w:type="dxa"/>
              </w:tblCellMar>
            </w:tblPr>
            <w:tblGrid>
              <w:gridCol w:w="1273"/>
              <w:gridCol w:w="3284"/>
              <w:gridCol w:w="2212"/>
              <w:gridCol w:w="754"/>
            </w:tblGrid>
            <w:tr w14:paraId="1F6A4F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3028" w:type="pct"/>
                  <w:gridSpan w:val="2"/>
                  <w:tcBorders>
                    <w:tl2br w:val="nil"/>
                    <w:tr2bl w:val="nil"/>
                  </w:tcBorders>
                  <w:noWrap w:val="0"/>
                  <w:vAlign w:val="center"/>
                </w:tcPr>
                <w:p w14:paraId="46C7D039">
                  <w:pPr>
                    <w:spacing w:line="240" w:lineRule="auto"/>
                    <w:jc w:val="center"/>
                    <w:rPr>
                      <w:rFonts w:hint="default" w:ascii="Times New Roman" w:hAnsi="Times New Roman" w:eastAsia="黑体" w:cs="Times New Roman"/>
                      <w:b/>
                      <w:bCs/>
                      <w:color w:val="auto"/>
                      <w:sz w:val="18"/>
                      <w:szCs w:val="18"/>
                      <w:highlight w:val="green"/>
                    </w:rPr>
                  </w:pPr>
                  <w:r>
                    <w:rPr>
                      <w:rFonts w:ascii="Times New Roman" w:hAnsi="Times New Roman" w:eastAsia="宋体" w:cs="Times New Roman"/>
                      <w:b/>
                      <w:bCs/>
                      <w:color w:val="auto"/>
                      <w:sz w:val="18"/>
                      <w:szCs w:val="18"/>
                    </w:rPr>
                    <w:t>要求</w:t>
                  </w:r>
                </w:p>
              </w:tc>
              <w:tc>
                <w:tcPr>
                  <w:tcW w:w="1470" w:type="pct"/>
                  <w:tcBorders>
                    <w:tl2br w:val="nil"/>
                    <w:tr2bl w:val="nil"/>
                  </w:tcBorders>
                  <w:noWrap w:val="0"/>
                  <w:vAlign w:val="center"/>
                </w:tcPr>
                <w:p w14:paraId="6A64B4E6">
                  <w:pPr>
                    <w:spacing w:line="240" w:lineRule="auto"/>
                    <w:jc w:val="center"/>
                    <w:rPr>
                      <w:rFonts w:hint="eastAsia" w:ascii="Times New Roman" w:hAnsi="Times New Roman" w:eastAsia="宋体" w:cs="Times New Roman"/>
                      <w:b/>
                      <w:bCs/>
                      <w:color w:val="auto"/>
                      <w:sz w:val="18"/>
                      <w:szCs w:val="18"/>
                      <w:lang w:val="en-US" w:eastAsia="zh-CN"/>
                    </w:rPr>
                  </w:pPr>
                  <w:r>
                    <w:rPr>
                      <w:rFonts w:hint="eastAsia" w:ascii="Times New Roman" w:hAnsi="Times New Roman" w:eastAsia="宋体" w:cs="Times New Roman"/>
                      <w:b/>
                      <w:bCs/>
                      <w:color w:val="auto"/>
                      <w:sz w:val="18"/>
                      <w:szCs w:val="18"/>
                      <w:lang w:val="en-US" w:eastAsia="zh-CN"/>
                    </w:rPr>
                    <w:t>项目情况</w:t>
                  </w:r>
                </w:p>
              </w:tc>
              <w:tc>
                <w:tcPr>
                  <w:tcW w:w="501" w:type="pct"/>
                  <w:tcBorders>
                    <w:tl2br w:val="nil"/>
                    <w:tr2bl w:val="nil"/>
                  </w:tcBorders>
                  <w:noWrap w:val="0"/>
                  <w:vAlign w:val="center"/>
                </w:tcPr>
                <w:p w14:paraId="0CEF7987">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eastAsia" w:ascii="Times New Roman" w:hAnsi="Times New Roman" w:eastAsia="宋体" w:cs="Times New Roman"/>
                      <w:b/>
                      <w:bCs/>
                      <w:color w:val="auto"/>
                      <w:sz w:val="18"/>
                      <w:szCs w:val="18"/>
                      <w:lang w:val="en-US" w:eastAsia="zh-CN"/>
                    </w:rPr>
                  </w:pPr>
                  <w:r>
                    <w:rPr>
                      <w:rFonts w:hint="eastAsia" w:ascii="Times New Roman" w:hAnsi="Times New Roman" w:eastAsia="宋体" w:cs="Times New Roman"/>
                      <w:b/>
                      <w:bCs/>
                      <w:color w:val="auto"/>
                      <w:sz w:val="18"/>
                      <w:szCs w:val="18"/>
                      <w:lang w:val="en-US" w:eastAsia="zh-CN"/>
                    </w:rPr>
                    <w:t>符合性</w:t>
                  </w:r>
                </w:p>
              </w:tc>
            </w:tr>
            <w:tr w14:paraId="790AD0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999" w:hRule="atLeast"/>
              </w:trPr>
              <w:tc>
                <w:tcPr>
                  <w:tcW w:w="846" w:type="pct"/>
                  <w:vMerge w:val="restart"/>
                  <w:tcBorders>
                    <w:tl2br w:val="nil"/>
                    <w:tr2bl w:val="nil"/>
                  </w:tcBorders>
                  <w:noWrap w:val="0"/>
                  <w:vAlign w:val="center"/>
                </w:tcPr>
                <w:p w14:paraId="36153A6D">
                  <w:pPr>
                    <w:keepNext w:val="0"/>
                    <w:keepLines w:val="0"/>
                    <w:pageBreakBefore w:val="0"/>
                    <w:widowControl w:val="0"/>
                    <w:kinsoku/>
                    <w:wordWrap/>
                    <w:overflowPunct/>
                    <w:topLinePunct w:val="0"/>
                    <w:autoSpaceDE/>
                    <w:autoSpaceDN/>
                    <w:bidi w:val="0"/>
                    <w:adjustRightInd w:val="0"/>
                    <w:snapToGrid w:val="0"/>
                    <w:spacing w:line="288" w:lineRule="auto"/>
                    <w:ind w:left="0" w:leftChars="0" w:right="0" w:rightChars="0" w:firstLine="0" w:firstLineChars="0"/>
                    <w:jc w:val="center"/>
                    <w:textAlignment w:val="auto"/>
                    <w:rPr>
                      <w:rFonts w:hint="default" w:ascii="Times New Roman" w:hAnsi="Times New Roman" w:eastAsia="黑体" w:cs="Times New Roman"/>
                      <w:b/>
                      <w:color w:val="auto"/>
                      <w:sz w:val="18"/>
                      <w:szCs w:val="18"/>
                    </w:rPr>
                  </w:pPr>
                  <w:r>
                    <w:rPr>
                      <w:rFonts w:hint="default" w:ascii="Times New Roman" w:hAnsi="Times New Roman" w:eastAsia="宋体" w:cs="Times New Roman"/>
                      <w:color w:val="auto"/>
                      <w:sz w:val="18"/>
                      <w:szCs w:val="18"/>
                      <w:lang w:val="en-US" w:eastAsia="zh-CN"/>
                    </w:rPr>
                    <w:t>《新疆维吾尔自治区大气污染防治条例》</w:t>
                  </w:r>
                </w:p>
              </w:tc>
              <w:tc>
                <w:tcPr>
                  <w:tcW w:w="2182" w:type="pct"/>
                  <w:tcBorders>
                    <w:tl2br w:val="nil"/>
                    <w:tr2bl w:val="nil"/>
                  </w:tcBorders>
                  <w:noWrap w:val="0"/>
                  <w:vAlign w:val="center"/>
                </w:tcPr>
                <w:p w14:paraId="544B043E">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color w:val="auto"/>
                      <w:sz w:val="18"/>
                      <w:szCs w:val="18"/>
                      <w:lang w:val="en-US" w:eastAsia="zh-CN"/>
                    </w:rPr>
                  </w:pPr>
                  <w:r>
                    <w:rPr>
                      <w:rFonts w:hint="default"/>
                      <w:color w:val="auto"/>
                      <w:sz w:val="18"/>
                      <w:szCs w:val="18"/>
                      <w:lang w:val="en-US" w:eastAsia="zh-CN"/>
                    </w:rPr>
                    <w:t>禁止在自治区行政区域内引进能（水）耗不符合相关国家标准中准入值要求且污染物排放和环境风险防控不符合国家（地方）标准及有关产业准入条件的高污染（排放）、高能（水）耗、高环境风险的工业项目。</w:t>
                  </w:r>
                </w:p>
              </w:tc>
              <w:tc>
                <w:tcPr>
                  <w:tcW w:w="1470" w:type="pct"/>
                  <w:tcBorders>
                    <w:tl2br w:val="nil"/>
                    <w:tr2bl w:val="nil"/>
                  </w:tcBorders>
                  <w:noWrap w:val="0"/>
                  <w:vAlign w:val="center"/>
                </w:tcPr>
                <w:p w14:paraId="094DEB7F">
                  <w:pPr>
                    <w:keepNext w:val="0"/>
                    <w:keepLines w:val="0"/>
                    <w:pageBreakBefore w:val="0"/>
                    <w:widowControl w:val="0"/>
                    <w:kinsoku/>
                    <w:wordWrap/>
                    <w:overflowPunct/>
                    <w:topLinePunct w:val="0"/>
                    <w:autoSpaceDE/>
                    <w:autoSpaceDN/>
                    <w:bidi w:val="0"/>
                    <w:adjustRightInd w:val="0"/>
                    <w:snapToGrid w:val="0"/>
                    <w:spacing w:line="288" w:lineRule="auto"/>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本项目不属于</w:t>
                  </w:r>
                  <w:r>
                    <w:rPr>
                      <w:rFonts w:hint="default"/>
                      <w:color w:val="auto"/>
                      <w:sz w:val="18"/>
                      <w:szCs w:val="18"/>
                      <w:lang w:val="en-US" w:eastAsia="zh-CN"/>
                    </w:rPr>
                    <w:t>污染（排放）、高能（水）耗、高环境风险的工业项目</w:t>
                  </w:r>
                </w:p>
              </w:tc>
              <w:tc>
                <w:tcPr>
                  <w:tcW w:w="501" w:type="pct"/>
                  <w:tcBorders>
                    <w:tl2br w:val="nil"/>
                    <w:tr2bl w:val="nil"/>
                  </w:tcBorders>
                  <w:noWrap w:val="0"/>
                  <w:vAlign w:val="center"/>
                </w:tcPr>
                <w:p w14:paraId="27EAC9A9">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color w:val="auto"/>
                      <w:kern w:val="2"/>
                      <w:sz w:val="18"/>
                      <w:szCs w:val="18"/>
                      <w:lang w:val="en-US" w:eastAsia="zh-CN" w:bidi="ar-SA"/>
                    </w:rPr>
                  </w:pPr>
                  <w:r>
                    <w:rPr>
                      <w:rFonts w:ascii="Times New Roman" w:hAnsi="Times New Roman" w:eastAsia="宋体" w:cs="Times New Roman"/>
                      <w:color w:val="auto"/>
                      <w:sz w:val="18"/>
                      <w:szCs w:val="18"/>
                    </w:rPr>
                    <w:t>符合</w:t>
                  </w:r>
                </w:p>
              </w:tc>
            </w:tr>
            <w:tr w14:paraId="7D1AEB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999" w:hRule="atLeast"/>
              </w:trPr>
              <w:tc>
                <w:tcPr>
                  <w:tcW w:w="846" w:type="pct"/>
                  <w:vMerge w:val="continue"/>
                  <w:tcBorders>
                    <w:tl2br w:val="nil"/>
                    <w:tr2bl w:val="nil"/>
                  </w:tcBorders>
                  <w:noWrap w:val="0"/>
                  <w:vAlign w:val="center"/>
                </w:tcPr>
                <w:p w14:paraId="62ECFAF9">
                  <w:pPr>
                    <w:keepNext w:val="0"/>
                    <w:keepLines w:val="0"/>
                    <w:pageBreakBefore w:val="0"/>
                    <w:widowControl w:val="0"/>
                    <w:kinsoku/>
                    <w:wordWrap/>
                    <w:overflowPunct/>
                    <w:topLinePunct w:val="0"/>
                    <w:autoSpaceDE/>
                    <w:autoSpaceDN/>
                    <w:bidi w:val="0"/>
                    <w:adjustRightInd w:val="0"/>
                    <w:snapToGrid w:val="0"/>
                    <w:spacing w:line="288" w:lineRule="auto"/>
                    <w:ind w:left="0" w:leftChars="0" w:right="0" w:rightChars="0" w:firstLine="0" w:firstLineChars="0"/>
                    <w:jc w:val="center"/>
                    <w:textAlignment w:val="auto"/>
                    <w:rPr>
                      <w:rFonts w:hint="default" w:ascii="Times New Roman" w:hAnsi="Times New Roman" w:eastAsia="宋体" w:cs="Times New Roman"/>
                      <w:color w:val="auto"/>
                      <w:sz w:val="18"/>
                      <w:szCs w:val="18"/>
                      <w:lang w:val="en-US" w:eastAsia="zh-CN"/>
                    </w:rPr>
                  </w:pPr>
                </w:p>
              </w:tc>
              <w:tc>
                <w:tcPr>
                  <w:tcW w:w="2182" w:type="pct"/>
                  <w:tcBorders>
                    <w:tl2br w:val="nil"/>
                    <w:tr2bl w:val="nil"/>
                  </w:tcBorders>
                  <w:noWrap w:val="0"/>
                  <w:vAlign w:val="center"/>
                </w:tcPr>
                <w:p w14:paraId="20681CF2">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color w:val="auto"/>
                      <w:sz w:val="18"/>
                      <w:szCs w:val="18"/>
                      <w:lang w:val="en-US" w:eastAsia="zh-CN"/>
                    </w:rPr>
                  </w:pPr>
                  <w:r>
                    <w:rPr>
                      <w:rFonts w:hint="default"/>
                      <w:color w:val="auto"/>
                      <w:sz w:val="18"/>
                      <w:szCs w:val="18"/>
                      <w:lang w:val="en-US" w:eastAsia="zh-CN"/>
                    </w:rPr>
                    <w:t>禁止新建、改建、扩建列入淘汰类目录的高污染工业项目。禁止使用列入淘汰类目录的工艺、设备、产品。</w:t>
                  </w:r>
                </w:p>
              </w:tc>
              <w:tc>
                <w:tcPr>
                  <w:tcW w:w="1470" w:type="pct"/>
                  <w:tcBorders>
                    <w:tl2br w:val="nil"/>
                    <w:tr2bl w:val="nil"/>
                  </w:tcBorders>
                  <w:noWrap w:val="0"/>
                  <w:vAlign w:val="center"/>
                </w:tcPr>
                <w:p w14:paraId="7DDEFC89">
                  <w:pPr>
                    <w:keepNext w:val="0"/>
                    <w:keepLines w:val="0"/>
                    <w:pageBreakBefore w:val="0"/>
                    <w:widowControl w:val="0"/>
                    <w:kinsoku/>
                    <w:wordWrap/>
                    <w:overflowPunct/>
                    <w:topLinePunct w:val="0"/>
                    <w:autoSpaceDE/>
                    <w:autoSpaceDN/>
                    <w:bidi w:val="0"/>
                    <w:adjustRightInd w:val="0"/>
                    <w:snapToGrid w:val="0"/>
                    <w:spacing w:line="288" w:lineRule="auto"/>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本项目为允许类项目，符合国家产业政策</w:t>
                  </w:r>
                </w:p>
              </w:tc>
              <w:tc>
                <w:tcPr>
                  <w:tcW w:w="501" w:type="pct"/>
                  <w:tcBorders>
                    <w:tl2br w:val="nil"/>
                    <w:tr2bl w:val="nil"/>
                  </w:tcBorders>
                  <w:noWrap w:val="0"/>
                  <w:vAlign w:val="center"/>
                </w:tcPr>
                <w:p w14:paraId="110A5607">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符合</w:t>
                  </w:r>
                </w:p>
              </w:tc>
            </w:tr>
            <w:tr w14:paraId="7812BE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restart"/>
                  <w:tcBorders>
                    <w:tl2br w:val="nil"/>
                    <w:tr2bl w:val="nil"/>
                  </w:tcBorders>
                  <w:noWrap w:val="0"/>
                  <w:vAlign w:val="center"/>
                </w:tcPr>
                <w:p w14:paraId="4E2C496A">
                  <w:pPr>
                    <w:keepNext w:val="0"/>
                    <w:keepLines w:val="0"/>
                    <w:pageBreakBefore w:val="0"/>
                    <w:widowControl w:val="0"/>
                    <w:kinsoku/>
                    <w:wordWrap/>
                    <w:overflowPunct/>
                    <w:topLinePunct w:val="0"/>
                    <w:autoSpaceDE/>
                    <w:autoSpaceDN/>
                    <w:bidi w:val="0"/>
                    <w:adjustRightInd w:val="0"/>
                    <w:snapToGrid w:val="0"/>
                    <w:spacing w:line="288" w:lineRule="auto"/>
                    <w:ind w:left="0" w:leftChars="0" w:right="0" w:rightChars="0"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《新疆维吾尔自治区水污染防治工作方案》（新政发〔2016〕21号）</w:t>
                  </w:r>
                </w:p>
              </w:tc>
              <w:tc>
                <w:tcPr>
                  <w:tcW w:w="2182" w:type="pct"/>
                  <w:tcBorders>
                    <w:tl2br w:val="nil"/>
                    <w:tr2bl w:val="nil"/>
                  </w:tcBorders>
                  <w:noWrap w:val="0"/>
                  <w:vAlign w:val="center"/>
                </w:tcPr>
                <w:p w14:paraId="5F22D5AE">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新建污染企业应进入相应的工业集聚区。工业集聚区内工业废水必须经预处理达到集中处理要求，方可进入污水集中处理设施。工业集聚区已经建成的集中污水处理处置设施要正常稳定运行。</w:t>
                  </w:r>
                </w:p>
              </w:tc>
              <w:tc>
                <w:tcPr>
                  <w:tcW w:w="1470" w:type="pct"/>
                  <w:tcBorders>
                    <w:tl2br w:val="nil"/>
                    <w:tr2bl w:val="nil"/>
                  </w:tcBorders>
                  <w:noWrap w:val="0"/>
                  <w:vAlign w:val="center"/>
                </w:tcPr>
                <w:p w14:paraId="2CA1DF03">
                  <w:pPr>
                    <w:keepNext w:val="0"/>
                    <w:keepLines w:val="0"/>
                    <w:pageBreakBefore w:val="0"/>
                    <w:widowControl w:val="0"/>
                    <w:kinsoku/>
                    <w:wordWrap/>
                    <w:overflowPunct/>
                    <w:topLinePunct w:val="0"/>
                    <w:autoSpaceDE/>
                    <w:autoSpaceDN/>
                    <w:bidi w:val="0"/>
                    <w:adjustRightInd w:val="0"/>
                    <w:snapToGrid w:val="0"/>
                    <w:spacing w:line="288" w:lineRule="auto"/>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本项目酸性废水处理站</w:t>
                  </w:r>
                  <w:r>
                    <w:rPr>
                      <w:rFonts w:hint="default" w:ascii="Times New Roman" w:hAnsi="Times New Roman" w:cs="Times New Roman"/>
                      <w:color w:val="auto"/>
                      <w:sz w:val="18"/>
                      <w:szCs w:val="18"/>
                    </w:rPr>
                    <w:t>水</w:t>
                  </w:r>
                  <w:r>
                    <w:rPr>
                      <w:rFonts w:hint="default" w:ascii="Times New Roman" w:hAnsi="Times New Roman" w:cs="Times New Roman"/>
                      <w:color w:val="auto"/>
                      <w:sz w:val="18"/>
                      <w:szCs w:val="18"/>
                      <w:lang w:val="en-US" w:eastAsia="zh-CN"/>
                    </w:rPr>
                    <w:t>排水</w:t>
                  </w:r>
                  <w:r>
                    <w:rPr>
                      <w:rFonts w:hint="default" w:ascii="Times New Roman" w:hAnsi="Times New Roman" w:cs="Times New Roman"/>
                      <w:color w:val="auto"/>
                      <w:sz w:val="18"/>
                      <w:szCs w:val="18"/>
                    </w:rPr>
                    <w:t>，与</w:t>
                  </w:r>
                  <w:r>
                    <w:rPr>
                      <w:rFonts w:hint="default" w:ascii="Times New Roman" w:hAnsi="Times New Roman" w:cs="Times New Roman"/>
                      <w:color w:val="auto"/>
                      <w:sz w:val="18"/>
                      <w:szCs w:val="18"/>
                      <w:lang w:val="en-US" w:eastAsia="zh-CN"/>
                    </w:rPr>
                    <w:t>脱盐水系统排污水、</w:t>
                  </w:r>
                  <w:r>
                    <w:rPr>
                      <w:rFonts w:hint="default" w:ascii="Times New Roman" w:hAnsi="Times New Roman" w:cs="Times New Roman"/>
                      <w:color w:val="auto"/>
                      <w:sz w:val="18"/>
                      <w:szCs w:val="18"/>
                    </w:rPr>
                    <w:t>锅炉排污水、</w:t>
                  </w:r>
                  <w:r>
                    <w:rPr>
                      <w:rFonts w:hint="default" w:ascii="Times New Roman" w:hAnsi="Times New Roman" w:cs="Times New Roman"/>
                      <w:color w:val="auto"/>
                      <w:sz w:val="18"/>
                      <w:szCs w:val="18"/>
                      <w:lang w:val="en-US" w:eastAsia="zh-CN"/>
                    </w:rPr>
                    <w:t>净循环水系统排污水、</w:t>
                  </w:r>
                  <w:r>
                    <w:rPr>
                      <w:rFonts w:hint="default" w:ascii="Times New Roman" w:hAnsi="Times New Roman" w:cs="Times New Roman"/>
                      <w:color w:val="auto"/>
                      <w:sz w:val="18"/>
                      <w:szCs w:val="18"/>
                    </w:rPr>
                    <w:t>生活污水一起经污水管网排至</w:t>
                  </w:r>
                  <w:r>
                    <w:rPr>
                      <w:rFonts w:hint="default" w:ascii="Times New Roman" w:hAnsi="Times New Roman" w:cs="Times New Roman"/>
                      <w:color w:val="auto"/>
                      <w:sz w:val="18"/>
                      <w:szCs w:val="18"/>
                      <w:lang w:val="en-US" w:eastAsia="zh-CN"/>
                    </w:rPr>
                    <w:t>园区</w:t>
                  </w:r>
                  <w:r>
                    <w:rPr>
                      <w:rFonts w:hint="default" w:ascii="Times New Roman" w:hAnsi="Times New Roman" w:cs="Times New Roman"/>
                      <w:color w:val="auto"/>
                      <w:sz w:val="18"/>
                      <w:szCs w:val="18"/>
                    </w:rPr>
                    <w:t>污水处理厂</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昌吉高新海天污水处理厂</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深度处理</w:t>
                  </w:r>
                </w:p>
              </w:tc>
              <w:tc>
                <w:tcPr>
                  <w:tcW w:w="501" w:type="pct"/>
                  <w:tcBorders>
                    <w:tl2br w:val="nil"/>
                    <w:tr2bl w:val="nil"/>
                  </w:tcBorders>
                  <w:noWrap w:val="0"/>
                  <w:vAlign w:val="center"/>
                </w:tcPr>
                <w:p w14:paraId="4DB0B7FE">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符合</w:t>
                  </w:r>
                </w:p>
              </w:tc>
            </w:tr>
            <w:tr w14:paraId="683F96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continue"/>
                  <w:tcBorders>
                    <w:tl2br w:val="nil"/>
                    <w:tr2bl w:val="nil"/>
                  </w:tcBorders>
                  <w:noWrap w:val="0"/>
                  <w:vAlign w:val="center"/>
                </w:tcPr>
                <w:p w14:paraId="4C5F4140">
                  <w:pPr>
                    <w:keepNext w:val="0"/>
                    <w:keepLines w:val="0"/>
                    <w:pageBreakBefore w:val="0"/>
                    <w:widowControl w:val="0"/>
                    <w:kinsoku/>
                    <w:wordWrap/>
                    <w:overflowPunct/>
                    <w:topLinePunct w:val="0"/>
                    <w:autoSpaceDE/>
                    <w:autoSpaceDN/>
                    <w:bidi w:val="0"/>
                    <w:adjustRightInd w:val="0"/>
                    <w:snapToGrid w:val="0"/>
                    <w:spacing w:line="288" w:lineRule="auto"/>
                    <w:ind w:left="0" w:leftChars="0" w:right="0" w:rightChars="0" w:firstLine="0" w:firstLineChars="0"/>
                    <w:jc w:val="center"/>
                    <w:textAlignment w:val="auto"/>
                    <w:rPr>
                      <w:rFonts w:hint="default" w:ascii="Times New Roman" w:hAnsi="Times New Roman" w:eastAsia="宋体" w:cs="Times New Roman"/>
                      <w:color w:val="auto"/>
                      <w:sz w:val="18"/>
                      <w:szCs w:val="18"/>
                      <w:lang w:val="en-US" w:eastAsia="zh-CN"/>
                    </w:rPr>
                  </w:pPr>
                </w:p>
              </w:tc>
              <w:tc>
                <w:tcPr>
                  <w:tcW w:w="2182" w:type="pct"/>
                  <w:tcBorders>
                    <w:tl2br w:val="nil"/>
                    <w:tr2bl w:val="nil"/>
                  </w:tcBorders>
                  <w:noWrap w:val="0"/>
                  <w:vAlign w:val="center"/>
                </w:tcPr>
                <w:p w14:paraId="70CA7BD7">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严格执行建设项目环评审批与区域环境质量、污染减排绩效挂钩制度，实行主要污染物总量平衡和替代削减政策。</w:t>
                  </w:r>
                </w:p>
              </w:tc>
              <w:tc>
                <w:tcPr>
                  <w:tcW w:w="1470" w:type="pct"/>
                  <w:tcBorders>
                    <w:tl2br w:val="nil"/>
                    <w:tr2bl w:val="nil"/>
                  </w:tcBorders>
                  <w:shd w:val="clear" w:color="auto" w:fill="auto"/>
                  <w:noWrap w:val="0"/>
                  <w:vAlign w:val="center"/>
                </w:tcPr>
                <w:p w14:paraId="36C817BA">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0" w:leftChars="0" w:firstLine="0" w:firstLineChars="0"/>
                    <w:jc w:val="both"/>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本项目严格执行环评制度，按照要求进行总量控制</w:t>
                  </w:r>
                </w:p>
              </w:tc>
              <w:tc>
                <w:tcPr>
                  <w:tcW w:w="501" w:type="pct"/>
                  <w:tcBorders>
                    <w:tl2br w:val="nil"/>
                    <w:tr2bl w:val="nil"/>
                  </w:tcBorders>
                  <w:noWrap w:val="0"/>
                  <w:vAlign w:val="center"/>
                </w:tcPr>
                <w:p w14:paraId="79DD407B">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符合</w:t>
                  </w:r>
                </w:p>
              </w:tc>
            </w:tr>
            <w:tr w14:paraId="4AE7F1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continue"/>
                  <w:tcBorders>
                    <w:tl2br w:val="nil"/>
                    <w:tr2bl w:val="nil"/>
                  </w:tcBorders>
                  <w:noWrap w:val="0"/>
                  <w:vAlign w:val="center"/>
                </w:tcPr>
                <w:p w14:paraId="13ABB6CF">
                  <w:pPr>
                    <w:keepNext w:val="0"/>
                    <w:keepLines w:val="0"/>
                    <w:pageBreakBefore w:val="0"/>
                    <w:widowControl w:val="0"/>
                    <w:kinsoku/>
                    <w:wordWrap/>
                    <w:overflowPunct/>
                    <w:topLinePunct w:val="0"/>
                    <w:autoSpaceDE/>
                    <w:autoSpaceDN/>
                    <w:bidi w:val="0"/>
                    <w:adjustRightInd w:val="0"/>
                    <w:snapToGrid w:val="0"/>
                    <w:spacing w:line="288" w:lineRule="auto"/>
                    <w:ind w:left="0" w:leftChars="0" w:right="0" w:rightChars="0" w:firstLine="0" w:firstLineChars="0"/>
                    <w:jc w:val="center"/>
                    <w:textAlignment w:val="auto"/>
                    <w:rPr>
                      <w:rFonts w:hint="default" w:ascii="Times New Roman" w:hAnsi="Times New Roman" w:eastAsia="宋体" w:cs="Times New Roman"/>
                      <w:color w:val="auto"/>
                      <w:sz w:val="18"/>
                      <w:szCs w:val="18"/>
                      <w:lang w:val="en-US" w:eastAsia="zh-CN"/>
                    </w:rPr>
                  </w:pPr>
                </w:p>
              </w:tc>
              <w:tc>
                <w:tcPr>
                  <w:tcW w:w="2182" w:type="pct"/>
                  <w:tcBorders>
                    <w:tl2br w:val="nil"/>
                    <w:tr2bl w:val="nil"/>
                  </w:tcBorders>
                  <w:noWrap w:val="0"/>
                  <w:vAlign w:val="center"/>
                </w:tcPr>
                <w:p w14:paraId="43EFCE33">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依据国家鼓励和淘汰的用水技术、工艺、产品和设备目录，加大工业节水先进技术的推广应用，加快落后技术、设备的淘汰退出。研究制定一批工业节水地方标准，推动重点行业开展企业用水定额对标工作。开展节水诊断、水平衡测试、用水效率评估，严格取用水定额管理。</w:t>
                  </w:r>
                </w:p>
              </w:tc>
              <w:tc>
                <w:tcPr>
                  <w:tcW w:w="1470" w:type="pct"/>
                  <w:tcBorders>
                    <w:tl2br w:val="nil"/>
                    <w:tr2bl w:val="nil"/>
                  </w:tcBorders>
                  <w:noWrap w:val="0"/>
                  <w:vAlign w:val="center"/>
                </w:tcPr>
                <w:p w14:paraId="010B0FE6">
                  <w:pPr>
                    <w:keepNext w:val="0"/>
                    <w:keepLines w:val="0"/>
                    <w:pageBreakBefore w:val="0"/>
                    <w:widowControl w:val="0"/>
                    <w:kinsoku/>
                    <w:wordWrap/>
                    <w:overflowPunct/>
                    <w:topLinePunct w:val="0"/>
                    <w:autoSpaceDE/>
                    <w:autoSpaceDN/>
                    <w:bidi w:val="0"/>
                    <w:adjustRightInd w:val="0"/>
                    <w:snapToGrid w:val="0"/>
                    <w:spacing w:line="288" w:lineRule="auto"/>
                    <w:jc w:val="both"/>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本项目工艺、技术均不属于淘汰类</w:t>
                  </w:r>
                </w:p>
              </w:tc>
              <w:tc>
                <w:tcPr>
                  <w:tcW w:w="501" w:type="pct"/>
                  <w:tcBorders>
                    <w:tl2br w:val="nil"/>
                    <w:tr2bl w:val="nil"/>
                  </w:tcBorders>
                  <w:noWrap w:val="0"/>
                  <w:vAlign w:val="center"/>
                </w:tcPr>
                <w:p w14:paraId="686B90A8">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符合</w:t>
                  </w:r>
                </w:p>
              </w:tc>
            </w:tr>
            <w:tr w14:paraId="7CD4CA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1304" w:hRule="atLeast"/>
              </w:trPr>
              <w:tc>
                <w:tcPr>
                  <w:tcW w:w="846" w:type="pct"/>
                  <w:vMerge w:val="restart"/>
                  <w:tcBorders>
                    <w:tl2br w:val="nil"/>
                    <w:tr2bl w:val="nil"/>
                  </w:tcBorders>
                  <w:noWrap w:val="0"/>
                  <w:vAlign w:val="center"/>
                </w:tcPr>
                <w:p w14:paraId="1124ED0B">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b w:val="0"/>
                      <w:bCs/>
                      <w:color w:val="auto"/>
                      <w:spacing w:val="4"/>
                      <w:sz w:val="18"/>
                      <w:szCs w:val="18"/>
                      <w:highlight w:val="none"/>
                    </w:rPr>
                  </w:pPr>
                  <w:r>
                    <w:rPr>
                      <w:rFonts w:hint="default" w:ascii="Times New Roman" w:hAnsi="Times New Roman" w:eastAsia="宋体" w:cs="Times New Roman"/>
                      <w:b w:val="0"/>
                      <w:bCs/>
                      <w:color w:val="auto"/>
                      <w:spacing w:val="4"/>
                      <w:sz w:val="18"/>
                      <w:szCs w:val="18"/>
                      <w:highlight w:val="none"/>
                    </w:rPr>
                    <w:t>《新疆维吾尔自治区土壤污染防治条例》</w:t>
                  </w:r>
                </w:p>
              </w:tc>
              <w:tc>
                <w:tcPr>
                  <w:tcW w:w="2182" w:type="pct"/>
                  <w:tcBorders>
                    <w:tl2br w:val="nil"/>
                    <w:tr2bl w:val="nil"/>
                  </w:tcBorders>
                  <w:noWrap w:val="0"/>
                  <w:vAlign w:val="center"/>
                </w:tcPr>
                <w:p w14:paraId="15ED2CD6">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严格用地准入。将建设用地土壤环境管理要求纳入城市规划和供地管理，土地开发利用必须符合土壤环境质量要求。</w:t>
                  </w:r>
                </w:p>
              </w:tc>
              <w:tc>
                <w:tcPr>
                  <w:tcW w:w="1470" w:type="pct"/>
                  <w:tcBorders>
                    <w:tl2br w:val="nil"/>
                    <w:tr2bl w:val="nil"/>
                  </w:tcBorders>
                  <w:noWrap w:val="0"/>
                  <w:vAlign w:val="center"/>
                </w:tcPr>
                <w:p w14:paraId="384DE6DD">
                  <w:pPr>
                    <w:pStyle w:val="53"/>
                    <w:keepNext w:val="0"/>
                    <w:keepLines w:val="0"/>
                    <w:pageBreakBefore w:val="0"/>
                    <w:widowControl w:val="0"/>
                    <w:kinsoku/>
                    <w:wordWrap/>
                    <w:overflowPunct/>
                    <w:topLinePunct w:val="0"/>
                    <w:autoSpaceDE/>
                    <w:autoSpaceDN/>
                    <w:bidi w:val="0"/>
                    <w:adjustRightInd w:val="0"/>
                    <w:snapToGrid w:val="0"/>
                    <w:spacing w:line="288" w:lineRule="auto"/>
                    <w:jc w:val="both"/>
                    <w:textAlignment w:val="auto"/>
                    <w:rPr>
                      <w:rFonts w:hint="default"/>
                      <w:color w:val="auto"/>
                      <w:sz w:val="18"/>
                      <w:szCs w:val="18"/>
                      <w:lang w:val="en-US" w:eastAsia="zh-CN"/>
                    </w:rPr>
                  </w:pPr>
                  <w:r>
                    <w:rPr>
                      <w:rFonts w:hint="eastAsia"/>
                      <w:color w:val="auto"/>
                      <w:sz w:val="18"/>
                      <w:szCs w:val="18"/>
                      <w:lang w:val="en-US" w:eastAsia="zh-CN"/>
                    </w:rPr>
                    <w:t>本项目符合土地利用规划</w:t>
                  </w:r>
                </w:p>
              </w:tc>
              <w:tc>
                <w:tcPr>
                  <w:tcW w:w="501" w:type="pct"/>
                  <w:tcBorders>
                    <w:tl2br w:val="nil"/>
                    <w:tr2bl w:val="nil"/>
                  </w:tcBorders>
                  <w:noWrap w:val="0"/>
                  <w:vAlign w:val="center"/>
                </w:tcPr>
                <w:p w14:paraId="5F649788">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符合</w:t>
                  </w:r>
                </w:p>
              </w:tc>
            </w:tr>
            <w:tr w14:paraId="5415C3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continue"/>
                  <w:tcBorders>
                    <w:tl2br w:val="nil"/>
                    <w:tr2bl w:val="nil"/>
                  </w:tcBorders>
                  <w:noWrap w:val="0"/>
                  <w:vAlign w:val="center"/>
                </w:tcPr>
                <w:p w14:paraId="67788FDA">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b w:val="0"/>
                      <w:bCs/>
                      <w:color w:val="auto"/>
                      <w:spacing w:val="4"/>
                      <w:sz w:val="18"/>
                      <w:szCs w:val="18"/>
                      <w:highlight w:val="none"/>
                    </w:rPr>
                  </w:pPr>
                </w:p>
              </w:tc>
              <w:tc>
                <w:tcPr>
                  <w:tcW w:w="2182" w:type="pct"/>
                  <w:tcBorders>
                    <w:tl2br w:val="nil"/>
                    <w:tr2bl w:val="nil"/>
                  </w:tcBorders>
                  <w:noWrap w:val="0"/>
                  <w:vAlign w:val="center"/>
                </w:tcPr>
                <w:p w14:paraId="04B6840F">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防范建设用地新增污染。排放重点污染物的建设项目，在开展环境影响评价时，要增加对土壤环境影响的评价内容，并提出防范土壤污染的具体措施；需要建设的土壤污染防治设施，要与主体工程同时设计、同时施工、同时投产使用。</w:t>
                  </w:r>
                </w:p>
              </w:tc>
              <w:tc>
                <w:tcPr>
                  <w:tcW w:w="1470" w:type="pct"/>
                  <w:tcBorders>
                    <w:tl2br w:val="nil"/>
                    <w:tr2bl w:val="nil"/>
                  </w:tcBorders>
                  <w:noWrap w:val="0"/>
                  <w:vAlign w:val="center"/>
                </w:tcPr>
                <w:p w14:paraId="12BA17D3">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cs="Times New Roman"/>
                      <w:color w:val="auto"/>
                      <w:sz w:val="18"/>
                      <w:szCs w:val="18"/>
                      <w:lang w:val="en-US" w:eastAsia="zh-CN"/>
                    </w:rPr>
                  </w:pPr>
                  <w:r>
                    <w:rPr>
                      <w:rFonts w:hint="eastAsia" w:cs="Times New Roman"/>
                      <w:color w:val="auto"/>
                      <w:sz w:val="18"/>
                      <w:szCs w:val="18"/>
                      <w:lang w:val="en-US" w:eastAsia="zh-CN"/>
                    </w:rPr>
                    <w:t>本项目按照要求进行进行防渗</w:t>
                  </w:r>
                </w:p>
              </w:tc>
              <w:tc>
                <w:tcPr>
                  <w:tcW w:w="501" w:type="pct"/>
                  <w:tcBorders>
                    <w:tl2br w:val="nil"/>
                    <w:tr2bl w:val="nil"/>
                  </w:tcBorders>
                  <w:noWrap w:val="0"/>
                  <w:vAlign w:val="center"/>
                </w:tcPr>
                <w:p w14:paraId="0779DCB1">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符合</w:t>
                  </w:r>
                </w:p>
              </w:tc>
            </w:tr>
            <w:tr w14:paraId="5A6A1F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continue"/>
                  <w:tcBorders>
                    <w:tl2br w:val="nil"/>
                    <w:tr2bl w:val="nil"/>
                  </w:tcBorders>
                  <w:noWrap w:val="0"/>
                  <w:vAlign w:val="center"/>
                </w:tcPr>
                <w:p w14:paraId="3B79AE15">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b w:val="0"/>
                      <w:bCs/>
                      <w:color w:val="auto"/>
                      <w:spacing w:val="4"/>
                      <w:sz w:val="18"/>
                      <w:szCs w:val="18"/>
                      <w:highlight w:val="none"/>
                    </w:rPr>
                  </w:pPr>
                </w:p>
              </w:tc>
              <w:tc>
                <w:tcPr>
                  <w:tcW w:w="2182" w:type="pct"/>
                  <w:tcBorders>
                    <w:tl2br w:val="nil"/>
                    <w:tr2bl w:val="nil"/>
                  </w:tcBorders>
                  <w:noWrap w:val="0"/>
                  <w:vAlign w:val="center"/>
                </w:tcPr>
                <w:p w14:paraId="10B4089C">
                  <w:pPr>
                    <w:keepNext w:val="0"/>
                    <w:keepLines w:val="0"/>
                    <w:widowControl/>
                    <w:suppressLineNumbers w:val="0"/>
                    <w:jc w:val="left"/>
                    <w:rPr>
                      <w:rFonts w:hint="default" w:ascii="Times New Roman" w:hAnsi="Times New Roman" w:eastAsia="宋体" w:cs="Times New Roman"/>
                      <w:color w:val="auto"/>
                      <w:sz w:val="18"/>
                      <w:szCs w:val="18"/>
                      <w:lang w:val="en-US" w:eastAsia="zh-CN"/>
                    </w:rPr>
                  </w:pPr>
                  <w:r>
                    <w:rPr>
                      <w:rFonts w:hint="eastAsia" w:ascii="宋体" w:hAnsi="宋体" w:eastAsia="宋体" w:cs="宋体"/>
                      <w:color w:val="auto"/>
                      <w:kern w:val="0"/>
                      <w:sz w:val="18"/>
                      <w:szCs w:val="18"/>
                      <w:lang w:val="en-US" w:eastAsia="zh-CN" w:bidi="ar"/>
                    </w:rPr>
                    <w:t>强化空间布局管控。加强规划区划和建设项目布局论证，根据土壤等环境承载能力，合理确定区域功能定位、空间布局。鼓励工业企业集聚发展，提高土地节约集约利用水平，减少土壤污染。</w:t>
                  </w:r>
                </w:p>
              </w:tc>
              <w:tc>
                <w:tcPr>
                  <w:tcW w:w="1470" w:type="pct"/>
                  <w:tcBorders>
                    <w:tl2br w:val="nil"/>
                    <w:tr2bl w:val="nil"/>
                  </w:tcBorders>
                  <w:noWrap w:val="0"/>
                  <w:vAlign w:val="center"/>
                </w:tcPr>
                <w:p w14:paraId="210037BC">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cs="Times New Roman"/>
                      <w:color w:val="auto"/>
                      <w:sz w:val="18"/>
                      <w:szCs w:val="18"/>
                      <w:lang w:val="en-US" w:eastAsia="zh-CN"/>
                    </w:rPr>
                  </w:pPr>
                  <w:r>
                    <w:rPr>
                      <w:rFonts w:hint="eastAsia" w:cs="Times New Roman"/>
                      <w:color w:val="auto"/>
                      <w:sz w:val="18"/>
                      <w:szCs w:val="18"/>
                      <w:lang w:val="en-US" w:eastAsia="zh-CN"/>
                    </w:rPr>
                    <w:t>本项目符合相关规划要求</w:t>
                  </w:r>
                </w:p>
              </w:tc>
              <w:tc>
                <w:tcPr>
                  <w:tcW w:w="501" w:type="pct"/>
                  <w:tcBorders>
                    <w:tl2br w:val="nil"/>
                    <w:tr2bl w:val="nil"/>
                  </w:tcBorders>
                  <w:noWrap w:val="0"/>
                  <w:vAlign w:val="center"/>
                </w:tcPr>
                <w:p w14:paraId="79061F7B">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符合</w:t>
                  </w:r>
                </w:p>
              </w:tc>
            </w:tr>
            <w:tr w14:paraId="026520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restart"/>
                  <w:tcBorders>
                    <w:tl2br w:val="nil"/>
                    <w:tr2bl w:val="nil"/>
                  </w:tcBorders>
                  <w:noWrap w:val="0"/>
                  <w:vAlign w:val="center"/>
                </w:tcPr>
                <w:p w14:paraId="59CFA010">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b w:val="0"/>
                      <w:bCs/>
                      <w:color w:val="auto"/>
                      <w:spacing w:val="4"/>
                      <w:sz w:val="18"/>
                      <w:szCs w:val="18"/>
                      <w:highlight w:val="none"/>
                    </w:rPr>
                  </w:pPr>
                  <w:r>
                    <w:rPr>
                      <w:rFonts w:hint="default" w:ascii="Times New Roman" w:hAnsi="Times New Roman" w:eastAsia="宋体" w:cs="Times New Roman"/>
                      <w:b w:val="0"/>
                      <w:bCs/>
                      <w:color w:val="auto"/>
                      <w:spacing w:val="4"/>
                      <w:sz w:val="18"/>
                      <w:szCs w:val="18"/>
                      <w:highlight w:val="none"/>
                    </w:rPr>
                    <w:t>《自治区严禁“三高”项目进新疆推动经济高质量发展实施方案》（新</w:t>
                  </w:r>
                </w:p>
                <w:p w14:paraId="766B0797">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b w:val="0"/>
                      <w:bCs/>
                      <w:color w:val="auto"/>
                      <w:spacing w:val="4"/>
                      <w:sz w:val="18"/>
                      <w:szCs w:val="18"/>
                      <w:highlight w:val="none"/>
                    </w:rPr>
                  </w:pPr>
                  <w:r>
                    <w:rPr>
                      <w:rFonts w:hint="default" w:ascii="Times New Roman" w:hAnsi="Times New Roman" w:eastAsia="宋体" w:cs="Times New Roman"/>
                      <w:b w:val="0"/>
                      <w:bCs/>
                      <w:color w:val="auto"/>
                      <w:spacing w:val="4"/>
                      <w:sz w:val="18"/>
                      <w:szCs w:val="18"/>
                      <w:highlight w:val="none"/>
                    </w:rPr>
                    <w:t>党厅字〔2018〕74号）</w:t>
                  </w:r>
                </w:p>
              </w:tc>
              <w:tc>
                <w:tcPr>
                  <w:tcW w:w="2182" w:type="pct"/>
                  <w:tcBorders>
                    <w:tl2br w:val="nil"/>
                    <w:tr2bl w:val="nil"/>
                  </w:tcBorders>
                  <w:noWrap w:val="0"/>
                  <w:vAlign w:val="center"/>
                </w:tcPr>
                <w:p w14:paraId="6B1B4680">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本方案“三高”是指能（水）耗不符合相关国家标准中准入值要求且污染物排放和环境风险防控不符合国家（地方）标准及有关产业准入条件的高污染（排放）、高能（水）耗、高环境风险的工业项目。</w:t>
                  </w:r>
                </w:p>
              </w:tc>
              <w:tc>
                <w:tcPr>
                  <w:tcW w:w="1470" w:type="pct"/>
                  <w:tcBorders>
                    <w:tl2br w:val="nil"/>
                    <w:tr2bl w:val="nil"/>
                  </w:tcBorders>
                  <w:noWrap w:val="0"/>
                  <w:vAlign w:val="center"/>
                </w:tcPr>
                <w:p w14:paraId="3B3306E1">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cs="Times New Roman"/>
                      <w:color w:val="auto"/>
                      <w:sz w:val="18"/>
                      <w:szCs w:val="18"/>
                      <w:lang w:val="en-US" w:eastAsia="zh-CN"/>
                    </w:rPr>
                  </w:pPr>
                  <w:r>
                    <w:rPr>
                      <w:rFonts w:hint="eastAsia" w:cs="Times New Roman"/>
                      <w:color w:val="auto"/>
                      <w:sz w:val="18"/>
                      <w:szCs w:val="18"/>
                      <w:lang w:val="en-US" w:eastAsia="zh-CN"/>
                    </w:rPr>
                    <w:t>本项目不属于</w:t>
                  </w:r>
                  <w:r>
                    <w:rPr>
                      <w:rFonts w:hint="default" w:ascii="Times New Roman" w:hAnsi="Times New Roman" w:eastAsia="宋体" w:cs="Times New Roman"/>
                      <w:color w:val="auto"/>
                      <w:sz w:val="18"/>
                      <w:szCs w:val="18"/>
                      <w:lang w:val="en-US" w:eastAsia="zh-CN"/>
                    </w:rPr>
                    <w:t>高污染（排放）、高能（水）耗、高环境风险的工业项目。</w:t>
                  </w:r>
                </w:p>
              </w:tc>
              <w:tc>
                <w:tcPr>
                  <w:tcW w:w="501" w:type="pct"/>
                  <w:tcBorders>
                    <w:tl2br w:val="nil"/>
                    <w:tr2bl w:val="nil"/>
                  </w:tcBorders>
                  <w:noWrap w:val="0"/>
                  <w:vAlign w:val="center"/>
                </w:tcPr>
                <w:p w14:paraId="6410D3CC">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符合</w:t>
                  </w:r>
                </w:p>
              </w:tc>
            </w:tr>
            <w:tr w14:paraId="66A1B1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continue"/>
                  <w:tcBorders>
                    <w:tl2br w:val="nil"/>
                    <w:tr2bl w:val="nil"/>
                  </w:tcBorders>
                  <w:noWrap w:val="0"/>
                  <w:vAlign w:val="center"/>
                </w:tcPr>
                <w:p w14:paraId="03FE651D">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b w:val="0"/>
                      <w:bCs/>
                      <w:color w:val="auto"/>
                      <w:spacing w:val="4"/>
                      <w:sz w:val="18"/>
                      <w:szCs w:val="18"/>
                      <w:highlight w:val="none"/>
                    </w:rPr>
                  </w:pPr>
                </w:p>
              </w:tc>
              <w:tc>
                <w:tcPr>
                  <w:tcW w:w="2182" w:type="pct"/>
                  <w:tcBorders>
                    <w:tl2br w:val="nil"/>
                    <w:tr2bl w:val="nil"/>
                  </w:tcBorders>
                  <w:noWrap w:val="0"/>
                  <w:vAlign w:val="center"/>
                </w:tcPr>
                <w:p w14:paraId="0FEC1471">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3、钢铁行业</w:t>
                  </w:r>
                </w:p>
                <w:p w14:paraId="17F19E24">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禁止建设新增产能的炼铁、炼钢项目，以产能置换方式新（改）建的炼铁、炼钢项目大气污染物和废水排放必须满足《钢铁工业水污染物排放标准》（GB13456）、《钢铁烧结、球团工业大气污染物排放标准》（GB28662）、《炼铁工业大气污染物排放标准》（GB28663）、《炼钢工业大气污染物排放标准》（GB28664）、《轧钢工业大气污染物排放标准》（GB28665）、《粗钢生产主要工序单位产品能源消耗限额》（GB21256）等标准的要求。</w:t>
                  </w:r>
                </w:p>
                <w:p w14:paraId="13AEE87F">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加快钢铁产品结构优化，开发生产高强抗震钢筋、高强度薄板、涂镀板、管线钢、冷轧薄板（带）、中厚宽带钢、汽车板、型钢、轨梁钢等中高端钢铁产品，鼓励企业应用低温烧结技术、高炉高效喷煤、转炉负能炼钢、低温轧制、冶金渣综合利用等节能减排新工艺、新技术，降低吨钢消耗。</w:t>
                  </w:r>
                </w:p>
              </w:tc>
              <w:tc>
                <w:tcPr>
                  <w:tcW w:w="1470" w:type="pct"/>
                  <w:tcBorders>
                    <w:tl2br w:val="nil"/>
                    <w:tr2bl w:val="nil"/>
                  </w:tcBorders>
                  <w:noWrap w:val="0"/>
                  <w:vAlign w:val="center"/>
                </w:tcPr>
                <w:p w14:paraId="270A67BB">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eastAsia"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本项目为</w:t>
                  </w:r>
                  <w:r>
                    <w:rPr>
                      <w:rFonts w:hint="eastAsia" w:cs="Times New Roman"/>
                      <w:color w:val="auto"/>
                      <w:sz w:val="18"/>
                      <w:szCs w:val="18"/>
                      <w:highlight w:val="none"/>
                      <w:lang w:val="en-US" w:eastAsia="zh-CN"/>
                    </w:rPr>
                    <w:t>新建项目，各排气筒排放的污染物可满足</w:t>
                  </w:r>
                  <w:r>
                    <w:rPr>
                      <w:rFonts w:hint="default" w:ascii="Times New Roman" w:hAnsi="Times New Roman" w:eastAsia="宋体" w:cs="Times New Roman"/>
                      <w:color w:val="auto"/>
                      <w:sz w:val="18"/>
                      <w:szCs w:val="18"/>
                      <w:highlight w:val="none"/>
                      <w:lang w:val="en-US" w:eastAsia="zh-CN"/>
                    </w:rPr>
                    <w:t>《轧钢工业大气污染物排放标准》(GB28665)及其修改单等要求</w:t>
                  </w:r>
                  <w:r>
                    <w:rPr>
                      <w:rFonts w:hint="eastAsia" w:cs="Times New Roman"/>
                      <w:color w:val="auto"/>
                      <w:sz w:val="18"/>
                      <w:szCs w:val="18"/>
                      <w:highlight w:val="none"/>
                      <w:lang w:val="en-US" w:eastAsia="zh-CN"/>
                    </w:rPr>
                    <w:t>。</w:t>
                  </w:r>
                </w:p>
                <w:p w14:paraId="4C0FDC1B">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本项目属于高端钢铁产品</w:t>
                  </w:r>
                </w:p>
              </w:tc>
              <w:tc>
                <w:tcPr>
                  <w:tcW w:w="501" w:type="pct"/>
                  <w:tcBorders>
                    <w:tl2br w:val="nil"/>
                    <w:tr2bl w:val="nil"/>
                  </w:tcBorders>
                  <w:noWrap w:val="0"/>
                  <w:vAlign w:val="center"/>
                </w:tcPr>
                <w:p w14:paraId="35C3E234">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符合</w:t>
                  </w:r>
                </w:p>
              </w:tc>
            </w:tr>
            <w:tr w14:paraId="1DEE18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continue"/>
                  <w:tcBorders>
                    <w:tl2br w:val="nil"/>
                    <w:tr2bl w:val="nil"/>
                  </w:tcBorders>
                  <w:noWrap w:val="0"/>
                  <w:vAlign w:val="center"/>
                </w:tcPr>
                <w:p w14:paraId="33E3F972">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b w:val="0"/>
                      <w:bCs/>
                      <w:color w:val="auto"/>
                      <w:spacing w:val="4"/>
                      <w:sz w:val="18"/>
                      <w:szCs w:val="18"/>
                      <w:highlight w:val="none"/>
                    </w:rPr>
                  </w:pPr>
                </w:p>
              </w:tc>
              <w:tc>
                <w:tcPr>
                  <w:tcW w:w="2182" w:type="pct"/>
                  <w:tcBorders>
                    <w:tl2br w:val="nil"/>
                    <w:tr2bl w:val="nil"/>
                  </w:tcBorders>
                  <w:noWrap w:val="0"/>
                  <w:vAlign w:val="center"/>
                </w:tcPr>
                <w:p w14:paraId="45083B65">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“‘乌鲁木齐—昌吉—石河子’‘奎屯—</w:t>
                  </w:r>
                </w:p>
                <w:p w14:paraId="422A32BB">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独山子—乌苏’”、克拉玛依市、库尔勒市等自治区大气污染联防联控区域，禁止新（改、扩）建未落实二氧化硫、氮氧化物、挥发性有机物等主要大气污染物倍量替代的项目，国家相关政策及规划有特殊要求的，执行国家相关政策及规划。</w:t>
                  </w:r>
                </w:p>
              </w:tc>
              <w:tc>
                <w:tcPr>
                  <w:tcW w:w="1470" w:type="pct"/>
                  <w:vMerge w:val="restart"/>
                  <w:tcBorders>
                    <w:tl2br w:val="nil"/>
                    <w:tr2bl w:val="nil"/>
                  </w:tcBorders>
                  <w:noWrap w:val="0"/>
                  <w:vAlign w:val="center"/>
                </w:tcPr>
                <w:p w14:paraId="1E02499D">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cs="Times New Roman"/>
                      <w:color w:val="auto"/>
                      <w:sz w:val="18"/>
                      <w:szCs w:val="18"/>
                      <w:lang w:val="en-US" w:eastAsia="zh-CN"/>
                    </w:rPr>
                  </w:pPr>
                  <w:r>
                    <w:rPr>
                      <w:rFonts w:hint="eastAsia" w:cs="Times New Roman"/>
                      <w:color w:val="auto"/>
                      <w:sz w:val="18"/>
                      <w:szCs w:val="18"/>
                      <w:lang w:val="en-US" w:eastAsia="zh-CN"/>
                    </w:rPr>
                    <w:t>本项目建成后需申请总量并进行倍量替代</w:t>
                  </w:r>
                </w:p>
              </w:tc>
              <w:tc>
                <w:tcPr>
                  <w:tcW w:w="501" w:type="pct"/>
                  <w:tcBorders>
                    <w:tl2br w:val="nil"/>
                    <w:tr2bl w:val="nil"/>
                  </w:tcBorders>
                  <w:noWrap w:val="0"/>
                  <w:vAlign w:val="center"/>
                </w:tcPr>
                <w:p w14:paraId="4FDA4DAD">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符合</w:t>
                  </w:r>
                </w:p>
              </w:tc>
            </w:tr>
            <w:tr w14:paraId="3C6F5E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continue"/>
                  <w:tcBorders>
                    <w:tl2br w:val="nil"/>
                    <w:tr2bl w:val="nil"/>
                  </w:tcBorders>
                  <w:noWrap w:val="0"/>
                  <w:vAlign w:val="center"/>
                </w:tcPr>
                <w:p w14:paraId="0531741F">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b w:val="0"/>
                      <w:bCs/>
                      <w:color w:val="auto"/>
                      <w:spacing w:val="4"/>
                      <w:sz w:val="18"/>
                      <w:szCs w:val="18"/>
                      <w:highlight w:val="none"/>
                    </w:rPr>
                  </w:pPr>
                </w:p>
              </w:tc>
              <w:tc>
                <w:tcPr>
                  <w:tcW w:w="2182" w:type="pct"/>
                  <w:tcBorders>
                    <w:tl2br w:val="nil"/>
                    <w:tr2bl w:val="nil"/>
                  </w:tcBorders>
                  <w:noWrap w:val="0"/>
                  <w:vAlign w:val="center"/>
                </w:tcPr>
                <w:p w14:paraId="38663CC5">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重点控制区主要大气污染物排放须进行“倍量替代”，执行大气污染物特别排放限值，新增大气污染物排放量须在项目所在区域内实施总量替代，不得接受其他区域主要大气污染物可替代总量指标。</w:t>
                  </w:r>
                </w:p>
              </w:tc>
              <w:tc>
                <w:tcPr>
                  <w:tcW w:w="1470" w:type="pct"/>
                  <w:vMerge w:val="continue"/>
                  <w:tcBorders>
                    <w:tl2br w:val="nil"/>
                    <w:tr2bl w:val="nil"/>
                  </w:tcBorders>
                  <w:noWrap w:val="0"/>
                  <w:vAlign w:val="center"/>
                </w:tcPr>
                <w:p w14:paraId="3A6B5AA0">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cs="Times New Roman"/>
                      <w:color w:val="auto"/>
                      <w:sz w:val="18"/>
                      <w:szCs w:val="18"/>
                      <w:lang w:val="en-US" w:eastAsia="zh-CN"/>
                    </w:rPr>
                  </w:pPr>
                </w:p>
              </w:tc>
              <w:tc>
                <w:tcPr>
                  <w:tcW w:w="501" w:type="pct"/>
                  <w:tcBorders>
                    <w:tl2br w:val="nil"/>
                    <w:tr2bl w:val="nil"/>
                  </w:tcBorders>
                  <w:noWrap w:val="0"/>
                  <w:vAlign w:val="center"/>
                </w:tcPr>
                <w:p w14:paraId="3C55245C">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符合</w:t>
                  </w:r>
                </w:p>
              </w:tc>
            </w:tr>
            <w:tr w14:paraId="11D7F0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restart"/>
                  <w:tcBorders>
                    <w:tl2br w:val="nil"/>
                    <w:tr2bl w:val="nil"/>
                  </w:tcBorders>
                  <w:noWrap w:val="0"/>
                  <w:vAlign w:val="center"/>
                </w:tcPr>
                <w:p w14:paraId="2D3E9B82">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b w:val="0"/>
                      <w:bCs/>
                      <w:color w:val="auto"/>
                      <w:spacing w:val="4"/>
                      <w:sz w:val="18"/>
                      <w:szCs w:val="18"/>
                      <w:highlight w:val="none"/>
                    </w:rPr>
                  </w:pPr>
                  <w:r>
                    <w:rPr>
                      <w:rFonts w:hint="default" w:ascii="Times New Roman" w:hAnsi="Times New Roman" w:eastAsia="宋体" w:cs="Times New Roman"/>
                      <w:b w:val="0"/>
                      <w:bCs/>
                      <w:color w:val="auto"/>
                      <w:spacing w:val="4"/>
                      <w:sz w:val="18"/>
                      <w:szCs w:val="18"/>
                      <w:highlight w:val="none"/>
                    </w:rPr>
                    <w:t>《“十四五”噪声污染防治行动计划》（环大气〔2023〕1号）相</w:t>
                  </w:r>
                </w:p>
              </w:tc>
              <w:tc>
                <w:tcPr>
                  <w:tcW w:w="2182" w:type="pct"/>
                  <w:tcBorders>
                    <w:tl2br w:val="nil"/>
                    <w:tr2bl w:val="nil"/>
                  </w:tcBorders>
                  <w:noWrap w:val="0"/>
                  <w:vAlign w:val="center"/>
                </w:tcPr>
                <w:p w14:paraId="6CF2D5D8">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排放噪声的工业企业应切实采取减振降噪措施，加强厂区内固定设备、运输工具、货物装卸等噪声源管理，同时避免突发噪声扰民。鼓励企业采用先进治理技术，打造行业噪声污染</w:t>
                  </w:r>
                </w:p>
                <w:p w14:paraId="6E72B0FC">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治理示范典型。中央企业要主动承担社会责任，切实发挥模范带头和引领示范作用，创建一批行业标杆。</w:t>
                  </w:r>
                </w:p>
              </w:tc>
              <w:tc>
                <w:tcPr>
                  <w:tcW w:w="1470" w:type="pct"/>
                  <w:tcBorders>
                    <w:tl2br w:val="nil"/>
                    <w:tr2bl w:val="nil"/>
                  </w:tcBorders>
                  <w:noWrap w:val="0"/>
                  <w:vAlign w:val="center"/>
                </w:tcPr>
                <w:p w14:paraId="1F39C892">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cs="Times New Roman"/>
                      <w:color w:val="auto"/>
                      <w:sz w:val="18"/>
                      <w:szCs w:val="18"/>
                      <w:lang w:val="en-US" w:eastAsia="zh-CN"/>
                    </w:rPr>
                  </w:pPr>
                  <w:r>
                    <w:rPr>
                      <w:rFonts w:hint="eastAsia" w:cs="Times New Roman"/>
                      <w:color w:val="auto"/>
                      <w:sz w:val="18"/>
                      <w:szCs w:val="18"/>
                      <w:lang w:val="en-US" w:eastAsia="zh-CN"/>
                    </w:rPr>
                    <w:t>本项目优先选用低噪设备，并采取减振、隔声等降噪措施，厂界噪声可达标</w:t>
                  </w:r>
                </w:p>
              </w:tc>
              <w:tc>
                <w:tcPr>
                  <w:tcW w:w="501" w:type="pct"/>
                  <w:tcBorders>
                    <w:tl2br w:val="nil"/>
                    <w:tr2bl w:val="nil"/>
                  </w:tcBorders>
                  <w:noWrap w:val="0"/>
                  <w:vAlign w:val="center"/>
                </w:tcPr>
                <w:p w14:paraId="6B86D4BC">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符合</w:t>
                  </w:r>
                </w:p>
              </w:tc>
            </w:tr>
            <w:tr w14:paraId="2D4AC0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continue"/>
                  <w:tcBorders>
                    <w:tl2br w:val="nil"/>
                    <w:tr2bl w:val="nil"/>
                  </w:tcBorders>
                  <w:noWrap w:val="0"/>
                  <w:vAlign w:val="center"/>
                </w:tcPr>
                <w:p w14:paraId="427C315D">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b w:val="0"/>
                      <w:bCs/>
                      <w:color w:val="auto"/>
                      <w:spacing w:val="4"/>
                      <w:sz w:val="18"/>
                      <w:szCs w:val="18"/>
                      <w:highlight w:val="none"/>
                    </w:rPr>
                  </w:pPr>
                </w:p>
              </w:tc>
              <w:tc>
                <w:tcPr>
                  <w:tcW w:w="2182" w:type="pct"/>
                  <w:tcBorders>
                    <w:tl2br w:val="nil"/>
                    <w:tr2bl w:val="nil"/>
                  </w:tcBorders>
                  <w:noWrap w:val="0"/>
                  <w:vAlign w:val="center"/>
                </w:tcPr>
                <w:p w14:paraId="1469F836">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推进工业噪声实施排污许可和重点排污单位管理。发布工业噪声排污许可证申请与核发技术规范，依法核发排污许可证或进行排污登记，并加强监管；实行排污许可管理的单位依证排污，按照规定开展自行监测并向社会公开。</w:t>
                  </w:r>
                </w:p>
              </w:tc>
              <w:tc>
                <w:tcPr>
                  <w:tcW w:w="1470" w:type="pct"/>
                  <w:tcBorders>
                    <w:tl2br w:val="nil"/>
                    <w:tr2bl w:val="nil"/>
                  </w:tcBorders>
                  <w:noWrap w:val="0"/>
                  <w:vAlign w:val="center"/>
                </w:tcPr>
                <w:p w14:paraId="15BE0492">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cs="Times New Roman"/>
                      <w:color w:val="auto"/>
                      <w:sz w:val="18"/>
                      <w:szCs w:val="18"/>
                      <w:lang w:val="en-US" w:eastAsia="zh-CN"/>
                    </w:rPr>
                  </w:pPr>
                  <w:r>
                    <w:rPr>
                      <w:rFonts w:hint="eastAsia" w:cs="Times New Roman"/>
                      <w:color w:val="auto"/>
                      <w:sz w:val="18"/>
                      <w:szCs w:val="18"/>
                      <w:lang w:val="en-US" w:eastAsia="zh-CN"/>
                    </w:rPr>
                    <w:t>本项目应严格落实</w:t>
                  </w:r>
                  <w:r>
                    <w:rPr>
                      <w:rFonts w:hint="eastAsia" w:ascii="Times New Roman" w:hAnsi="Times New Roman" w:eastAsia="宋体" w:cs="Times New Roman"/>
                      <w:color w:val="auto"/>
                      <w:sz w:val="18"/>
                      <w:szCs w:val="18"/>
                      <w:lang w:val="en-US" w:eastAsia="zh-CN"/>
                    </w:rPr>
                    <w:t>噪声</w:t>
                  </w:r>
                  <w:r>
                    <w:rPr>
                      <w:rFonts w:hint="default" w:ascii="Times New Roman" w:hAnsi="Times New Roman" w:eastAsia="宋体" w:cs="Times New Roman"/>
                      <w:color w:val="auto"/>
                      <w:sz w:val="18"/>
                      <w:szCs w:val="18"/>
                      <w:lang w:val="en-US" w:eastAsia="zh-CN"/>
                    </w:rPr>
                    <w:t>排污许可管理</w:t>
                  </w:r>
                  <w:r>
                    <w:rPr>
                      <w:rFonts w:hint="eastAsia" w:cs="Times New Roman"/>
                      <w:color w:val="auto"/>
                      <w:sz w:val="18"/>
                      <w:szCs w:val="18"/>
                      <w:lang w:val="en-US" w:eastAsia="zh-CN"/>
                    </w:rPr>
                    <w:t>要求</w:t>
                  </w:r>
                  <w:r>
                    <w:rPr>
                      <w:rFonts w:hint="default" w:ascii="Times New Roman" w:hAnsi="Times New Roman" w:eastAsia="宋体" w:cs="Times New Roman"/>
                      <w:color w:val="auto"/>
                      <w:sz w:val="18"/>
                      <w:szCs w:val="18"/>
                      <w:lang w:val="en-US" w:eastAsia="zh-CN"/>
                    </w:rPr>
                    <w:t>，按照规定开展自行监测并向社会公开</w:t>
                  </w:r>
                </w:p>
              </w:tc>
              <w:tc>
                <w:tcPr>
                  <w:tcW w:w="501" w:type="pct"/>
                  <w:tcBorders>
                    <w:tl2br w:val="nil"/>
                    <w:tr2bl w:val="nil"/>
                  </w:tcBorders>
                  <w:noWrap w:val="0"/>
                  <w:vAlign w:val="center"/>
                </w:tcPr>
                <w:p w14:paraId="7B17E38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符合</w:t>
                  </w:r>
                </w:p>
              </w:tc>
            </w:tr>
            <w:tr w14:paraId="14C5AC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tcBorders>
                    <w:tl2br w:val="nil"/>
                    <w:tr2bl w:val="nil"/>
                  </w:tcBorders>
                  <w:noWrap w:val="0"/>
                  <w:vAlign w:val="center"/>
                </w:tcPr>
                <w:p w14:paraId="1245225C">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b w:val="0"/>
                      <w:bCs/>
                      <w:color w:val="auto"/>
                      <w:spacing w:val="4"/>
                      <w:sz w:val="18"/>
                      <w:szCs w:val="18"/>
                      <w:highlight w:val="none"/>
                    </w:rPr>
                  </w:pPr>
                  <w:r>
                    <w:rPr>
                      <w:rFonts w:hint="default" w:ascii="Times New Roman" w:hAnsi="Times New Roman" w:eastAsia="宋体" w:cs="Times New Roman"/>
                      <w:b w:val="0"/>
                      <w:bCs/>
                      <w:color w:val="auto"/>
                      <w:spacing w:val="4"/>
                      <w:sz w:val="18"/>
                      <w:szCs w:val="18"/>
                      <w:highlight w:val="none"/>
                    </w:rPr>
                    <w:t>《关于深入打好污染防治攻坚战的实施方案》</w:t>
                  </w:r>
                </w:p>
              </w:tc>
              <w:tc>
                <w:tcPr>
                  <w:tcW w:w="2182" w:type="pct"/>
                  <w:tcBorders>
                    <w:tl2br w:val="nil"/>
                    <w:tr2bl w:val="nil"/>
                  </w:tcBorders>
                  <w:noWrap w:val="0"/>
                  <w:vAlign w:val="center"/>
                </w:tcPr>
                <w:p w14:paraId="27754B75">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贯彻落实《新疆维吾尔自治区国土空间规划（2021-2035年）》《新疆维吾尔自治区“三线一单”生态环境分区管控方案》相关要求，将生态保护红线、环境质量底线、资源利用上线的硬约束落实到环境管控单元。建立差别化的生态环境准入清单，加强“三线一单”成果在政策制定、环境准入、园区管理、监管执法等方面的应用。健全以环评制度为主体的源头预防体系，严格规划环评审查和项目环评准入，开展重大经济技术政策的生态环境影响分析和重大生态环境政策的社会经济影响评估。</w:t>
                  </w:r>
                </w:p>
              </w:tc>
              <w:tc>
                <w:tcPr>
                  <w:tcW w:w="1470" w:type="pct"/>
                  <w:tcBorders>
                    <w:tl2br w:val="nil"/>
                    <w:tr2bl w:val="nil"/>
                  </w:tcBorders>
                  <w:noWrap w:val="0"/>
                  <w:vAlign w:val="center"/>
                </w:tcPr>
                <w:p w14:paraId="235FFC3F">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cs="Times New Roman"/>
                      <w:color w:val="auto"/>
                      <w:sz w:val="18"/>
                      <w:szCs w:val="18"/>
                      <w:lang w:val="en-US" w:eastAsia="zh-CN"/>
                    </w:rPr>
                  </w:pPr>
                  <w:r>
                    <w:rPr>
                      <w:rFonts w:hint="eastAsia" w:cs="Times New Roman"/>
                      <w:color w:val="auto"/>
                      <w:sz w:val="18"/>
                      <w:szCs w:val="18"/>
                      <w:lang w:val="en-US" w:eastAsia="zh-CN"/>
                    </w:rPr>
                    <w:t>本项目符合“三线一单”分区管控要求</w:t>
                  </w:r>
                </w:p>
              </w:tc>
              <w:tc>
                <w:tcPr>
                  <w:tcW w:w="501" w:type="pct"/>
                  <w:tcBorders>
                    <w:tl2br w:val="nil"/>
                    <w:tr2bl w:val="nil"/>
                  </w:tcBorders>
                  <w:noWrap w:val="0"/>
                  <w:vAlign w:val="center"/>
                </w:tcPr>
                <w:p w14:paraId="26BD13F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符合</w:t>
                  </w:r>
                </w:p>
              </w:tc>
            </w:tr>
            <w:tr w14:paraId="51139E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restart"/>
                  <w:tcBorders>
                    <w:tl2br w:val="nil"/>
                    <w:tr2bl w:val="nil"/>
                  </w:tcBorders>
                  <w:noWrap w:val="0"/>
                  <w:vAlign w:val="center"/>
                </w:tcPr>
                <w:p w14:paraId="366BB50C">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b w:val="0"/>
                      <w:bCs/>
                      <w:color w:val="auto"/>
                      <w:spacing w:val="4"/>
                      <w:sz w:val="18"/>
                      <w:szCs w:val="18"/>
                      <w:highlight w:val="none"/>
                    </w:rPr>
                  </w:pPr>
                  <w:r>
                    <w:rPr>
                      <w:rFonts w:hint="default" w:ascii="Times New Roman" w:hAnsi="Times New Roman" w:eastAsia="宋体" w:cs="Times New Roman"/>
                      <w:b w:val="0"/>
                      <w:bCs/>
                      <w:color w:val="auto"/>
                      <w:spacing w:val="4"/>
                      <w:sz w:val="18"/>
                      <w:szCs w:val="18"/>
                      <w:highlight w:val="none"/>
                    </w:rPr>
                    <w:t>《新疆维吾尔自治区2025年空气质量持续改善行动实施方案》（新政办发〔2024〕58号）</w:t>
                  </w:r>
                </w:p>
              </w:tc>
              <w:tc>
                <w:tcPr>
                  <w:tcW w:w="2182" w:type="pct"/>
                  <w:tcBorders>
                    <w:tl2br w:val="nil"/>
                    <w:tr2bl w:val="nil"/>
                  </w:tcBorders>
                  <w:shd w:val="clear" w:color="auto" w:fill="auto"/>
                  <w:noWrap w:val="0"/>
                  <w:vAlign w:val="center"/>
                </w:tcPr>
                <w:p w14:paraId="50348376">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坚决遏制高耗能、高排放、低水平项目盲目上马。新改扩建项目严格落实国家和自治区产业规划、产业政策、生态环境分区管控方案、规划环评、项目环评、节能审查、产能置换、重点污染物总量控制、污染物排放区域削减、碳排放达峰目标等相关要求，原则上采用清洁运输方式，达到能效标杆水平、环保绩效A级水平。涉及产能置换的项目，被置换产能及设备关停后，新建项目方可投产。</w:t>
                  </w:r>
                </w:p>
              </w:tc>
              <w:tc>
                <w:tcPr>
                  <w:tcW w:w="1470" w:type="pct"/>
                  <w:tcBorders>
                    <w:tl2br w:val="nil"/>
                    <w:tr2bl w:val="nil"/>
                  </w:tcBorders>
                  <w:noWrap w:val="0"/>
                  <w:vAlign w:val="center"/>
                </w:tcPr>
                <w:p w14:paraId="320978AD">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cs="Times New Roman"/>
                      <w:color w:val="auto"/>
                      <w:sz w:val="18"/>
                      <w:szCs w:val="18"/>
                      <w:lang w:val="en-US" w:eastAsia="zh-CN"/>
                    </w:rPr>
                  </w:pPr>
                  <w:r>
                    <w:rPr>
                      <w:rFonts w:hint="eastAsia" w:cs="Times New Roman"/>
                      <w:color w:val="auto"/>
                      <w:sz w:val="18"/>
                      <w:szCs w:val="18"/>
                      <w:lang w:val="en-US" w:eastAsia="zh-CN"/>
                    </w:rPr>
                    <w:t>本项目不属于</w:t>
                  </w:r>
                  <w:r>
                    <w:rPr>
                      <w:rFonts w:hint="eastAsia" w:ascii="Times New Roman" w:hAnsi="Times New Roman" w:eastAsia="宋体" w:cs="Times New Roman"/>
                      <w:color w:val="auto"/>
                      <w:sz w:val="18"/>
                      <w:szCs w:val="18"/>
                      <w:lang w:val="en-US" w:eastAsia="zh-CN"/>
                    </w:rPr>
                    <w:t>高耗能、高排放、低水平</w:t>
                  </w:r>
                </w:p>
              </w:tc>
              <w:tc>
                <w:tcPr>
                  <w:tcW w:w="501" w:type="pct"/>
                  <w:tcBorders>
                    <w:tl2br w:val="nil"/>
                    <w:tr2bl w:val="nil"/>
                  </w:tcBorders>
                  <w:noWrap w:val="0"/>
                  <w:vAlign w:val="center"/>
                </w:tcPr>
                <w:p w14:paraId="4A023317">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cs="Times New Roman"/>
                      <w:color w:val="auto"/>
                      <w:sz w:val="18"/>
                      <w:szCs w:val="18"/>
                      <w:lang w:val="en-US" w:eastAsia="zh-CN"/>
                    </w:rPr>
                  </w:pPr>
                  <w:r>
                    <w:rPr>
                      <w:rFonts w:hint="eastAsia" w:cs="Times New Roman"/>
                      <w:color w:val="auto"/>
                      <w:sz w:val="18"/>
                      <w:szCs w:val="18"/>
                      <w:lang w:val="en-US" w:eastAsia="zh-CN"/>
                    </w:rPr>
                    <w:t>符合</w:t>
                  </w:r>
                </w:p>
              </w:tc>
            </w:tr>
            <w:tr w14:paraId="5C130E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continue"/>
                  <w:tcBorders>
                    <w:tl2br w:val="nil"/>
                    <w:tr2bl w:val="nil"/>
                  </w:tcBorders>
                  <w:noWrap w:val="0"/>
                  <w:vAlign w:val="center"/>
                </w:tcPr>
                <w:p w14:paraId="4B93722C">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b w:val="0"/>
                      <w:bCs/>
                      <w:color w:val="auto"/>
                      <w:spacing w:val="4"/>
                      <w:sz w:val="18"/>
                      <w:szCs w:val="18"/>
                      <w:highlight w:val="none"/>
                    </w:rPr>
                  </w:pPr>
                </w:p>
              </w:tc>
              <w:tc>
                <w:tcPr>
                  <w:tcW w:w="2182" w:type="pct"/>
                  <w:tcBorders>
                    <w:tl2br w:val="nil"/>
                    <w:tr2bl w:val="nil"/>
                  </w:tcBorders>
                  <w:shd w:val="clear" w:color="auto" w:fill="auto"/>
                  <w:noWrap w:val="0"/>
                  <w:vAlign w:val="center"/>
                </w:tcPr>
                <w:p w14:paraId="731B0D9E">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持续推进工业炉窑清洁能源替代。有序推进以电代煤，稳妥推进以气代煤。联防联控区原则上不再新增燃料类煤气发生炉，新改扩建加热炉、热处理炉、干燥炉、熔化炉原则上采用清洁低碳能源；安全稳妥推进使用高污染燃料的工业炉窑改用工业余热、电能、天然气等；燃料类煤气发生炉实行清洁能源替代，或因地制宜采取园区（集群）集中供气、分散使用方式；逐步淘汰固定床间歇式煤气发生炉。</w:t>
                  </w:r>
                </w:p>
              </w:tc>
              <w:tc>
                <w:tcPr>
                  <w:tcW w:w="1470" w:type="pct"/>
                  <w:tcBorders>
                    <w:tl2br w:val="nil"/>
                    <w:tr2bl w:val="nil"/>
                  </w:tcBorders>
                  <w:noWrap w:val="0"/>
                  <w:vAlign w:val="center"/>
                </w:tcPr>
                <w:p w14:paraId="304F15CD">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加热炉、热处理炉、干燥炉</w:t>
                  </w:r>
                  <w:r>
                    <w:rPr>
                      <w:rFonts w:hint="eastAsia" w:ascii="Times New Roman" w:hAnsi="Times New Roman" w:eastAsia="宋体" w:cs="Times New Roman"/>
                      <w:color w:val="auto"/>
                      <w:sz w:val="18"/>
                      <w:szCs w:val="18"/>
                      <w:lang w:val="en-US" w:eastAsia="zh-CN"/>
                    </w:rPr>
                    <w:t>采用天然气</w:t>
                  </w:r>
                </w:p>
              </w:tc>
              <w:tc>
                <w:tcPr>
                  <w:tcW w:w="501" w:type="pct"/>
                  <w:tcBorders>
                    <w:tl2br w:val="nil"/>
                    <w:tr2bl w:val="nil"/>
                  </w:tcBorders>
                  <w:noWrap w:val="0"/>
                  <w:vAlign w:val="center"/>
                </w:tcPr>
                <w:p w14:paraId="37715D2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cs="Times New Roman"/>
                      <w:color w:val="auto"/>
                      <w:sz w:val="18"/>
                      <w:szCs w:val="18"/>
                      <w:lang w:val="en-US" w:eastAsia="zh-CN"/>
                    </w:rPr>
                  </w:pPr>
                  <w:r>
                    <w:rPr>
                      <w:rFonts w:hint="eastAsia" w:cs="Times New Roman"/>
                      <w:color w:val="auto"/>
                      <w:sz w:val="18"/>
                      <w:szCs w:val="18"/>
                      <w:lang w:val="en-US" w:eastAsia="zh-CN"/>
                    </w:rPr>
                    <w:t>符合</w:t>
                  </w:r>
                </w:p>
              </w:tc>
            </w:tr>
            <w:tr w14:paraId="365CA2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continue"/>
                  <w:tcBorders>
                    <w:tl2br w:val="nil"/>
                    <w:tr2bl w:val="nil"/>
                  </w:tcBorders>
                  <w:noWrap w:val="0"/>
                  <w:vAlign w:val="center"/>
                </w:tcPr>
                <w:p w14:paraId="5F3A5B49">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b w:val="0"/>
                      <w:bCs/>
                      <w:color w:val="auto"/>
                      <w:spacing w:val="4"/>
                      <w:sz w:val="18"/>
                      <w:szCs w:val="18"/>
                      <w:highlight w:val="none"/>
                    </w:rPr>
                  </w:pPr>
                </w:p>
              </w:tc>
              <w:tc>
                <w:tcPr>
                  <w:tcW w:w="2182" w:type="pct"/>
                  <w:tcBorders>
                    <w:tl2br w:val="nil"/>
                    <w:tr2bl w:val="nil"/>
                  </w:tcBorders>
                  <w:shd w:val="clear" w:color="auto" w:fill="auto"/>
                  <w:noWrap w:val="0"/>
                  <w:vAlign w:val="center"/>
                </w:tcPr>
                <w:p w14:paraId="063EA327">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强化挥发性有机物和氮氧化物综合治理。优化含VOCs原辅材料和产品结构，加快推进含VOCs原辅材料源头替代，推广使用低（无）VOCs含量涂料，严格执行VOCs含量限值标准。实施石化、化工、工业涂装、包装印刷等重点行业及油品储运销（储罐）VOCs深度治理。企业开停工、检维修期间，及时收集处理退料、清洗、吹扫等作业产生的VOCs废气，不得将火炬燃烧装置作为日常大气污染处理设施。联防联控区石化、化工行业集中的园区，建立统一的泄漏检测与修复信息管理平台。加大锅炉、炉窑及移动源氮氧化物减排力度，有序实施燃气锅炉低氮燃烧改造。加强氮肥、纯碱等行业大气氨排放治理，强化工业源烟气脱硫脱硝氨逃逸防控。</w:t>
                  </w:r>
                </w:p>
              </w:tc>
              <w:tc>
                <w:tcPr>
                  <w:tcW w:w="1470" w:type="pct"/>
                  <w:tcBorders>
                    <w:tl2br w:val="nil"/>
                    <w:tr2bl w:val="nil"/>
                  </w:tcBorders>
                  <w:noWrap w:val="0"/>
                  <w:vAlign w:val="center"/>
                </w:tcPr>
                <w:p w14:paraId="5CEE8DF3">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cs="Times New Roman"/>
                      <w:color w:val="auto"/>
                      <w:sz w:val="18"/>
                      <w:szCs w:val="18"/>
                      <w:lang w:val="en-US" w:eastAsia="zh-CN"/>
                    </w:rPr>
                  </w:pPr>
                  <w:r>
                    <w:rPr>
                      <w:rFonts w:hint="eastAsia" w:cs="Times New Roman"/>
                      <w:color w:val="auto"/>
                      <w:sz w:val="18"/>
                      <w:szCs w:val="18"/>
                      <w:lang w:val="en-US" w:eastAsia="zh-CN"/>
                    </w:rPr>
                    <w:t>不涉及</w:t>
                  </w:r>
                </w:p>
              </w:tc>
              <w:tc>
                <w:tcPr>
                  <w:tcW w:w="501" w:type="pct"/>
                  <w:tcBorders>
                    <w:tl2br w:val="nil"/>
                    <w:tr2bl w:val="nil"/>
                  </w:tcBorders>
                  <w:noWrap w:val="0"/>
                  <w:vAlign w:val="center"/>
                </w:tcPr>
                <w:p w14:paraId="208792AE">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cs="Times New Roman"/>
                      <w:color w:val="auto"/>
                      <w:sz w:val="18"/>
                      <w:szCs w:val="18"/>
                      <w:lang w:val="en-US" w:eastAsia="zh-CN"/>
                    </w:rPr>
                  </w:pPr>
                  <w:r>
                    <w:rPr>
                      <w:rFonts w:hint="eastAsia" w:cs="Times New Roman"/>
                      <w:color w:val="auto"/>
                      <w:sz w:val="18"/>
                      <w:szCs w:val="18"/>
                      <w:lang w:val="en-US" w:eastAsia="zh-CN"/>
                    </w:rPr>
                    <w:t>符合</w:t>
                  </w:r>
                </w:p>
              </w:tc>
            </w:tr>
            <w:tr w14:paraId="36E2B9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tcBorders>
                    <w:tl2br w:val="nil"/>
                    <w:tr2bl w:val="nil"/>
                  </w:tcBorders>
                  <w:noWrap w:val="0"/>
                  <w:vAlign w:val="center"/>
                </w:tcPr>
                <w:p w14:paraId="76B007B7">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b w:val="0"/>
                      <w:bCs w:val="0"/>
                      <w:color w:val="auto"/>
                      <w:spacing w:val="4"/>
                      <w:sz w:val="18"/>
                      <w:szCs w:val="18"/>
                      <w:highlight w:val="none"/>
                    </w:rPr>
                  </w:pPr>
                  <w:r>
                    <w:rPr>
                      <w:rFonts w:hint="default" w:ascii="Times New Roman" w:hAnsi="Times New Roman" w:eastAsia="宋体" w:cs="Times New Roman"/>
                      <w:b w:val="0"/>
                      <w:bCs w:val="0"/>
                      <w:color w:val="auto"/>
                      <w:kern w:val="0"/>
                      <w:sz w:val="18"/>
                      <w:szCs w:val="18"/>
                      <w:lang w:val="en-US" w:eastAsia="zh-CN" w:bidi="ar-SA"/>
                    </w:rPr>
                    <w:t>《</w:t>
                  </w:r>
                  <w:r>
                    <w:rPr>
                      <w:rFonts w:hint="eastAsia" w:ascii="Times New Roman" w:hAnsi="Times New Roman" w:eastAsia="宋体" w:cs="Times New Roman"/>
                      <w:b w:val="0"/>
                      <w:bCs w:val="0"/>
                      <w:color w:val="auto"/>
                      <w:kern w:val="0"/>
                      <w:sz w:val="18"/>
                      <w:szCs w:val="18"/>
                      <w:lang w:val="en-US" w:eastAsia="zh-CN" w:bidi="ar-SA"/>
                    </w:rPr>
                    <w:t>新疆维吾尔自治区“乌-昌-石”区域大气环境整治2024-2025年行动方案</w:t>
                  </w:r>
                  <w:r>
                    <w:rPr>
                      <w:rFonts w:hint="default" w:ascii="Times New Roman" w:hAnsi="Times New Roman" w:eastAsia="宋体" w:cs="Times New Roman"/>
                      <w:b w:val="0"/>
                      <w:bCs w:val="0"/>
                      <w:color w:val="auto"/>
                      <w:kern w:val="0"/>
                      <w:sz w:val="18"/>
                      <w:szCs w:val="18"/>
                      <w:lang w:val="en-US" w:eastAsia="zh-CN" w:bidi="ar-SA"/>
                    </w:rPr>
                    <w:t>》</w:t>
                  </w:r>
                </w:p>
              </w:tc>
              <w:tc>
                <w:tcPr>
                  <w:tcW w:w="2182" w:type="pct"/>
                  <w:tcBorders>
                    <w:tl2br w:val="nil"/>
                    <w:tr2bl w:val="nil"/>
                  </w:tcBorders>
                  <w:shd w:val="clear" w:color="auto" w:fill="auto"/>
                  <w:noWrap w:val="0"/>
                  <w:vAlign w:val="center"/>
                </w:tcPr>
                <w:p w14:paraId="11D259E9">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sz w:val="18"/>
                      <w:szCs w:val="18"/>
                      <w:lang w:val="en-US" w:eastAsia="zh-CN"/>
                    </w:rPr>
                  </w:pPr>
                  <w:r>
                    <w:rPr>
                      <w:rFonts w:hint="eastAsia" w:ascii="宋体" w:hAnsi="宋体" w:eastAsia="宋体" w:cs="宋体"/>
                      <w:color w:val="auto"/>
                      <w:kern w:val="0"/>
                      <w:sz w:val="18"/>
                      <w:szCs w:val="18"/>
                      <w:lang w:val="en-US" w:eastAsia="zh-CN" w:bidi="ar"/>
                    </w:rPr>
                    <w:t>高污染高排放行业生态环境源头防控。新（改、扩）建项目严格落实国家产业规划、产业政策、生态环境分区管控方案、规划环评、项目环评、节能审查、产能置换、重点污染物总量控制、污染物排放区域削减、碳排放达峰目标等相关要求。科学精准落实项目环评及</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三同时</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管理要求，建立高污染高排放项目环评管理台账，严格执行环评审批原则和准入条件，推动相关产业优化和结构调整，坚决避免</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一刀切</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持续推进重点行业污染深度治理。继续推进排放总量在</w:t>
                  </w:r>
                  <w:r>
                    <w:rPr>
                      <w:rFonts w:hint="default" w:ascii="Times New Roman" w:hAnsi="Times New Roman" w:eastAsia="宋体" w:cs="Times New Roman"/>
                      <w:color w:val="auto"/>
                      <w:kern w:val="0"/>
                      <w:sz w:val="18"/>
                      <w:szCs w:val="18"/>
                      <w:lang w:val="en-US" w:eastAsia="zh-CN" w:bidi="ar"/>
                    </w:rPr>
                    <w:t>100</w:t>
                  </w:r>
                  <w:r>
                    <w:rPr>
                      <w:rFonts w:hint="eastAsia" w:ascii="宋体" w:hAnsi="宋体" w:eastAsia="宋体" w:cs="宋体"/>
                      <w:color w:val="auto"/>
                      <w:kern w:val="0"/>
                      <w:sz w:val="18"/>
                      <w:szCs w:val="18"/>
                      <w:lang w:val="en-US" w:eastAsia="zh-CN" w:bidi="ar"/>
                    </w:rPr>
                    <w:t>吨以上的</w:t>
                  </w:r>
                  <w:r>
                    <w:rPr>
                      <w:rFonts w:hint="default" w:ascii="Times New Roman" w:hAnsi="Times New Roman" w:eastAsia="宋体" w:cs="Times New Roman"/>
                      <w:color w:val="auto"/>
                      <w:kern w:val="0"/>
                      <w:sz w:val="18"/>
                      <w:szCs w:val="18"/>
                      <w:lang w:val="en-US" w:eastAsia="zh-CN" w:bidi="ar"/>
                    </w:rPr>
                    <w:t>135</w:t>
                  </w:r>
                  <w:r>
                    <w:rPr>
                      <w:rFonts w:hint="eastAsia" w:ascii="宋体" w:hAnsi="宋体" w:eastAsia="宋体" w:cs="宋体"/>
                      <w:color w:val="auto"/>
                      <w:kern w:val="0"/>
                      <w:sz w:val="18"/>
                      <w:szCs w:val="18"/>
                      <w:lang w:val="en-US" w:eastAsia="zh-CN" w:bidi="ar"/>
                    </w:rPr>
                    <w:t>家企业完成</w:t>
                  </w:r>
                  <w:r>
                    <w:rPr>
                      <w:rFonts w:hint="default" w:ascii="Times New Roman" w:hAnsi="Times New Roman" w:eastAsia="宋体" w:cs="Times New Roman"/>
                      <w:color w:val="auto"/>
                      <w:kern w:val="0"/>
                      <w:sz w:val="18"/>
                      <w:szCs w:val="18"/>
                      <w:lang w:val="en-US" w:eastAsia="zh-CN" w:bidi="ar"/>
                    </w:rPr>
                    <w:t>2024—2025</w:t>
                  </w:r>
                  <w:r>
                    <w:rPr>
                      <w:rFonts w:hint="eastAsia" w:ascii="宋体" w:hAnsi="宋体" w:eastAsia="宋体" w:cs="宋体"/>
                      <w:color w:val="auto"/>
                      <w:kern w:val="0"/>
                      <w:sz w:val="18"/>
                      <w:szCs w:val="18"/>
                      <w:lang w:val="en-US" w:eastAsia="zh-CN" w:bidi="ar"/>
                    </w:rPr>
                    <w:t>年</w:t>
                  </w:r>
                  <w:r>
                    <w:rPr>
                      <w:rFonts w:hint="eastAsia"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一企一策</w:t>
                  </w:r>
                  <w:r>
                    <w:rPr>
                      <w:rFonts w:hint="eastAsia"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污染治理措施，同时增加区域内污染物排放总量在</w:t>
                  </w:r>
                  <w:r>
                    <w:rPr>
                      <w:rFonts w:hint="default" w:ascii="Times New Roman" w:hAnsi="Times New Roman" w:eastAsia="宋体" w:cs="Times New Roman"/>
                      <w:color w:val="auto"/>
                      <w:kern w:val="0"/>
                      <w:sz w:val="18"/>
                      <w:szCs w:val="18"/>
                      <w:lang w:val="en-US" w:eastAsia="zh-CN" w:bidi="ar"/>
                    </w:rPr>
                    <w:t>50</w:t>
                  </w:r>
                  <w:r>
                    <w:rPr>
                      <w:rFonts w:hint="eastAsia" w:ascii="宋体" w:hAnsi="宋体" w:eastAsia="宋体" w:cs="宋体"/>
                      <w:color w:val="auto"/>
                      <w:kern w:val="0"/>
                      <w:sz w:val="18"/>
                      <w:szCs w:val="18"/>
                      <w:lang w:val="en-US" w:eastAsia="zh-CN" w:bidi="ar"/>
                    </w:rPr>
                    <w:t>～</w:t>
                  </w:r>
                  <w:r>
                    <w:rPr>
                      <w:rFonts w:hint="default" w:ascii="Times New Roman" w:hAnsi="Times New Roman" w:eastAsia="宋体" w:cs="Times New Roman"/>
                      <w:color w:val="auto"/>
                      <w:kern w:val="0"/>
                      <w:sz w:val="18"/>
                      <w:szCs w:val="18"/>
                      <w:lang w:val="en-US" w:eastAsia="zh-CN" w:bidi="ar"/>
                    </w:rPr>
                    <w:t>100</w:t>
                  </w:r>
                  <w:r>
                    <w:rPr>
                      <w:rFonts w:hint="eastAsia" w:ascii="宋体" w:hAnsi="宋体" w:eastAsia="宋体" w:cs="宋体"/>
                      <w:color w:val="auto"/>
                      <w:kern w:val="0"/>
                      <w:sz w:val="18"/>
                      <w:szCs w:val="18"/>
                      <w:lang w:val="en-US" w:eastAsia="zh-CN" w:bidi="ar"/>
                    </w:rPr>
                    <w:t>吨的</w:t>
                  </w:r>
                  <w:r>
                    <w:rPr>
                      <w:rFonts w:hint="default" w:ascii="Times New Roman" w:hAnsi="Times New Roman" w:eastAsia="宋体" w:cs="Times New Roman"/>
                      <w:color w:val="auto"/>
                      <w:kern w:val="0"/>
                      <w:sz w:val="18"/>
                      <w:szCs w:val="18"/>
                      <w:lang w:val="en-US" w:eastAsia="zh-CN" w:bidi="ar"/>
                    </w:rPr>
                    <w:t>20</w:t>
                  </w:r>
                  <w:r>
                    <w:rPr>
                      <w:rFonts w:hint="eastAsia" w:ascii="宋体" w:hAnsi="宋体" w:eastAsia="宋体" w:cs="宋体"/>
                      <w:color w:val="auto"/>
                      <w:kern w:val="0"/>
                      <w:sz w:val="18"/>
                      <w:szCs w:val="18"/>
                      <w:lang w:val="en-US" w:eastAsia="zh-CN" w:bidi="ar"/>
                    </w:rPr>
                    <w:t>家企业定制</w:t>
                  </w:r>
                  <w:r>
                    <w:rPr>
                      <w:rFonts w:hint="default" w:ascii="Times New Roman" w:hAnsi="Times New Roman" w:eastAsia="宋体" w:cs="Times New Roman"/>
                      <w:color w:val="auto"/>
                      <w:kern w:val="0"/>
                      <w:sz w:val="18"/>
                      <w:szCs w:val="18"/>
                      <w:lang w:val="en-US" w:eastAsia="zh-CN" w:bidi="ar"/>
                    </w:rPr>
                    <w:t>2024—2025</w:t>
                  </w:r>
                  <w:r>
                    <w:rPr>
                      <w:rFonts w:hint="eastAsia" w:ascii="宋体" w:hAnsi="宋体" w:eastAsia="宋体" w:cs="宋体"/>
                      <w:color w:val="auto"/>
                      <w:kern w:val="0"/>
                      <w:sz w:val="18"/>
                      <w:szCs w:val="18"/>
                      <w:lang w:val="en-US" w:eastAsia="zh-CN" w:bidi="ar"/>
                    </w:rPr>
                    <w:t>年</w:t>
                  </w:r>
                  <w:r>
                    <w:rPr>
                      <w:rFonts w:hint="eastAsia"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一企一策</w:t>
                  </w:r>
                  <w:r>
                    <w:rPr>
                      <w:rFonts w:hint="eastAsia" w:ascii="Times New Roman" w:hAnsi="Times New Roman" w:eastAsia="宋体" w:cs="Times New Roman"/>
                      <w:color w:val="auto"/>
                      <w:kern w:val="0"/>
                      <w:sz w:val="18"/>
                      <w:szCs w:val="18"/>
                      <w:lang w:val="en-US" w:eastAsia="zh-CN" w:bidi="ar"/>
                    </w:rPr>
                    <w:t>”</w:t>
                  </w:r>
                  <w:r>
                    <w:rPr>
                      <w:rFonts w:hint="eastAsia" w:ascii="宋体" w:hAnsi="宋体" w:eastAsia="宋体" w:cs="宋体"/>
                      <w:color w:val="auto"/>
                      <w:kern w:val="0"/>
                      <w:sz w:val="18"/>
                      <w:szCs w:val="18"/>
                      <w:lang w:val="en-US" w:eastAsia="zh-CN" w:bidi="ar"/>
                    </w:rPr>
                    <w:t>污染治理方案，选择成熟稳定的高效废气治理技术，明确污染物减排措施和完成时限，实现四项污染物减排约</w:t>
                  </w:r>
                  <w:r>
                    <w:rPr>
                      <w:rFonts w:hint="default" w:ascii="Times New Roman" w:hAnsi="Times New Roman" w:eastAsia="宋体" w:cs="Times New Roman"/>
                      <w:color w:val="auto"/>
                      <w:kern w:val="0"/>
                      <w:sz w:val="18"/>
                      <w:szCs w:val="18"/>
                      <w:lang w:val="en-US" w:eastAsia="zh-CN" w:bidi="ar"/>
                    </w:rPr>
                    <w:t>0.1</w:t>
                  </w:r>
                  <w:r>
                    <w:rPr>
                      <w:rFonts w:hint="eastAsia" w:ascii="宋体" w:hAnsi="宋体" w:eastAsia="宋体" w:cs="宋体"/>
                      <w:color w:val="auto"/>
                      <w:kern w:val="0"/>
                      <w:sz w:val="18"/>
                      <w:szCs w:val="18"/>
                      <w:lang w:val="en-US" w:eastAsia="zh-CN" w:bidi="ar"/>
                    </w:rPr>
                    <w:t>万吨。完成钢铁行业、铸造行业（包括烧结、球团、高炉炼铁等工艺）超低排放改造。完成焦化、水泥行业超低排放改造主体设施建设。实现污染物无组织排放全流程控制和收集处理，实现厂区内无可见烟粉尘及明显异味。全面开展低效失效大气污染治理设施排查整治工作。</w:t>
                  </w:r>
                  <w:r>
                    <w:rPr>
                      <w:rFonts w:hint="default" w:ascii="Times New Roman" w:hAnsi="Times New Roman" w:eastAsia="宋体" w:cs="Times New Roman"/>
                      <w:color w:val="auto"/>
                      <w:kern w:val="0"/>
                      <w:sz w:val="18"/>
                      <w:szCs w:val="18"/>
                      <w:lang w:val="en-US" w:eastAsia="zh-CN" w:bidi="ar"/>
                    </w:rPr>
                    <w:t>”</w:t>
                  </w:r>
                </w:p>
              </w:tc>
              <w:tc>
                <w:tcPr>
                  <w:tcW w:w="1470" w:type="pct"/>
                  <w:tcBorders>
                    <w:tl2br w:val="nil"/>
                    <w:tr2bl w:val="nil"/>
                  </w:tcBorders>
                  <w:noWrap w:val="0"/>
                  <w:vAlign w:val="center"/>
                </w:tcPr>
                <w:p w14:paraId="4F7B1CDF">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cs="Times New Roman"/>
                      <w:color w:val="auto"/>
                      <w:sz w:val="18"/>
                      <w:szCs w:val="18"/>
                      <w:lang w:val="en-US" w:eastAsia="zh-CN"/>
                    </w:rPr>
                  </w:pPr>
                  <w:r>
                    <w:rPr>
                      <w:rFonts w:hint="eastAsia" w:cs="Times New Roman"/>
                      <w:color w:val="auto"/>
                      <w:sz w:val="18"/>
                      <w:szCs w:val="18"/>
                      <w:lang w:val="en-US" w:eastAsia="zh-CN"/>
                    </w:rPr>
                    <w:t>本项目符合园区规划，严格执行三同时制度，污染物全部达标排放</w:t>
                  </w:r>
                </w:p>
              </w:tc>
              <w:tc>
                <w:tcPr>
                  <w:tcW w:w="501" w:type="pct"/>
                  <w:tcBorders>
                    <w:tl2br w:val="nil"/>
                    <w:tr2bl w:val="nil"/>
                  </w:tcBorders>
                  <w:noWrap w:val="0"/>
                  <w:vAlign w:val="center"/>
                </w:tcPr>
                <w:p w14:paraId="48CCE4BE">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符合</w:t>
                  </w:r>
                </w:p>
              </w:tc>
            </w:tr>
            <w:tr w14:paraId="0E0DAA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restart"/>
                  <w:tcBorders>
                    <w:tl2br w:val="nil"/>
                    <w:tr2bl w:val="nil"/>
                  </w:tcBorders>
                  <w:noWrap w:val="0"/>
                  <w:vAlign w:val="center"/>
                </w:tcPr>
                <w:p w14:paraId="7EB6FCEF">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b w:val="0"/>
                      <w:bCs w:val="0"/>
                      <w:color w:val="auto"/>
                      <w:kern w:val="0"/>
                      <w:sz w:val="18"/>
                      <w:szCs w:val="18"/>
                      <w:lang w:val="en-US" w:eastAsia="zh-CN" w:bidi="ar-SA"/>
                    </w:rPr>
                  </w:pPr>
                  <w:r>
                    <w:rPr>
                      <w:rFonts w:hint="default" w:ascii="Times New Roman" w:hAnsi="Times New Roman" w:eastAsia="宋体" w:cs="Times New Roman"/>
                      <w:b w:val="0"/>
                      <w:bCs w:val="0"/>
                      <w:color w:val="auto"/>
                      <w:kern w:val="0"/>
                      <w:sz w:val="18"/>
                      <w:szCs w:val="18"/>
                      <w:lang w:val="en-US" w:eastAsia="zh-CN" w:bidi="ar-SA"/>
                    </w:rPr>
                    <w:t>《新疆维吾尔自治区大气污染防治行动计划实施方案》</w:t>
                  </w:r>
                </w:p>
              </w:tc>
              <w:tc>
                <w:tcPr>
                  <w:tcW w:w="2182" w:type="pct"/>
                  <w:tcBorders>
                    <w:tl2br w:val="nil"/>
                    <w:tr2bl w:val="nil"/>
                  </w:tcBorders>
                  <w:shd w:val="clear" w:color="auto" w:fill="auto"/>
                  <w:noWrap w:val="0"/>
                  <w:vAlign w:val="center"/>
                </w:tcPr>
                <w:p w14:paraId="62CB2966">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eastAsia" w:ascii="宋体" w:hAnsi="宋体" w:eastAsia="宋体" w:cs="宋体"/>
                      <w:color w:val="auto"/>
                      <w:kern w:val="0"/>
                      <w:sz w:val="18"/>
                      <w:szCs w:val="18"/>
                      <w:lang w:val="en-US" w:eastAsia="zh-CN" w:bidi="ar"/>
                    </w:rPr>
                  </w:pPr>
                  <w:r>
                    <w:rPr>
                      <w:rFonts w:hint="eastAsia" w:ascii="宋体" w:hAnsi="宋体" w:eastAsia="宋体" w:cs="宋体"/>
                      <w:color w:val="auto"/>
                      <w:kern w:val="0"/>
                      <w:sz w:val="18"/>
                      <w:szCs w:val="18"/>
                      <w:lang w:val="en-US" w:eastAsia="zh-CN" w:bidi="ar"/>
                    </w:rPr>
                    <w:t>1.推进重点区域大气污染联防联控。继续做好乌鲁木齐区域(乌鲁木齐市、昌吉市、阜康市、五家渠市)大气污染联防联控工作，并在奎屯—独山子—乌苏区域、克拉玛依市、石河子市、库尔勒市分别设立自治区级大气污染联防联控区。其他地区根据大气主要污染物特征及影响因素，突出抓好城市区域大气污染防治。</w:t>
                  </w:r>
                </w:p>
              </w:tc>
              <w:tc>
                <w:tcPr>
                  <w:tcW w:w="1470" w:type="pct"/>
                  <w:vMerge w:val="restart"/>
                  <w:tcBorders>
                    <w:tl2br w:val="nil"/>
                    <w:tr2bl w:val="nil"/>
                  </w:tcBorders>
                  <w:noWrap w:val="0"/>
                  <w:vAlign w:val="center"/>
                </w:tcPr>
                <w:p w14:paraId="3EB30430">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cs="Times New Roman"/>
                      <w:color w:val="auto"/>
                      <w:sz w:val="18"/>
                      <w:szCs w:val="18"/>
                      <w:lang w:val="en-US" w:eastAsia="zh-CN"/>
                    </w:rPr>
                  </w:pPr>
                  <w:r>
                    <w:rPr>
                      <w:rFonts w:hint="eastAsia" w:cs="Times New Roman"/>
                      <w:color w:val="auto"/>
                      <w:sz w:val="18"/>
                      <w:szCs w:val="18"/>
                      <w:lang w:val="en-US" w:eastAsia="zh-CN"/>
                    </w:rPr>
                    <w:t>本项目位于重点区域，废气排放执行特别排放限值</w:t>
                  </w:r>
                </w:p>
              </w:tc>
              <w:tc>
                <w:tcPr>
                  <w:tcW w:w="501" w:type="pct"/>
                  <w:tcBorders>
                    <w:tl2br w:val="nil"/>
                    <w:tr2bl w:val="nil"/>
                  </w:tcBorders>
                  <w:noWrap w:val="0"/>
                  <w:vAlign w:val="center"/>
                </w:tcPr>
                <w:p w14:paraId="0250247B">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符合</w:t>
                  </w:r>
                </w:p>
              </w:tc>
            </w:tr>
            <w:tr w14:paraId="51DBA6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continue"/>
                  <w:tcBorders>
                    <w:tl2br w:val="nil"/>
                    <w:tr2bl w:val="nil"/>
                  </w:tcBorders>
                  <w:noWrap w:val="0"/>
                  <w:vAlign w:val="center"/>
                </w:tcPr>
                <w:p w14:paraId="00DA1D27">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b w:val="0"/>
                      <w:bCs w:val="0"/>
                      <w:color w:val="auto"/>
                      <w:kern w:val="0"/>
                      <w:sz w:val="18"/>
                      <w:szCs w:val="18"/>
                      <w:lang w:val="en-US" w:eastAsia="zh-CN" w:bidi="ar-SA"/>
                    </w:rPr>
                  </w:pPr>
                </w:p>
              </w:tc>
              <w:tc>
                <w:tcPr>
                  <w:tcW w:w="2182" w:type="pct"/>
                  <w:tcBorders>
                    <w:tl2br w:val="nil"/>
                    <w:tr2bl w:val="nil"/>
                  </w:tcBorders>
                  <w:shd w:val="clear" w:color="auto" w:fill="auto"/>
                  <w:noWrap w:val="0"/>
                  <w:vAlign w:val="center"/>
                </w:tcPr>
                <w:p w14:paraId="3F12E4A4">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eastAsia" w:ascii="宋体" w:hAnsi="宋体" w:eastAsia="宋体" w:cs="宋体"/>
                      <w:color w:val="auto"/>
                      <w:kern w:val="0"/>
                      <w:sz w:val="18"/>
                      <w:szCs w:val="18"/>
                      <w:lang w:val="en-US" w:eastAsia="zh-CN" w:bidi="ar"/>
                    </w:rPr>
                  </w:pPr>
                  <w:r>
                    <w:rPr>
                      <w:rFonts w:hint="eastAsia" w:ascii="宋体" w:hAnsi="宋体" w:eastAsia="宋体" w:cs="宋体"/>
                      <w:color w:val="auto"/>
                      <w:kern w:val="0"/>
                      <w:sz w:val="18"/>
                      <w:szCs w:val="18"/>
                      <w:lang w:val="en-US" w:eastAsia="zh-CN" w:bidi="ar"/>
                    </w:rPr>
                    <w:t>提高重点区域污染防治水平。国家和自治区大气污染联防联控区域内新建火电、钢铁、石化、水泥、有色金属冶炼、化工等企业以及燃煤锅炉要执行大气污染物特别排放限值，现有企业要按规定时限达到大气污染物特别排放限值要求，对达不到要求的，要采取限期治理、关停等措施。</w:t>
                  </w:r>
                </w:p>
              </w:tc>
              <w:tc>
                <w:tcPr>
                  <w:tcW w:w="1470" w:type="pct"/>
                  <w:vMerge w:val="continue"/>
                  <w:tcBorders>
                    <w:tl2br w:val="nil"/>
                    <w:tr2bl w:val="nil"/>
                  </w:tcBorders>
                  <w:noWrap w:val="0"/>
                  <w:vAlign w:val="center"/>
                </w:tcPr>
                <w:p w14:paraId="6F920807">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eastAsia" w:cs="Times New Roman"/>
                      <w:color w:val="auto"/>
                      <w:sz w:val="18"/>
                      <w:szCs w:val="18"/>
                      <w:lang w:val="en-US" w:eastAsia="zh-CN"/>
                    </w:rPr>
                  </w:pPr>
                </w:p>
              </w:tc>
              <w:tc>
                <w:tcPr>
                  <w:tcW w:w="501" w:type="pct"/>
                  <w:tcBorders>
                    <w:tl2br w:val="nil"/>
                    <w:tr2bl w:val="nil"/>
                  </w:tcBorders>
                  <w:noWrap w:val="0"/>
                  <w:vAlign w:val="center"/>
                </w:tcPr>
                <w:p w14:paraId="7B8E234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符合</w:t>
                  </w:r>
                </w:p>
              </w:tc>
            </w:tr>
            <w:tr w14:paraId="7AB1AF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restart"/>
                  <w:tcBorders>
                    <w:tl2br w:val="nil"/>
                    <w:tr2bl w:val="nil"/>
                  </w:tcBorders>
                  <w:noWrap w:val="0"/>
                  <w:vAlign w:val="center"/>
                </w:tcPr>
                <w:p w14:paraId="30428769">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eastAsia="宋体" w:cs="Times New Roman"/>
                      <w:b w:val="0"/>
                      <w:bCs w:val="0"/>
                      <w:color w:val="auto"/>
                      <w:kern w:val="0"/>
                      <w:sz w:val="18"/>
                      <w:szCs w:val="18"/>
                      <w:lang w:val="en-US" w:eastAsia="zh-CN" w:bidi="ar-SA"/>
                    </w:rPr>
                  </w:pPr>
                  <w:r>
                    <w:rPr>
                      <w:rFonts w:hint="default" w:ascii="Times New Roman" w:hAnsi="Times New Roman" w:cs="Times New Roman"/>
                      <w:b w:val="0"/>
                      <w:bCs w:val="0"/>
                      <w:color w:val="auto"/>
                      <w:kern w:val="0"/>
                      <w:sz w:val="18"/>
                      <w:szCs w:val="18"/>
                      <w:lang w:val="en-US" w:eastAsia="zh-CN" w:bidi="ar-SA"/>
                    </w:rPr>
                    <w:t>《工业炉窑大气污染综合治理方案》（环大气[2019]56号）</w:t>
                  </w:r>
                </w:p>
              </w:tc>
              <w:tc>
                <w:tcPr>
                  <w:tcW w:w="2182" w:type="pct"/>
                  <w:tcBorders>
                    <w:tl2br w:val="nil"/>
                    <w:tr2bl w:val="nil"/>
                  </w:tcBorders>
                  <w:shd w:val="clear" w:color="auto" w:fill="auto"/>
                  <w:noWrap w:val="0"/>
                  <w:vAlign w:val="center"/>
                </w:tcPr>
                <w:p w14:paraId="6472D4DA">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kern w:val="0"/>
                      <w:sz w:val="18"/>
                      <w:szCs w:val="18"/>
                      <w:lang w:val="en-US" w:eastAsia="zh-CN" w:bidi="ar"/>
                    </w:rPr>
                  </w:pPr>
                  <w:r>
                    <w:rPr>
                      <w:rFonts w:hint="default" w:ascii="Times New Roman" w:hAnsi="Times New Roman" w:eastAsia="宋体" w:cs="Times New Roman"/>
                      <w:color w:val="auto"/>
                      <w:kern w:val="0"/>
                      <w:sz w:val="18"/>
                      <w:szCs w:val="18"/>
                      <w:lang w:val="en-US" w:eastAsia="zh-CN" w:bidi="ar"/>
                    </w:rPr>
                    <w:t>（一）加大产业结构调整力度。严格建设项目环境准入。新建涉工业炉窑的建设项目，原则上要入园区，配套建设高效环保治理设施。重点区域严格控制涉工业炉窑建设项目，严禁新增钢铁、焦化、电解铝、铸造、水泥和平板玻璃等产能；严格执行钢铁、水泥、平板玻璃等行业产能置换实施办法；原则上禁止新建燃料类煤气发生炉（园区现有企业统一建设的清洁煤制气中心除外）。</w:t>
                  </w:r>
                </w:p>
                <w:p w14:paraId="51F1F42E">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kern w:val="0"/>
                      <w:sz w:val="18"/>
                      <w:szCs w:val="18"/>
                      <w:lang w:val="en-US" w:eastAsia="zh-CN" w:bidi="ar"/>
                    </w:rPr>
                  </w:pPr>
                  <w:r>
                    <w:rPr>
                      <w:rFonts w:hint="default" w:ascii="Times New Roman" w:hAnsi="Times New Roman" w:eastAsia="宋体" w:cs="Times New Roman"/>
                      <w:color w:val="auto"/>
                      <w:kern w:val="0"/>
                      <w:sz w:val="18"/>
                      <w:szCs w:val="18"/>
                      <w:lang w:val="en-US" w:eastAsia="zh-CN" w:bidi="ar"/>
                    </w:rPr>
                    <w:t>加大落后产能和不达标工业炉窑淘汰力度。分行业清理《产业结构调整指导目录》淘汰类工业炉窑</w:t>
                  </w:r>
                  <w:r>
                    <w:rPr>
                      <w:rFonts w:hint="eastAsia" w:ascii="Times New Roman" w:hAnsi="Times New Roman" w:cs="Times New Roman"/>
                      <w:color w:val="auto"/>
                      <w:kern w:val="0"/>
                      <w:sz w:val="18"/>
                      <w:szCs w:val="18"/>
                      <w:lang w:val="en-US" w:eastAsia="zh-CN" w:bidi="ar"/>
                    </w:rPr>
                    <w:t>。</w:t>
                  </w:r>
                </w:p>
              </w:tc>
              <w:tc>
                <w:tcPr>
                  <w:tcW w:w="1470" w:type="pct"/>
                  <w:tcBorders>
                    <w:tl2br w:val="nil"/>
                    <w:tr2bl w:val="nil"/>
                  </w:tcBorders>
                  <w:noWrap w:val="0"/>
                  <w:vAlign w:val="center"/>
                </w:tcPr>
                <w:p w14:paraId="23436ADC">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本项目涉及工业炉窑，位于昌吉高新技术产业开发区，不属于淘汰类工业炉窑</w:t>
                  </w:r>
                </w:p>
              </w:tc>
              <w:tc>
                <w:tcPr>
                  <w:tcW w:w="501" w:type="pct"/>
                  <w:tcBorders>
                    <w:tl2br w:val="nil"/>
                    <w:tr2bl w:val="nil"/>
                  </w:tcBorders>
                  <w:noWrap w:val="0"/>
                  <w:vAlign w:val="center"/>
                </w:tcPr>
                <w:p w14:paraId="0D8B6A69">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符合</w:t>
                  </w:r>
                </w:p>
              </w:tc>
            </w:tr>
            <w:tr w14:paraId="17566F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continue"/>
                  <w:tcBorders>
                    <w:tl2br w:val="nil"/>
                    <w:tr2bl w:val="nil"/>
                  </w:tcBorders>
                  <w:noWrap w:val="0"/>
                  <w:vAlign w:val="center"/>
                </w:tcPr>
                <w:p w14:paraId="4887C664">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cs="Times New Roman"/>
                      <w:b w:val="0"/>
                      <w:bCs w:val="0"/>
                      <w:color w:val="auto"/>
                      <w:kern w:val="0"/>
                      <w:sz w:val="18"/>
                      <w:szCs w:val="18"/>
                      <w:lang w:val="en-US" w:eastAsia="zh-CN" w:bidi="ar-SA"/>
                    </w:rPr>
                  </w:pPr>
                </w:p>
              </w:tc>
              <w:tc>
                <w:tcPr>
                  <w:tcW w:w="2182" w:type="pct"/>
                  <w:tcBorders>
                    <w:tl2br w:val="nil"/>
                    <w:tr2bl w:val="nil"/>
                  </w:tcBorders>
                  <w:shd w:val="clear" w:color="auto" w:fill="auto"/>
                  <w:noWrap w:val="0"/>
                  <w:vAlign w:val="center"/>
                </w:tcPr>
                <w:p w14:paraId="50BAE1EC">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kern w:val="0"/>
                      <w:sz w:val="18"/>
                      <w:szCs w:val="18"/>
                      <w:lang w:val="en-US" w:eastAsia="zh-CN" w:bidi="ar"/>
                    </w:rPr>
                  </w:pPr>
                  <w:r>
                    <w:rPr>
                      <w:rFonts w:hint="default" w:ascii="Times New Roman" w:hAnsi="Times New Roman" w:eastAsia="宋体" w:cs="Times New Roman"/>
                      <w:color w:val="auto"/>
                      <w:kern w:val="0"/>
                      <w:sz w:val="18"/>
                      <w:szCs w:val="18"/>
                      <w:lang w:val="en-US" w:eastAsia="zh-CN" w:bidi="ar"/>
                    </w:rPr>
                    <w:t>加快燃料清洁低碳化替代。对以煤、石油焦、渣油、重油等为燃料的工业炉窑，加快使用清洁低碳能源以及利用工厂余热、电厂热力等进行替代。重点区域禁止掺烧高硫石油焦（硫含量大于3%）。玻璃行业全面禁止掺烧高硫石油焦。</w:t>
                  </w:r>
                </w:p>
              </w:tc>
              <w:tc>
                <w:tcPr>
                  <w:tcW w:w="1470" w:type="pct"/>
                  <w:tcBorders>
                    <w:tl2br w:val="nil"/>
                    <w:tr2bl w:val="nil"/>
                  </w:tcBorders>
                  <w:noWrap w:val="0"/>
                  <w:vAlign w:val="center"/>
                </w:tcPr>
                <w:p w14:paraId="7C5217E8">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本项目工业炉窑全部使用清洁燃料天然气</w:t>
                  </w:r>
                </w:p>
              </w:tc>
              <w:tc>
                <w:tcPr>
                  <w:tcW w:w="501" w:type="pct"/>
                  <w:tcBorders>
                    <w:tl2br w:val="nil"/>
                    <w:tr2bl w:val="nil"/>
                  </w:tcBorders>
                  <w:noWrap w:val="0"/>
                  <w:vAlign w:val="center"/>
                </w:tcPr>
                <w:p w14:paraId="33714F9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cs="Times New Roman"/>
                      <w:color w:val="auto"/>
                      <w:sz w:val="18"/>
                      <w:szCs w:val="18"/>
                      <w:lang w:val="en-US" w:eastAsia="zh-CN"/>
                    </w:rPr>
                  </w:pPr>
                  <w:r>
                    <w:rPr>
                      <w:rFonts w:hint="eastAsia" w:cs="Times New Roman"/>
                      <w:color w:val="auto"/>
                      <w:sz w:val="18"/>
                      <w:szCs w:val="18"/>
                      <w:lang w:val="en-US" w:eastAsia="zh-CN"/>
                    </w:rPr>
                    <w:t>符合</w:t>
                  </w:r>
                </w:p>
              </w:tc>
            </w:tr>
            <w:tr w14:paraId="192922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continue"/>
                  <w:tcBorders>
                    <w:tl2br w:val="nil"/>
                    <w:tr2bl w:val="nil"/>
                  </w:tcBorders>
                  <w:noWrap w:val="0"/>
                  <w:vAlign w:val="center"/>
                </w:tcPr>
                <w:p w14:paraId="4D58D05E">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cs="Times New Roman"/>
                      <w:b w:val="0"/>
                      <w:bCs w:val="0"/>
                      <w:color w:val="auto"/>
                      <w:kern w:val="0"/>
                      <w:sz w:val="18"/>
                      <w:szCs w:val="18"/>
                      <w:lang w:val="en-US" w:eastAsia="zh-CN" w:bidi="ar-SA"/>
                    </w:rPr>
                  </w:pPr>
                </w:p>
              </w:tc>
              <w:tc>
                <w:tcPr>
                  <w:tcW w:w="2182" w:type="pct"/>
                  <w:tcBorders>
                    <w:tl2br w:val="nil"/>
                    <w:tr2bl w:val="nil"/>
                  </w:tcBorders>
                  <w:shd w:val="clear" w:color="auto" w:fill="auto"/>
                  <w:noWrap w:val="0"/>
                  <w:vAlign w:val="center"/>
                </w:tcPr>
                <w:p w14:paraId="20EE3A99">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kern w:val="0"/>
                      <w:sz w:val="18"/>
                      <w:szCs w:val="18"/>
                      <w:lang w:val="en-US" w:eastAsia="zh-CN" w:bidi="ar"/>
                    </w:rPr>
                  </w:pPr>
                  <w:r>
                    <w:rPr>
                      <w:rFonts w:hint="default" w:ascii="Times New Roman" w:hAnsi="Times New Roman" w:eastAsia="宋体" w:cs="Times New Roman"/>
                      <w:color w:val="auto"/>
                      <w:kern w:val="0"/>
                      <w:sz w:val="18"/>
                      <w:szCs w:val="18"/>
                      <w:lang w:val="en-US" w:eastAsia="zh-CN" w:bidi="ar"/>
                    </w:rPr>
                    <w:t>实施污染深度治理。推进工业炉窑全面达标排放。已有行业排放标准的工业炉窑，严格执行行业排放标准相关规定，配套建设高效脱硫脱硝除尘设施，确保稳定达标排放。已制定更严格地方排放标准的，按地方标准执行。重点区域钢铁、水泥、焦化、石化、化工、有色等行业，二氧化硫、氮氧化物、颗粒物、挥发性有机物（VOCs）排放全面执行大气污染物特别排放限值。已核发排污许可证的，应严格执行许可要求。</w:t>
                  </w:r>
                </w:p>
                <w:p w14:paraId="75F3AA53">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kern w:val="0"/>
                      <w:sz w:val="18"/>
                      <w:szCs w:val="18"/>
                      <w:lang w:val="en-US" w:eastAsia="zh-CN" w:bidi="ar"/>
                    </w:rPr>
                  </w:pPr>
                  <w:r>
                    <w:rPr>
                      <w:rFonts w:hint="default" w:ascii="Times New Roman" w:hAnsi="Times New Roman" w:eastAsia="宋体" w:cs="Times New Roman"/>
                      <w:color w:val="auto"/>
                      <w:kern w:val="0"/>
                      <w:sz w:val="18"/>
                      <w:szCs w:val="18"/>
                      <w:lang w:val="en-US" w:eastAsia="zh-CN" w:bidi="ar"/>
                    </w:rPr>
                    <w:t>推进重点行业污染深度治理。落实《关于推进实施钢铁行业超低排放的意见》，加快推进钢铁行业超低排放改造。</w:t>
                  </w:r>
                </w:p>
              </w:tc>
              <w:tc>
                <w:tcPr>
                  <w:tcW w:w="1470" w:type="pct"/>
                  <w:tcBorders>
                    <w:tl2br w:val="nil"/>
                    <w:tr2bl w:val="nil"/>
                  </w:tcBorders>
                  <w:noWrap w:val="0"/>
                  <w:vAlign w:val="center"/>
                </w:tcPr>
                <w:p w14:paraId="22F9CADA">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本项目工业炉窑废气排放标准执行</w:t>
                  </w:r>
                  <w:r>
                    <w:rPr>
                      <w:rFonts w:hint="eastAsia" w:eastAsia="宋体" w:cs="Times New Roman"/>
                      <w:color w:val="auto"/>
                      <w:kern w:val="2"/>
                      <w:sz w:val="18"/>
                      <w:szCs w:val="18"/>
                      <w:lang w:val="en-US" w:eastAsia="zh-CN" w:bidi="ar-SA"/>
                    </w:rPr>
                    <w:t>《</w:t>
                  </w:r>
                  <w:r>
                    <w:rPr>
                      <w:rFonts w:hint="eastAsia" w:cs="Times New Roman"/>
                      <w:color w:val="auto"/>
                      <w:kern w:val="2"/>
                      <w:sz w:val="18"/>
                      <w:szCs w:val="18"/>
                      <w:lang w:val="en-US" w:eastAsia="zh-CN" w:bidi="ar-SA"/>
                    </w:rPr>
                    <w:t>轧钢</w:t>
                  </w:r>
                  <w:r>
                    <w:rPr>
                      <w:rFonts w:hint="eastAsia" w:eastAsia="宋体" w:cs="Times New Roman"/>
                      <w:color w:val="auto"/>
                      <w:kern w:val="2"/>
                      <w:sz w:val="18"/>
                      <w:szCs w:val="18"/>
                      <w:lang w:val="en-US" w:eastAsia="zh-CN" w:bidi="ar-SA"/>
                    </w:rPr>
                    <w:t>工业大气污染物排放标准》（GB2866</w:t>
                  </w:r>
                  <w:r>
                    <w:rPr>
                      <w:rFonts w:hint="eastAsia" w:cs="Times New Roman"/>
                      <w:color w:val="auto"/>
                      <w:kern w:val="2"/>
                      <w:sz w:val="18"/>
                      <w:szCs w:val="18"/>
                      <w:lang w:val="en-US" w:eastAsia="zh-CN" w:bidi="ar-SA"/>
                    </w:rPr>
                    <w:t>5</w:t>
                  </w:r>
                  <w:r>
                    <w:rPr>
                      <w:rFonts w:hint="eastAsia" w:eastAsia="宋体" w:cs="Times New Roman"/>
                      <w:color w:val="auto"/>
                      <w:kern w:val="2"/>
                      <w:sz w:val="18"/>
                      <w:szCs w:val="18"/>
                      <w:lang w:val="en-US" w:eastAsia="zh-CN" w:bidi="ar-SA"/>
                    </w:rPr>
                    <w:t>-2012）</w:t>
                  </w:r>
                  <w:r>
                    <w:rPr>
                      <w:rFonts w:hint="eastAsia" w:cs="Times New Roman"/>
                      <w:color w:val="auto"/>
                      <w:kern w:val="2"/>
                      <w:sz w:val="18"/>
                      <w:szCs w:val="18"/>
                      <w:lang w:val="en-US" w:eastAsia="zh-CN" w:bidi="ar-SA"/>
                    </w:rPr>
                    <w:t>及其修改单</w:t>
                  </w:r>
                  <w:r>
                    <w:rPr>
                      <w:rFonts w:hint="eastAsia" w:eastAsia="宋体" w:cs="Times New Roman"/>
                      <w:color w:val="auto"/>
                      <w:kern w:val="2"/>
                      <w:sz w:val="18"/>
                      <w:szCs w:val="18"/>
                      <w:lang w:val="en-US" w:eastAsia="zh-CN" w:bidi="ar-SA"/>
                    </w:rPr>
                    <w:t>表3</w:t>
                  </w:r>
                  <w:r>
                    <w:rPr>
                      <w:rFonts w:hint="eastAsia" w:cs="Times New Roman"/>
                      <w:color w:val="auto"/>
                      <w:kern w:val="2"/>
                      <w:sz w:val="18"/>
                      <w:szCs w:val="18"/>
                      <w:lang w:val="en-US" w:eastAsia="zh-CN" w:bidi="ar-SA"/>
                    </w:rPr>
                    <w:t>及</w:t>
                  </w:r>
                  <w:r>
                    <w:rPr>
                      <w:rFonts w:hint="default" w:ascii="Times New Roman" w:hAnsi="Times New Roman" w:eastAsia="宋体" w:cs="Times New Roman"/>
                      <w:color w:val="auto"/>
                      <w:kern w:val="0"/>
                      <w:sz w:val="18"/>
                      <w:szCs w:val="18"/>
                      <w:lang w:val="en-US" w:eastAsia="zh-CN" w:bidi="ar"/>
                    </w:rPr>
                    <w:t>《关于推进实施钢铁行业超低排放的意见》</w:t>
                  </w:r>
                  <w:r>
                    <w:rPr>
                      <w:rFonts w:hint="eastAsia" w:cs="Times New Roman"/>
                      <w:color w:val="auto"/>
                      <w:kern w:val="0"/>
                      <w:sz w:val="18"/>
                      <w:szCs w:val="18"/>
                      <w:lang w:val="en-US" w:eastAsia="zh-CN" w:bidi="ar"/>
                    </w:rPr>
                    <w:t>中相关要求</w:t>
                  </w:r>
                </w:p>
              </w:tc>
              <w:tc>
                <w:tcPr>
                  <w:tcW w:w="501" w:type="pct"/>
                  <w:tcBorders>
                    <w:tl2br w:val="nil"/>
                    <w:tr2bl w:val="nil"/>
                  </w:tcBorders>
                  <w:noWrap w:val="0"/>
                  <w:vAlign w:val="center"/>
                </w:tcPr>
                <w:p w14:paraId="63C7D53C">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cs="Times New Roman"/>
                      <w:color w:val="auto"/>
                      <w:sz w:val="18"/>
                      <w:szCs w:val="18"/>
                      <w:lang w:val="en-US" w:eastAsia="zh-CN"/>
                    </w:rPr>
                  </w:pPr>
                  <w:r>
                    <w:rPr>
                      <w:rFonts w:hint="eastAsia" w:cs="Times New Roman"/>
                      <w:color w:val="auto"/>
                      <w:sz w:val="18"/>
                      <w:szCs w:val="18"/>
                      <w:lang w:val="en-US" w:eastAsia="zh-CN"/>
                    </w:rPr>
                    <w:t>符合</w:t>
                  </w:r>
                </w:p>
              </w:tc>
            </w:tr>
            <w:tr w14:paraId="25B8D4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continue"/>
                  <w:tcBorders>
                    <w:tl2br w:val="nil"/>
                    <w:tr2bl w:val="nil"/>
                  </w:tcBorders>
                  <w:noWrap w:val="0"/>
                  <w:vAlign w:val="center"/>
                </w:tcPr>
                <w:p w14:paraId="4F022D24">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cs="Times New Roman"/>
                      <w:b w:val="0"/>
                      <w:bCs w:val="0"/>
                      <w:color w:val="auto"/>
                      <w:kern w:val="0"/>
                      <w:sz w:val="18"/>
                      <w:szCs w:val="18"/>
                      <w:lang w:val="en-US" w:eastAsia="zh-CN" w:bidi="ar-SA"/>
                    </w:rPr>
                  </w:pPr>
                </w:p>
              </w:tc>
              <w:tc>
                <w:tcPr>
                  <w:tcW w:w="2182" w:type="pct"/>
                  <w:tcBorders>
                    <w:tl2br w:val="nil"/>
                    <w:tr2bl w:val="nil"/>
                  </w:tcBorders>
                  <w:shd w:val="clear" w:color="auto" w:fill="auto"/>
                  <w:noWrap w:val="0"/>
                  <w:vAlign w:val="center"/>
                </w:tcPr>
                <w:p w14:paraId="60DD8816">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kern w:val="0"/>
                      <w:sz w:val="18"/>
                      <w:szCs w:val="18"/>
                      <w:lang w:val="en-US" w:eastAsia="zh-CN" w:bidi="ar"/>
                    </w:rPr>
                  </w:pPr>
                  <w:r>
                    <w:rPr>
                      <w:rFonts w:hint="default" w:ascii="Times New Roman" w:hAnsi="Times New Roman" w:eastAsia="宋体" w:cs="Times New Roman"/>
                      <w:color w:val="auto"/>
                      <w:kern w:val="0"/>
                      <w:sz w:val="18"/>
                      <w:szCs w:val="18"/>
                      <w:lang w:val="en-US" w:eastAsia="zh-CN" w:bidi="ar"/>
                    </w:rPr>
                    <w:t>开展工业园区和产业集群综合整治。各地要加大涉工业炉窑类工业园区和产业集群的综合整治力度，结合“三线一单”（生态保护红线、环境质量底线、资源利用上线和生态环境准入清单）、规划环评等要求，进一步梳理确定园区和产业发展定位、规模及结构等。制定综合整治方案，对标先进企业，从生产工艺、产能规模、燃料类型、污染治理等方面提出明确要求，提升产业发展质量和环保治理水平。按照统一标准、统一时间表的要求，同步推进区域环境综合整治和企业升级改造。加强工业园区能源替代利用与资源共享，积极推广集中供汽供热或建设清洁低碳能源中心等，替代工业炉窑燃料用煤；充分利用园区内工厂余热、焦炉煤气等清洁低碳能源，加强分质与梯级利用，提高能源利用效率，促进形成清洁低碳高效产业链。</w:t>
                  </w:r>
                </w:p>
              </w:tc>
              <w:tc>
                <w:tcPr>
                  <w:tcW w:w="1470" w:type="pct"/>
                  <w:tcBorders>
                    <w:tl2br w:val="nil"/>
                    <w:tr2bl w:val="nil"/>
                  </w:tcBorders>
                  <w:noWrap w:val="0"/>
                  <w:vAlign w:val="center"/>
                </w:tcPr>
                <w:p w14:paraId="26612FAF">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本项目符合园区产业定位和发展规划，符合当地生态环境分区管控要求，属于准入项目；项目使用清洁能源</w:t>
                  </w:r>
                </w:p>
              </w:tc>
              <w:tc>
                <w:tcPr>
                  <w:tcW w:w="501" w:type="pct"/>
                  <w:tcBorders>
                    <w:tl2br w:val="nil"/>
                    <w:tr2bl w:val="nil"/>
                  </w:tcBorders>
                  <w:noWrap w:val="0"/>
                  <w:vAlign w:val="center"/>
                </w:tcPr>
                <w:p w14:paraId="58343DCE">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cs="Times New Roman"/>
                      <w:color w:val="auto"/>
                      <w:sz w:val="18"/>
                      <w:szCs w:val="18"/>
                      <w:lang w:val="en-US" w:eastAsia="zh-CN"/>
                    </w:rPr>
                  </w:pPr>
                  <w:r>
                    <w:rPr>
                      <w:rFonts w:hint="eastAsia" w:cs="Times New Roman"/>
                      <w:color w:val="auto"/>
                      <w:sz w:val="18"/>
                      <w:szCs w:val="18"/>
                      <w:lang w:val="en-US" w:eastAsia="zh-CN"/>
                    </w:rPr>
                    <w:t>符合</w:t>
                  </w:r>
                </w:p>
              </w:tc>
            </w:tr>
            <w:tr w14:paraId="119E37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restart"/>
                  <w:tcBorders>
                    <w:tl2br w:val="nil"/>
                    <w:tr2bl w:val="nil"/>
                  </w:tcBorders>
                  <w:noWrap w:val="0"/>
                  <w:vAlign w:val="center"/>
                </w:tcPr>
                <w:p w14:paraId="708100BA">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cs="Times New Roman"/>
                      <w:b w:val="0"/>
                      <w:bCs w:val="0"/>
                      <w:color w:val="auto"/>
                      <w:kern w:val="0"/>
                      <w:sz w:val="18"/>
                      <w:szCs w:val="18"/>
                      <w:lang w:val="en-US" w:eastAsia="zh-CN" w:bidi="ar-SA"/>
                    </w:rPr>
                  </w:pPr>
                  <w:r>
                    <w:rPr>
                      <w:rFonts w:hint="eastAsia" w:cs="Times New Roman"/>
                      <w:b w:val="0"/>
                      <w:bCs w:val="0"/>
                      <w:color w:val="auto"/>
                      <w:kern w:val="0"/>
                      <w:sz w:val="18"/>
                      <w:szCs w:val="18"/>
                      <w:lang w:val="en-US" w:eastAsia="zh-CN" w:bidi="ar-SA"/>
                    </w:rPr>
                    <w:t>《</w:t>
                  </w:r>
                  <w:r>
                    <w:rPr>
                      <w:rFonts w:hint="default" w:ascii="Times New Roman" w:hAnsi="Times New Roman" w:cs="Times New Roman"/>
                      <w:b w:val="0"/>
                      <w:bCs w:val="0"/>
                      <w:color w:val="auto"/>
                      <w:kern w:val="0"/>
                      <w:sz w:val="18"/>
                      <w:szCs w:val="18"/>
                      <w:lang w:val="en-US" w:eastAsia="zh-CN" w:bidi="ar-SA"/>
                    </w:rPr>
                    <w:t>关于推进实施钢铁行业超低排放的意见</w:t>
                  </w:r>
                  <w:r>
                    <w:rPr>
                      <w:rFonts w:hint="eastAsia" w:cs="Times New Roman"/>
                      <w:b w:val="0"/>
                      <w:bCs w:val="0"/>
                      <w:color w:val="auto"/>
                      <w:kern w:val="0"/>
                      <w:sz w:val="18"/>
                      <w:szCs w:val="18"/>
                      <w:lang w:val="en-US" w:eastAsia="zh-CN" w:bidi="ar-SA"/>
                    </w:rPr>
                    <w:t>》</w:t>
                  </w:r>
                  <w:r>
                    <w:rPr>
                      <w:rFonts w:hint="default" w:ascii="Times New Roman" w:hAnsi="Times New Roman" w:cs="Times New Roman"/>
                      <w:b w:val="0"/>
                      <w:bCs w:val="0"/>
                      <w:color w:val="auto"/>
                      <w:kern w:val="0"/>
                      <w:sz w:val="18"/>
                      <w:szCs w:val="18"/>
                      <w:lang w:val="en-US" w:eastAsia="zh-CN" w:bidi="ar-SA"/>
                    </w:rPr>
                    <w:t>（环大气[2019]</w:t>
                  </w:r>
                  <w:r>
                    <w:rPr>
                      <w:rFonts w:hint="eastAsia" w:ascii="Times New Roman" w:hAnsi="Times New Roman" w:cs="Times New Roman"/>
                      <w:b w:val="0"/>
                      <w:bCs w:val="0"/>
                      <w:color w:val="auto"/>
                      <w:kern w:val="0"/>
                      <w:sz w:val="18"/>
                      <w:szCs w:val="18"/>
                      <w:lang w:val="en-US" w:eastAsia="zh-CN" w:bidi="ar-SA"/>
                    </w:rPr>
                    <w:t>35</w:t>
                  </w:r>
                  <w:r>
                    <w:rPr>
                      <w:rFonts w:hint="default" w:ascii="Times New Roman" w:hAnsi="Times New Roman" w:cs="Times New Roman"/>
                      <w:b w:val="0"/>
                      <w:bCs w:val="0"/>
                      <w:color w:val="auto"/>
                      <w:kern w:val="0"/>
                      <w:sz w:val="18"/>
                      <w:szCs w:val="18"/>
                      <w:lang w:val="en-US" w:eastAsia="zh-CN" w:bidi="ar-SA"/>
                    </w:rPr>
                    <w:t>号）</w:t>
                  </w:r>
                </w:p>
              </w:tc>
              <w:tc>
                <w:tcPr>
                  <w:tcW w:w="2182" w:type="pct"/>
                  <w:tcBorders>
                    <w:tl2br w:val="nil"/>
                    <w:tr2bl w:val="nil"/>
                  </w:tcBorders>
                  <w:shd w:val="clear" w:color="auto" w:fill="auto"/>
                  <w:noWrap w:val="0"/>
                  <w:vAlign w:val="center"/>
                </w:tcPr>
                <w:p w14:paraId="30FDC291">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kern w:val="0"/>
                      <w:sz w:val="18"/>
                      <w:szCs w:val="18"/>
                      <w:lang w:val="en-US" w:eastAsia="zh-CN" w:bidi="ar"/>
                    </w:rPr>
                  </w:pPr>
                  <w:r>
                    <w:rPr>
                      <w:rFonts w:hint="eastAsia" w:ascii="Times New Roman" w:hAnsi="Times New Roman" w:eastAsia="宋体" w:cs="Times New Roman"/>
                      <w:color w:val="auto"/>
                      <w:kern w:val="0"/>
                      <w:sz w:val="18"/>
                      <w:szCs w:val="18"/>
                      <w:lang w:val="en-US" w:eastAsia="zh-CN" w:bidi="ar"/>
                    </w:rPr>
                    <w:t>严格新改扩建项目环境准入。严禁新增钢铁冶炼产能，新改扩建（含搬迁）钢铁项目要严格执行产能置换实施办法，按照钢铁企业超低排放指标要求，同步配套建设高效脱硫、脱硝、除尘设施，落实物料储存、输送及生产工艺过程无组织排放管控措施，大宗物料和产品采取清洁方式运输。支持鼓励钢铁冶炼产能向环境容量大、资源保障条件好的地区转移。鼓励重点区域高炉-转炉长流程企业转型为电炉短流程企业，通过工艺改造减少污染物排放，达到超低排放要求。</w:t>
                  </w:r>
                </w:p>
              </w:tc>
              <w:tc>
                <w:tcPr>
                  <w:tcW w:w="1470" w:type="pct"/>
                  <w:tcBorders>
                    <w:tl2br w:val="nil"/>
                    <w:tr2bl w:val="nil"/>
                  </w:tcBorders>
                  <w:noWrap w:val="0"/>
                  <w:vAlign w:val="center"/>
                </w:tcPr>
                <w:p w14:paraId="0FDF0208">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center"/>
                    <w:textAlignment w:val="auto"/>
                    <w:rPr>
                      <w:rFonts w:hint="eastAsia" w:ascii="Times New Roman" w:hAnsi="Times New Roman" w:eastAsia="宋体" w:cs="Times New Roman"/>
                      <w:color w:val="auto"/>
                      <w:kern w:val="0"/>
                      <w:sz w:val="18"/>
                      <w:szCs w:val="18"/>
                      <w:lang w:val="en-US" w:eastAsia="zh-CN" w:bidi="ar"/>
                    </w:rPr>
                  </w:pPr>
                  <w:r>
                    <w:rPr>
                      <w:rFonts w:hint="eastAsia" w:cs="Times New Roman"/>
                      <w:color w:val="auto"/>
                      <w:sz w:val="18"/>
                      <w:szCs w:val="18"/>
                      <w:lang w:val="en-US" w:eastAsia="zh-CN"/>
                    </w:rPr>
                    <w:t>本项目符合园区准入清单，配套建设除尘设施，</w:t>
                  </w:r>
                  <w:r>
                    <w:rPr>
                      <w:rFonts w:hint="eastAsia" w:ascii="Times New Roman" w:hAnsi="Times New Roman" w:eastAsia="宋体" w:cs="Times New Roman"/>
                      <w:color w:val="auto"/>
                      <w:kern w:val="0"/>
                      <w:sz w:val="18"/>
                      <w:szCs w:val="18"/>
                      <w:lang w:val="en-US" w:eastAsia="zh-CN" w:bidi="ar"/>
                    </w:rPr>
                    <w:t>大宗物料和产品采取清洁方式运输；</w:t>
                  </w:r>
                </w:p>
                <w:p w14:paraId="6FC06C7E">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center"/>
                    <w:textAlignment w:val="auto"/>
                    <w:rPr>
                      <w:rFonts w:hint="default" w:ascii="Times New Roman" w:hAnsi="Times New Roman" w:eastAsia="宋体" w:cs="Times New Roman"/>
                      <w:color w:val="auto"/>
                      <w:kern w:val="0"/>
                      <w:sz w:val="18"/>
                      <w:szCs w:val="18"/>
                      <w:lang w:val="en-US" w:eastAsia="zh-CN" w:bidi="ar"/>
                    </w:rPr>
                  </w:pPr>
                  <w:r>
                    <w:rPr>
                      <w:rFonts w:hint="eastAsia" w:ascii="Times New Roman" w:hAnsi="Times New Roman" w:eastAsia="宋体" w:cs="Times New Roman"/>
                      <w:color w:val="auto"/>
                      <w:kern w:val="0"/>
                      <w:sz w:val="18"/>
                      <w:szCs w:val="18"/>
                      <w:lang w:val="en-US" w:eastAsia="zh-CN" w:bidi="ar"/>
                    </w:rPr>
                    <w:t>热处理炉执行超低排放相关要求</w:t>
                  </w:r>
                </w:p>
              </w:tc>
              <w:tc>
                <w:tcPr>
                  <w:tcW w:w="501" w:type="pct"/>
                  <w:tcBorders>
                    <w:tl2br w:val="nil"/>
                    <w:tr2bl w:val="nil"/>
                  </w:tcBorders>
                  <w:noWrap w:val="0"/>
                  <w:vAlign w:val="center"/>
                </w:tcPr>
                <w:p w14:paraId="736D7953">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符合</w:t>
                  </w:r>
                </w:p>
              </w:tc>
            </w:tr>
            <w:tr w14:paraId="50697C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continue"/>
                  <w:tcBorders>
                    <w:tl2br w:val="nil"/>
                    <w:tr2bl w:val="nil"/>
                  </w:tcBorders>
                  <w:noWrap w:val="0"/>
                  <w:vAlign w:val="center"/>
                </w:tcPr>
                <w:p w14:paraId="16485143">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cs="Times New Roman"/>
                      <w:b w:val="0"/>
                      <w:bCs w:val="0"/>
                      <w:color w:val="auto"/>
                      <w:kern w:val="0"/>
                      <w:sz w:val="18"/>
                      <w:szCs w:val="18"/>
                      <w:lang w:val="en-US" w:eastAsia="zh-CN" w:bidi="ar-SA"/>
                    </w:rPr>
                  </w:pPr>
                </w:p>
              </w:tc>
              <w:tc>
                <w:tcPr>
                  <w:tcW w:w="2182" w:type="pct"/>
                  <w:tcBorders>
                    <w:tl2br w:val="nil"/>
                    <w:tr2bl w:val="nil"/>
                  </w:tcBorders>
                  <w:shd w:val="clear" w:color="auto" w:fill="auto"/>
                  <w:noWrap w:val="0"/>
                  <w:vAlign w:val="center"/>
                </w:tcPr>
                <w:p w14:paraId="5CC3EBC5">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kern w:val="0"/>
                      <w:sz w:val="18"/>
                      <w:szCs w:val="18"/>
                      <w:lang w:val="en-US" w:eastAsia="zh-CN" w:bidi="ar"/>
                    </w:rPr>
                  </w:pPr>
                  <w:r>
                    <w:rPr>
                      <w:rFonts w:hint="eastAsia" w:ascii="Times New Roman" w:hAnsi="Times New Roman" w:eastAsia="宋体" w:cs="Times New Roman"/>
                      <w:color w:val="auto"/>
                      <w:kern w:val="0"/>
                      <w:sz w:val="18"/>
                      <w:szCs w:val="18"/>
                      <w:lang w:val="en-US" w:eastAsia="zh-CN" w:bidi="ar"/>
                    </w:rPr>
                    <w:t>积极有序推进现有钢铁企业超低排放改造。各地应围绕环境空气质量改善需求，按照推进实施钢铁行业超低排放的总体要求，把握好节奏和力度，有序推进钢铁企业超低排放改造。要加强对企业服务和指导，帮助企业合理选择改造技术路线，协调解决清洁运输等重大事项。</w:t>
                  </w:r>
                </w:p>
              </w:tc>
              <w:tc>
                <w:tcPr>
                  <w:tcW w:w="1470" w:type="pct"/>
                  <w:tcBorders>
                    <w:tl2br w:val="nil"/>
                    <w:tr2bl w:val="nil"/>
                  </w:tcBorders>
                  <w:noWrap w:val="0"/>
                  <w:vAlign w:val="center"/>
                </w:tcPr>
                <w:p w14:paraId="3B2AC3AC">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本项目热处理炉可以满足超低排放要求</w:t>
                  </w:r>
                </w:p>
              </w:tc>
              <w:tc>
                <w:tcPr>
                  <w:tcW w:w="501" w:type="pct"/>
                  <w:tcBorders>
                    <w:tl2br w:val="nil"/>
                    <w:tr2bl w:val="nil"/>
                  </w:tcBorders>
                  <w:noWrap w:val="0"/>
                  <w:vAlign w:val="center"/>
                </w:tcPr>
                <w:p w14:paraId="4DC7D0D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符合</w:t>
                  </w:r>
                </w:p>
              </w:tc>
            </w:tr>
            <w:tr w14:paraId="5B5695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continue"/>
                  <w:tcBorders>
                    <w:tl2br w:val="nil"/>
                    <w:tr2bl w:val="nil"/>
                  </w:tcBorders>
                  <w:noWrap w:val="0"/>
                  <w:vAlign w:val="center"/>
                </w:tcPr>
                <w:p w14:paraId="3D0F13B0">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cs="Times New Roman"/>
                      <w:b w:val="0"/>
                      <w:bCs w:val="0"/>
                      <w:color w:val="auto"/>
                      <w:kern w:val="0"/>
                      <w:sz w:val="18"/>
                      <w:szCs w:val="18"/>
                      <w:lang w:val="en-US" w:eastAsia="zh-CN" w:bidi="ar-SA"/>
                    </w:rPr>
                  </w:pPr>
                </w:p>
              </w:tc>
              <w:tc>
                <w:tcPr>
                  <w:tcW w:w="2182" w:type="pct"/>
                  <w:tcBorders>
                    <w:tl2br w:val="nil"/>
                    <w:tr2bl w:val="nil"/>
                  </w:tcBorders>
                  <w:shd w:val="clear" w:color="auto" w:fill="auto"/>
                  <w:noWrap w:val="0"/>
                  <w:vAlign w:val="center"/>
                </w:tcPr>
                <w:p w14:paraId="397D0C51">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eastAsia" w:ascii="Times New Roman" w:hAnsi="Times New Roman" w:eastAsia="宋体" w:cs="Times New Roman"/>
                      <w:color w:val="auto"/>
                      <w:kern w:val="0"/>
                      <w:sz w:val="18"/>
                      <w:szCs w:val="18"/>
                      <w:lang w:val="en-US" w:eastAsia="zh-CN" w:bidi="ar"/>
                    </w:rPr>
                  </w:pPr>
                  <w:r>
                    <w:rPr>
                      <w:rFonts w:hint="eastAsia" w:ascii="Times New Roman" w:hAnsi="Times New Roman" w:eastAsia="宋体" w:cs="Times New Roman"/>
                      <w:color w:val="auto"/>
                      <w:kern w:val="0"/>
                      <w:sz w:val="18"/>
                      <w:szCs w:val="18"/>
                      <w:lang w:val="en-US" w:eastAsia="zh-CN" w:bidi="ar"/>
                    </w:rPr>
                    <w:t>因厂制宜选择成熟适用的环保改造技术。除尘设施鼓励采用湿式静电除尘器、覆膜滤料袋式除尘器、滤筒除尘器等先进工艺，推进聚四氟乙烯微孔覆膜滤料、超细纤维多梯度面层滤料、金属间化合物多孔（膜）材料等产业化应用；烟气脱硫应实施增容提效改造等措施，提高运行稳定性，取消烟气旁路，鼓励净化处理后烟气回原烟囱排放；烟气脱硝应采用活性炭（焦）、选择性催化还原（SCR）等高效脱硝技术。加强源头控制，高炉煤气、焦炉煤气应实施精脱硫，高炉热风炉、轧钢热处理炉应采用低氮燃烧技术；鼓励实施烧结机头烟气循环；</w:t>
                  </w:r>
                </w:p>
                <w:p w14:paraId="678DE302">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kern w:val="0"/>
                      <w:sz w:val="18"/>
                      <w:szCs w:val="18"/>
                      <w:lang w:val="en-US" w:eastAsia="zh-CN" w:bidi="ar"/>
                    </w:rPr>
                  </w:pPr>
                  <w:r>
                    <w:rPr>
                      <w:rFonts w:hint="eastAsia" w:ascii="Times New Roman" w:hAnsi="Times New Roman" w:eastAsia="宋体" w:cs="Times New Roman"/>
                      <w:color w:val="auto"/>
                      <w:kern w:val="0"/>
                      <w:sz w:val="18"/>
                      <w:szCs w:val="18"/>
                      <w:lang w:val="en-US" w:eastAsia="zh-CN" w:bidi="ar"/>
                    </w:rPr>
                    <w:t>企业无组织排放控制应采用密闭、封闭等有效管控措施，鼓励采用全封闭机械化料场、筒仓等物料储存方式；产尘点应按照“应收尽收”原则配置废气收集设施，强化运行管理，确保收集治理设施与生产工艺设备同步运转。鼓励对焦炉炉体加罩封闭，对废气进行收集处理。</w:t>
                  </w:r>
                </w:p>
              </w:tc>
              <w:tc>
                <w:tcPr>
                  <w:tcW w:w="1470" w:type="pct"/>
                  <w:tcBorders>
                    <w:tl2br w:val="nil"/>
                    <w:tr2bl w:val="nil"/>
                  </w:tcBorders>
                  <w:noWrap w:val="0"/>
                  <w:vAlign w:val="center"/>
                </w:tcPr>
                <w:p w14:paraId="1C9FD4CF">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本项目选用</w:t>
                  </w:r>
                  <w:r>
                    <w:rPr>
                      <w:rFonts w:hint="eastAsia" w:ascii="Times New Roman" w:hAnsi="Times New Roman" w:eastAsia="宋体" w:cs="Times New Roman"/>
                      <w:color w:val="auto"/>
                      <w:kern w:val="0"/>
                      <w:sz w:val="18"/>
                      <w:szCs w:val="18"/>
                      <w:lang w:val="en-US" w:eastAsia="zh-CN" w:bidi="ar"/>
                    </w:rPr>
                    <w:t>覆膜滤料袋式除尘器，各工序废气经处理后可达标排放；采用密闭、封闭等有效管控措施；产尘点应按照“应收尽收”原则配置废气收集设施，强化运行管理，收集治理设施与生产工艺设备同步运转。</w:t>
                  </w:r>
                </w:p>
              </w:tc>
              <w:tc>
                <w:tcPr>
                  <w:tcW w:w="501" w:type="pct"/>
                  <w:tcBorders>
                    <w:tl2br w:val="nil"/>
                    <w:tr2bl w:val="nil"/>
                  </w:tcBorders>
                  <w:noWrap w:val="0"/>
                  <w:vAlign w:val="center"/>
                </w:tcPr>
                <w:p w14:paraId="3106DDDF">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符合</w:t>
                  </w:r>
                </w:p>
              </w:tc>
            </w:tr>
            <w:tr w14:paraId="01C2B7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continue"/>
                  <w:tcBorders>
                    <w:tl2br w:val="nil"/>
                    <w:tr2bl w:val="nil"/>
                  </w:tcBorders>
                  <w:noWrap w:val="0"/>
                  <w:vAlign w:val="center"/>
                </w:tcPr>
                <w:p w14:paraId="4EB7C242">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cs="Times New Roman"/>
                      <w:b w:val="0"/>
                      <w:bCs w:val="0"/>
                      <w:color w:val="auto"/>
                      <w:kern w:val="0"/>
                      <w:sz w:val="18"/>
                      <w:szCs w:val="18"/>
                      <w:lang w:val="en-US" w:eastAsia="zh-CN" w:bidi="ar-SA"/>
                    </w:rPr>
                  </w:pPr>
                </w:p>
              </w:tc>
              <w:tc>
                <w:tcPr>
                  <w:tcW w:w="2182" w:type="pct"/>
                  <w:tcBorders>
                    <w:tl2br w:val="nil"/>
                    <w:tr2bl w:val="nil"/>
                  </w:tcBorders>
                  <w:shd w:val="clear" w:color="auto" w:fill="auto"/>
                  <w:noWrap w:val="0"/>
                  <w:vAlign w:val="center"/>
                </w:tcPr>
                <w:p w14:paraId="47644472">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kern w:val="0"/>
                      <w:sz w:val="18"/>
                      <w:szCs w:val="18"/>
                      <w:lang w:val="en-US" w:eastAsia="zh-CN" w:bidi="ar"/>
                    </w:rPr>
                  </w:pPr>
                  <w:r>
                    <w:rPr>
                      <w:rFonts w:hint="eastAsia" w:ascii="Times New Roman" w:hAnsi="Times New Roman" w:eastAsia="宋体" w:cs="Times New Roman"/>
                      <w:color w:val="auto"/>
                      <w:kern w:val="0"/>
                      <w:sz w:val="18"/>
                      <w:szCs w:val="18"/>
                      <w:lang w:val="en-US" w:eastAsia="zh-CN" w:bidi="ar"/>
                    </w:rPr>
                    <w:t>依法依规推进钢铁企业全面达标排放。未实施超低排放改造的钢铁企业，应采取治污设施升级、加强无组织排放管理等措施，确保稳定达到国家或地方大气污染物排放标准，重点区域应按照有关规定执行大气污染物特别排放限值。严格钢铁企业排污许可管理，加大依证监管执法和处罚力度，确保排污单位落实持证排污、按证排污的环境管理主体责任。不能按证排污的，实施限期治理，按照“一厂一策”原则，逐一明确时间表和路线图，逾期仍不能满足要求的，依法依规从严处罚。未取得排污许可证的，依法依规实施停产整治或责令关停。</w:t>
                  </w:r>
                </w:p>
              </w:tc>
              <w:tc>
                <w:tcPr>
                  <w:tcW w:w="1470" w:type="pct"/>
                  <w:tcBorders>
                    <w:tl2br w:val="nil"/>
                    <w:tr2bl w:val="nil"/>
                  </w:tcBorders>
                  <w:noWrap w:val="0"/>
                  <w:vAlign w:val="center"/>
                </w:tcPr>
                <w:p w14:paraId="7676F4E3">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本项目执行</w:t>
                  </w:r>
                  <w:r>
                    <w:rPr>
                      <w:rFonts w:hint="eastAsia" w:eastAsia="宋体" w:cs="Times New Roman"/>
                      <w:color w:val="auto"/>
                      <w:kern w:val="2"/>
                      <w:sz w:val="18"/>
                      <w:szCs w:val="18"/>
                      <w:lang w:val="en-US" w:eastAsia="zh-CN" w:bidi="ar-SA"/>
                    </w:rPr>
                    <w:t>《</w:t>
                  </w:r>
                  <w:r>
                    <w:rPr>
                      <w:rFonts w:hint="eastAsia" w:cs="Times New Roman"/>
                      <w:color w:val="auto"/>
                      <w:kern w:val="2"/>
                      <w:sz w:val="18"/>
                      <w:szCs w:val="18"/>
                      <w:lang w:val="en-US" w:eastAsia="zh-CN" w:bidi="ar-SA"/>
                    </w:rPr>
                    <w:t>轧钢</w:t>
                  </w:r>
                  <w:r>
                    <w:rPr>
                      <w:rFonts w:hint="eastAsia" w:eastAsia="宋体" w:cs="Times New Roman"/>
                      <w:color w:val="auto"/>
                      <w:kern w:val="2"/>
                      <w:sz w:val="18"/>
                      <w:szCs w:val="18"/>
                      <w:lang w:val="en-US" w:eastAsia="zh-CN" w:bidi="ar-SA"/>
                    </w:rPr>
                    <w:t>工业大气污染物排放标准》（GB2866</w:t>
                  </w:r>
                  <w:r>
                    <w:rPr>
                      <w:rFonts w:hint="eastAsia" w:cs="Times New Roman"/>
                      <w:color w:val="auto"/>
                      <w:kern w:val="2"/>
                      <w:sz w:val="18"/>
                      <w:szCs w:val="18"/>
                      <w:lang w:val="en-US" w:eastAsia="zh-CN" w:bidi="ar-SA"/>
                    </w:rPr>
                    <w:t>5</w:t>
                  </w:r>
                  <w:r>
                    <w:rPr>
                      <w:rFonts w:hint="eastAsia" w:eastAsia="宋体" w:cs="Times New Roman"/>
                      <w:color w:val="auto"/>
                      <w:kern w:val="2"/>
                      <w:sz w:val="18"/>
                      <w:szCs w:val="18"/>
                      <w:lang w:val="en-US" w:eastAsia="zh-CN" w:bidi="ar-SA"/>
                    </w:rPr>
                    <w:t>-2012）</w:t>
                  </w:r>
                  <w:r>
                    <w:rPr>
                      <w:rFonts w:hint="eastAsia" w:cs="Times New Roman"/>
                      <w:color w:val="auto"/>
                      <w:kern w:val="2"/>
                      <w:sz w:val="18"/>
                      <w:szCs w:val="18"/>
                      <w:lang w:val="en-US" w:eastAsia="zh-CN" w:bidi="ar-SA"/>
                    </w:rPr>
                    <w:t>及其修改单</w:t>
                  </w:r>
                  <w:r>
                    <w:rPr>
                      <w:rFonts w:hint="eastAsia" w:eastAsia="宋体" w:cs="Times New Roman"/>
                      <w:color w:val="auto"/>
                      <w:kern w:val="2"/>
                      <w:sz w:val="18"/>
                      <w:szCs w:val="18"/>
                      <w:lang w:val="en-US" w:eastAsia="zh-CN" w:bidi="ar-SA"/>
                    </w:rPr>
                    <w:t>表3</w:t>
                  </w:r>
                  <w:r>
                    <w:rPr>
                      <w:rFonts w:hint="eastAsia" w:cs="Times New Roman"/>
                      <w:color w:val="auto"/>
                      <w:kern w:val="2"/>
                      <w:sz w:val="18"/>
                      <w:szCs w:val="18"/>
                      <w:lang w:val="en-US" w:eastAsia="zh-CN" w:bidi="ar-SA"/>
                    </w:rPr>
                    <w:t>及《</w:t>
                  </w:r>
                  <w:r>
                    <w:rPr>
                      <w:rFonts w:hint="eastAsia" w:ascii="Times New Roman" w:hAnsi="Times New Roman" w:eastAsia="宋体" w:cs="Times New Roman"/>
                      <w:color w:val="auto"/>
                      <w:kern w:val="2"/>
                      <w:sz w:val="18"/>
                      <w:szCs w:val="18"/>
                      <w:lang w:val="en-US" w:eastAsia="zh-CN" w:bidi="ar-SA"/>
                    </w:rPr>
                    <w:t>关于推进实施钢铁行业超低排放的意见》（环大气[2019]35号）相关标准要求；</w:t>
                  </w:r>
                </w:p>
                <w:p w14:paraId="5A0CFD97">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项目建成后按照规定申领排污许可证并安证排污</w:t>
                  </w:r>
                </w:p>
              </w:tc>
              <w:tc>
                <w:tcPr>
                  <w:tcW w:w="501" w:type="pct"/>
                  <w:tcBorders>
                    <w:tl2br w:val="nil"/>
                    <w:tr2bl w:val="nil"/>
                  </w:tcBorders>
                  <w:noWrap w:val="0"/>
                  <w:vAlign w:val="center"/>
                </w:tcPr>
                <w:p w14:paraId="0917EBF9">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符合</w:t>
                  </w:r>
                </w:p>
              </w:tc>
            </w:tr>
            <w:tr w14:paraId="00D954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continue"/>
                  <w:tcBorders>
                    <w:tl2br w:val="nil"/>
                    <w:tr2bl w:val="nil"/>
                  </w:tcBorders>
                  <w:noWrap w:val="0"/>
                  <w:vAlign w:val="center"/>
                </w:tcPr>
                <w:p w14:paraId="2A058BDA">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cs="Times New Roman"/>
                      <w:b w:val="0"/>
                      <w:bCs w:val="0"/>
                      <w:color w:val="auto"/>
                      <w:kern w:val="0"/>
                      <w:sz w:val="18"/>
                      <w:szCs w:val="18"/>
                      <w:lang w:val="en-US" w:eastAsia="zh-CN" w:bidi="ar-SA"/>
                    </w:rPr>
                  </w:pPr>
                </w:p>
              </w:tc>
              <w:tc>
                <w:tcPr>
                  <w:tcW w:w="2182" w:type="pct"/>
                  <w:tcBorders>
                    <w:tl2br w:val="nil"/>
                    <w:tr2bl w:val="nil"/>
                  </w:tcBorders>
                  <w:shd w:val="clear" w:color="auto" w:fill="auto"/>
                  <w:noWrap w:val="0"/>
                  <w:vAlign w:val="center"/>
                </w:tcPr>
                <w:p w14:paraId="18179896">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kern w:val="0"/>
                      <w:sz w:val="18"/>
                      <w:szCs w:val="18"/>
                      <w:lang w:val="en-US" w:eastAsia="zh-CN" w:bidi="ar"/>
                    </w:rPr>
                  </w:pPr>
                  <w:r>
                    <w:rPr>
                      <w:rFonts w:hint="eastAsia" w:ascii="Times New Roman" w:hAnsi="Times New Roman" w:eastAsia="宋体" w:cs="Times New Roman"/>
                      <w:color w:val="auto"/>
                      <w:kern w:val="0"/>
                      <w:sz w:val="18"/>
                      <w:szCs w:val="18"/>
                      <w:lang w:val="en-US" w:eastAsia="zh-CN" w:bidi="ar"/>
                    </w:rPr>
                    <w:t>依法依规淘汰落后产能和不符合相关强制性标准要求的生产设施。修订《产业结构调整指导目录》，提高重点区域钢铁行业落后产能淘汰标准，有条件的地区可制定标准更高的落后产能淘汰政策。严格执行质量、环保、能耗、安全等法规标准，促使一批经整改仍达不到要求的产能依法依规关停退出。列入淘汰计划的企业或设施不再要求实施超低排放改造。严防“地条钢”死灰复燃。加大重点区域钢铁产能压减力度，河北省2020年钢铁产能控制在2亿吨以内。列入去产能计划的钢铁企业，需一并退出配套的烧结、焦炉、高炉等设备。重点区域城市钢铁企业要切实采取彻底关停、转型发展、就地改造、域外搬迁等方式，推动转型升级。</w:t>
                  </w:r>
                </w:p>
              </w:tc>
              <w:tc>
                <w:tcPr>
                  <w:tcW w:w="1470" w:type="pct"/>
                  <w:tcBorders>
                    <w:tl2br w:val="nil"/>
                    <w:tr2bl w:val="nil"/>
                  </w:tcBorders>
                  <w:noWrap w:val="0"/>
                  <w:vAlign w:val="center"/>
                </w:tcPr>
                <w:p w14:paraId="55FE7DA2">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本项目不属于落后产能</w:t>
                  </w:r>
                </w:p>
              </w:tc>
              <w:tc>
                <w:tcPr>
                  <w:tcW w:w="501" w:type="pct"/>
                  <w:tcBorders>
                    <w:tl2br w:val="nil"/>
                    <w:tr2bl w:val="nil"/>
                  </w:tcBorders>
                  <w:noWrap w:val="0"/>
                  <w:vAlign w:val="center"/>
                </w:tcPr>
                <w:p w14:paraId="6EDFCF9F">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符合</w:t>
                  </w:r>
                </w:p>
              </w:tc>
            </w:tr>
            <w:tr w14:paraId="2803F9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40" w:hRule="atLeast"/>
              </w:trPr>
              <w:tc>
                <w:tcPr>
                  <w:tcW w:w="846" w:type="pct"/>
                  <w:vMerge w:val="continue"/>
                  <w:tcBorders>
                    <w:tl2br w:val="nil"/>
                    <w:tr2bl w:val="nil"/>
                  </w:tcBorders>
                  <w:noWrap w:val="0"/>
                  <w:vAlign w:val="center"/>
                </w:tcPr>
                <w:p w14:paraId="2D8488DB">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rPr>
                      <w:rFonts w:hint="default" w:ascii="Times New Roman" w:hAnsi="Times New Roman" w:cs="Times New Roman"/>
                      <w:b w:val="0"/>
                      <w:bCs w:val="0"/>
                      <w:color w:val="auto"/>
                      <w:kern w:val="0"/>
                      <w:sz w:val="18"/>
                      <w:szCs w:val="18"/>
                      <w:lang w:val="en-US" w:eastAsia="zh-CN" w:bidi="ar-SA"/>
                    </w:rPr>
                  </w:pPr>
                </w:p>
              </w:tc>
              <w:tc>
                <w:tcPr>
                  <w:tcW w:w="2182" w:type="pct"/>
                  <w:tcBorders>
                    <w:tl2br w:val="nil"/>
                    <w:tr2bl w:val="nil"/>
                  </w:tcBorders>
                  <w:shd w:val="clear" w:color="auto" w:fill="auto"/>
                  <w:noWrap w:val="0"/>
                  <w:vAlign w:val="center"/>
                </w:tcPr>
                <w:p w14:paraId="1A9B2677">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both"/>
                    <w:textAlignment w:val="auto"/>
                    <w:rPr>
                      <w:rFonts w:hint="default" w:ascii="Times New Roman" w:hAnsi="Times New Roman" w:eastAsia="宋体" w:cs="Times New Roman"/>
                      <w:color w:val="auto"/>
                      <w:kern w:val="0"/>
                      <w:sz w:val="18"/>
                      <w:szCs w:val="18"/>
                      <w:lang w:val="en-US" w:eastAsia="zh-CN" w:bidi="ar"/>
                    </w:rPr>
                  </w:pPr>
                  <w:r>
                    <w:rPr>
                      <w:rFonts w:hint="eastAsia" w:ascii="Times New Roman" w:hAnsi="Times New Roman" w:eastAsia="宋体" w:cs="Times New Roman"/>
                      <w:color w:val="auto"/>
                      <w:kern w:val="0"/>
                      <w:sz w:val="18"/>
                      <w:szCs w:val="18"/>
                      <w:lang w:val="en-US" w:eastAsia="zh-CN" w:bidi="ar"/>
                    </w:rPr>
                    <w:t>加强企业污染排放监测监控。钢铁企业应依法全面加强污染排放自动监控设施等建设，并与生态环境及有关部门联网，按照钢铁工业及炼焦化学工业自行监测技术指南要求，编制自行监测方案，开展自行监测，如实向社会公开监测信息。</w:t>
                  </w:r>
                </w:p>
              </w:tc>
              <w:tc>
                <w:tcPr>
                  <w:tcW w:w="1470" w:type="pct"/>
                  <w:tcBorders>
                    <w:tl2br w:val="nil"/>
                    <w:tr2bl w:val="nil"/>
                  </w:tcBorders>
                  <w:noWrap w:val="0"/>
                  <w:vAlign w:val="center"/>
                </w:tcPr>
                <w:p w14:paraId="1283358D">
                  <w:pPr>
                    <w:keepNext w:val="0"/>
                    <w:keepLines w:val="0"/>
                    <w:pageBreakBefore w:val="0"/>
                    <w:widowControl w:val="0"/>
                    <w:numPr>
                      <w:ilvl w:val="0"/>
                      <w:numId w:val="0"/>
                    </w:numPr>
                    <w:kinsoku/>
                    <w:wordWrap/>
                    <w:overflowPunct/>
                    <w:topLinePunct w:val="0"/>
                    <w:autoSpaceDE/>
                    <w:autoSpaceDN/>
                    <w:bidi w:val="0"/>
                    <w:adjustRightInd w:val="0"/>
                    <w:snapToGrid w:val="0"/>
                    <w:spacing w:line="288" w:lineRule="auto"/>
                    <w:ind w:leftChars="0"/>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本项目建成后《排污许可证申请与核发技术规范钢铁工业》（HJ846-2017）、《排污单位自行监测技术指南  钢铁工业及炼焦化学工业》（HJ878-2017）等文件要求开展自行监测</w:t>
                  </w:r>
                </w:p>
              </w:tc>
              <w:tc>
                <w:tcPr>
                  <w:tcW w:w="501" w:type="pct"/>
                  <w:tcBorders>
                    <w:tl2br w:val="nil"/>
                    <w:tr2bl w:val="nil"/>
                  </w:tcBorders>
                  <w:noWrap w:val="0"/>
                  <w:vAlign w:val="center"/>
                </w:tcPr>
                <w:p w14:paraId="2E32D627">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符合</w:t>
                  </w:r>
                </w:p>
              </w:tc>
            </w:tr>
          </w:tbl>
          <w:p w14:paraId="432B48A9">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宋体" w:cs="Times New Roman"/>
                <w:b/>
                <w:color w:val="auto"/>
                <w:kern w:val="0"/>
                <w:sz w:val="21"/>
                <w:szCs w:val="21"/>
                <w:lang w:val="en-US" w:eastAsia="zh-CN"/>
              </w:rPr>
            </w:pPr>
            <w:r>
              <w:rPr>
                <w:rFonts w:hint="eastAsia" w:cs="Times New Roman"/>
                <w:b/>
                <w:color w:val="auto"/>
                <w:kern w:val="0"/>
                <w:sz w:val="21"/>
                <w:szCs w:val="21"/>
                <w:lang w:val="en-US" w:eastAsia="zh-CN"/>
              </w:rPr>
              <w:t>8、选址合理性分析</w:t>
            </w:r>
          </w:p>
          <w:p w14:paraId="6C5040A9">
            <w:pPr>
              <w:spacing w:line="360" w:lineRule="auto"/>
              <w:ind w:firstLine="420" w:firstLineChars="200"/>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项目位于</w:t>
            </w:r>
            <w:r>
              <w:rPr>
                <w:rFonts w:hint="eastAsia" w:ascii="Times New Roman" w:hAnsi="Times New Roman" w:eastAsia="宋体" w:cs="Times New Roman"/>
                <w:color w:val="auto"/>
                <w:sz w:val="21"/>
                <w:szCs w:val="21"/>
                <w:highlight w:val="none"/>
                <w:lang w:val="en-US" w:eastAsia="zh-CN"/>
              </w:rPr>
              <w:t>昌吉高新技术产业开发区科技大道以北、经六路以西</w:t>
            </w:r>
            <w:r>
              <w:rPr>
                <w:rFonts w:hint="eastAsia"/>
                <w:color w:val="auto"/>
                <w:lang w:val="en-US" w:eastAsia="zh-CN"/>
              </w:rPr>
              <w:t>，用地性质为工业用地；</w:t>
            </w:r>
            <w:r>
              <w:rPr>
                <w:rFonts w:hint="eastAsia" w:cs="Times New Roman"/>
                <w:color w:val="auto"/>
                <w:sz w:val="21"/>
                <w:szCs w:val="21"/>
                <w:lang w:eastAsia="zh-CN"/>
              </w:rPr>
              <w:t>本项目</w:t>
            </w:r>
            <w:r>
              <w:rPr>
                <w:rFonts w:hint="default" w:ascii="Times New Roman" w:hAnsi="Times New Roman" w:eastAsia="宋体" w:cs="Times New Roman"/>
                <w:color w:val="auto"/>
                <w:sz w:val="21"/>
                <w:szCs w:val="21"/>
              </w:rPr>
              <w:t>所在区域非文物、军事保护区，也</w:t>
            </w:r>
            <w:r>
              <w:rPr>
                <w:rFonts w:hint="eastAsia" w:ascii="Times New Roman" w:hAnsi="Times New Roman" w:eastAsia="宋体" w:cs="Times New Roman"/>
                <w:color w:val="auto"/>
                <w:sz w:val="21"/>
                <w:szCs w:val="21"/>
                <w:lang w:val="en-US" w:eastAsia="zh-CN"/>
              </w:rPr>
              <w:t>无</w:t>
            </w:r>
            <w:r>
              <w:rPr>
                <w:rFonts w:hint="default" w:ascii="Times New Roman" w:hAnsi="Times New Roman" w:eastAsia="宋体" w:cs="Times New Roman"/>
                <w:color w:val="auto"/>
                <w:sz w:val="21"/>
                <w:szCs w:val="21"/>
              </w:rPr>
              <w:t>风景区</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名胜古迹</w:t>
            </w:r>
            <w:r>
              <w:rPr>
                <w:rFonts w:hint="eastAsia" w:cs="Times New Roman"/>
                <w:color w:val="auto"/>
                <w:sz w:val="21"/>
                <w:szCs w:val="21"/>
                <w:lang w:val="en-US" w:eastAsia="zh-CN"/>
              </w:rPr>
              <w:t>及饮用水水源保护区等敏感区域</w:t>
            </w:r>
            <w:r>
              <w:rPr>
                <w:rFonts w:hint="eastAsia" w:cs="Times New Roman"/>
                <w:color w:val="auto"/>
                <w:sz w:val="21"/>
                <w:szCs w:val="21"/>
                <w:lang w:eastAsia="zh-CN"/>
              </w:rPr>
              <w:t>，建设符合</w:t>
            </w:r>
            <w:r>
              <w:rPr>
                <w:rFonts w:hint="eastAsia" w:cs="Times New Roman"/>
                <w:color w:val="auto"/>
                <w:sz w:val="21"/>
                <w:szCs w:val="21"/>
                <w:lang w:val="en-US" w:eastAsia="zh-CN"/>
              </w:rPr>
              <w:t>新疆维吾尔自治区及昌吉回族自治州生态环境分区管控要求，符合相关环保政策要求，项目</w:t>
            </w:r>
            <w:r>
              <w:rPr>
                <w:rFonts w:hint="default" w:ascii="Times New Roman" w:hAnsi="Times New Roman" w:eastAsia="宋体" w:cs="Times New Roman"/>
                <w:color w:val="auto"/>
                <w:sz w:val="21"/>
                <w:szCs w:val="21"/>
              </w:rPr>
              <w:t>营运期产生的各项污染物经采取各种措施治理后均能达标排放，对周边环境影响</w:t>
            </w:r>
            <w:r>
              <w:rPr>
                <w:rFonts w:hint="eastAsia" w:cs="Times New Roman"/>
                <w:color w:val="auto"/>
                <w:sz w:val="21"/>
                <w:szCs w:val="21"/>
                <w:lang w:val="en-US" w:eastAsia="zh-CN"/>
              </w:rPr>
              <w:t>较小；项目区周围交通便利，供水、供电均依托市政配套设施，能够满足项目需要；本项目投入运营后污染物在采取本环评要求的环保措施后，均能实现达标排放，不会对周围环境造成大的不利影响。</w:t>
            </w:r>
          </w:p>
          <w:p w14:paraId="25F2FB94">
            <w:pPr>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综上，项目选址区域无环境制约因素，从环境保护角度考虑选址合理。</w:t>
            </w:r>
          </w:p>
          <w:p w14:paraId="3763AAC9">
            <w:pPr>
              <w:spacing w:line="360" w:lineRule="auto"/>
              <w:ind w:firstLine="420" w:firstLineChars="200"/>
              <w:jc w:val="both"/>
              <w:rPr>
                <w:rFonts w:hint="default" w:ascii="Times New Roman" w:hAnsi="Times New Roman" w:eastAsia="宋体"/>
                <w:color w:val="auto"/>
                <w:sz w:val="21"/>
                <w:szCs w:val="21"/>
                <w:lang w:val="en-US" w:eastAsia="zh-CN"/>
              </w:rPr>
            </w:pPr>
          </w:p>
          <w:p w14:paraId="02845CFB">
            <w:pPr>
              <w:spacing w:line="360" w:lineRule="auto"/>
              <w:ind w:firstLine="420" w:firstLineChars="200"/>
              <w:jc w:val="both"/>
              <w:rPr>
                <w:rFonts w:hint="default" w:ascii="Times New Roman" w:hAnsi="Times New Roman" w:eastAsia="宋体"/>
                <w:color w:val="auto"/>
                <w:sz w:val="21"/>
                <w:szCs w:val="21"/>
                <w:lang w:val="en-US" w:eastAsia="zh-CN"/>
              </w:rPr>
            </w:pPr>
          </w:p>
          <w:p w14:paraId="58402D48">
            <w:pPr>
              <w:spacing w:line="360" w:lineRule="auto"/>
              <w:ind w:firstLine="420" w:firstLineChars="200"/>
              <w:jc w:val="both"/>
              <w:rPr>
                <w:rFonts w:hint="default" w:ascii="Times New Roman" w:hAnsi="Times New Roman" w:eastAsia="宋体"/>
                <w:color w:val="auto"/>
                <w:sz w:val="21"/>
                <w:szCs w:val="21"/>
                <w:lang w:val="en-US" w:eastAsia="zh-CN"/>
              </w:rPr>
            </w:pPr>
          </w:p>
          <w:p w14:paraId="03AB5710">
            <w:pPr>
              <w:spacing w:line="360" w:lineRule="auto"/>
              <w:ind w:firstLine="420" w:firstLineChars="200"/>
              <w:jc w:val="both"/>
              <w:rPr>
                <w:rFonts w:hint="default" w:ascii="Times New Roman" w:hAnsi="Times New Roman" w:eastAsia="宋体"/>
                <w:color w:val="auto"/>
                <w:sz w:val="21"/>
                <w:szCs w:val="21"/>
                <w:lang w:val="en-US" w:eastAsia="zh-CN"/>
              </w:rPr>
            </w:pPr>
          </w:p>
          <w:p w14:paraId="467B1986">
            <w:pPr>
              <w:spacing w:line="360" w:lineRule="auto"/>
              <w:ind w:firstLine="420" w:firstLineChars="200"/>
              <w:jc w:val="both"/>
              <w:rPr>
                <w:rFonts w:hint="default" w:ascii="Times New Roman" w:hAnsi="Times New Roman" w:eastAsia="宋体"/>
                <w:color w:val="auto"/>
                <w:sz w:val="21"/>
                <w:szCs w:val="21"/>
                <w:lang w:val="en-US" w:eastAsia="zh-CN"/>
              </w:rPr>
            </w:pPr>
          </w:p>
          <w:p w14:paraId="57C0C683">
            <w:pPr>
              <w:spacing w:line="360" w:lineRule="auto"/>
              <w:ind w:firstLine="420" w:firstLineChars="200"/>
              <w:jc w:val="both"/>
              <w:rPr>
                <w:rFonts w:hint="default" w:ascii="Times New Roman" w:hAnsi="Times New Roman" w:eastAsia="宋体"/>
                <w:color w:val="auto"/>
                <w:sz w:val="21"/>
                <w:szCs w:val="21"/>
                <w:lang w:val="en-US" w:eastAsia="zh-CN"/>
              </w:rPr>
            </w:pPr>
          </w:p>
          <w:p w14:paraId="617EDAD8">
            <w:pPr>
              <w:spacing w:line="360" w:lineRule="auto"/>
              <w:ind w:firstLine="420" w:firstLineChars="200"/>
              <w:jc w:val="both"/>
              <w:rPr>
                <w:rFonts w:hint="default" w:ascii="Times New Roman" w:hAnsi="Times New Roman" w:eastAsia="宋体"/>
                <w:color w:val="auto"/>
                <w:sz w:val="21"/>
                <w:szCs w:val="21"/>
                <w:lang w:val="en-US" w:eastAsia="zh-CN"/>
              </w:rPr>
            </w:pPr>
          </w:p>
          <w:p w14:paraId="270CA36A">
            <w:pPr>
              <w:spacing w:line="360" w:lineRule="auto"/>
              <w:ind w:firstLine="420" w:firstLineChars="200"/>
              <w:jc w:val="both"/>
              <w:rPr>
                <w:rFonts w:hint="default" w:ascii="Times New Roman" w:hAnsi="Times New Roman" w:eastAsia="宋体"/>
                <w:color w:val="auto"/>
                <w:sz w:val="21"/>
                <w:szCs w:val="21"/>
                <w:lang w:val="en-US" w:eastAsia="zh-CN"/>
              </w:rPr>
            </w:pPr>
          </w:p>
          <w:p w14:paraId="6F975379">
            <w:pPr>
              <w:spacing w:line="360" w:lineRule="auto"/>
              <w:ind w:firstLine="420" w:firstLineChars="200"/>
              <w:jc w:val="both"/>
              <w:rPr>
                <w:rFonts w:hint="default" w:ascii="Times New Roman" w:hAnsi="Times New Roman" w:eastAsia="宋体"/>
                <w:color w:val="auto"/>
                <w:sz w:val="21"/>
                <w:szCs w:val="21"/>
                <w:lang w:val="en-US" w:eastAsia="zh-CN"/>
              </w:rPr>
            </w:pPr>
          </w:p>
          <w:p w14:paraId="27BB8411">
            <w:pPr>
              <w:spacing w:line="360" w:lineRule="auto"/>
              <w:ind w:firstLine="420" w:firstLineChars="200"/>
              <w:jc w:val="both"/>
              <w:rPr>
                <w:rFonts w:hint="default" w:ascii="Times New Roman" w:hAnsi="Times New Roman" w:eastAsia="宋体"/>
                <w:color w:val="auto"/>
                <w:sz w:val="21"/>
                <w:szCs w:val="21"/>
                <w:lang w:val="en-US" w:eastAsia="zh-CN"/>
              </w:rPr>
            </w:pPr>
          </w:p>
          <w:p w14:paraId="40C5959B">
            <w:pPr>
              <w:spacing w:line="360" w:lineRule="auto"/>
              <w:ind w:firstLine="420" w:firstLineChars="200"/>
              <w:jc w:val="both"/>
              <w:rPr>
                <w:rFonts w:hint="default" w:ascii="Times New Roman" w:hAnsi="Times New Roman" w:eastAsia="宋体"/>
                <w:color w:val="auto"/>
                <w:sz w:val="21"/>
                <w:szCs w:val="21"/>
                <w:lang w:val="en-US" w:eastAsia="zh-CN"/>
              </w:rPr>
            </w:pPr>
          </w:p>
          <w:p w14:paraId="6B5E7EC4">
            <w:pPr>
              <w:spacing w:line="360" w:lineRule="auto"/>
              <w:ind w:firstLine="420" w:firstLineChars="200"/>
              <w:jc w:val="both"/>
              <w:rPr>
                <w:rFonts w:hint="default" w:ascii="Times New Roman" w:hAnsi="Times New Roman" w:eastAsia="宋体"/>
                <w:color w:val="auto"/>
                <w:sz w:val="21"/>
                <w:szCs w:val="21"/>
                <w:lang w:val="en-US" w:eastAsia="zh-CN"/>
              </w:rPr>
            </w:pPr>
          </w:p>
          <w:p w14:paraId="56EFCA02">
            <w:pPr>
              <w:spacing w:line="360" w:lineRule="auto"/>
              <w:ind w:firstLine="420" w:firstLineChars="200"/>
              <w:jc w:val="both"/>
              <w:rPr>
                <w:rFonts w:hint="default" w:ascii="Times New Roman" w:hAnsi="Times New Roman" w:eastAsia="宋体"/>
                <w:color w:val="auto"/>
                <w:sz w:val="21"/>
                <w:szCs w:val="21"/>
                <w:lang w:val="en-US" w:eastAsia="zh-CN"/>
              </w:rPr>
            </w:pPr>
          </w:p>
          <w:p w14:paraId="63CB5F48">
            <w:pPr>
              <w:spacing w:line="360" w:lineRule="auto"/>
              <w:ind w:firstLine="420" w:firstLineChars="200"/>
              <w:jc w:val="both"/>
              <w:rPr>
                <w:rFonts w:hint="default" w:ascii="Times New Roman" w:hAnsi="Times New Roman" w:eastAsia="宋体"/>
                <w:color w:val="auto"/>
                <w:sz w:val="21"/>
                <w:szCs w:val="21"/>
                <w:lang w:val="en-US" w:eastAsia="zh-CN"/>
              </w:rPr>
            </w:pPr>
          </w:p>
          <w:p w14:paraId="0CB430A1">
            <w:pPr>
              <w:spacing w:line="360" w:lineRule="auto"/>
              <w:ind w:firstLine="420" w:firstLineChars="200"/>
              <w:jc w:val="both"/>
              <w:rPr>
                <w:rFonts w:hint="default" w:ascii="Times New Roman" w:hAnsi="Times New Roman" w:eastAsia="宋体"/>
                <w:color w:val="auto"/>
                <w:sz w:val="21"/>
                <w:szCs w:val="21"/>
                <w:lang w:val="en-US" w:eastAsia="zh-CN"/>
              </w:rPr>
            </w:pPr>
          </w:p>
          <w:p w14:paraId="08D2600F">
            <w:pPr>
              <w:spacing w:line="360" w:lineRule="auto"/>
              <w:ind w:firstLine="420" w:firstLineChars="200"/>
              <w:jc w:val="both"/>
              <w:rPr>
                <w:rFonts w:hint="default" w:ascii="Times New Roman" w:hAnsi="Times New Roman" w:eastAsia="宋体"/>
                <w:color w:val="auto"/>
                <w:sz w:val="21"/>
                <w:szCs w:val="21"/>
                <w:lang w:val="en-US" w:eastAsia="zh-CN"/>
              </w:rPr>
            </w:pPr>
          </w:p>
          <w:p w14:paraId="16DB3E17">
            <w:pPr>
              <w:spacing w:line="360" w:lineRule="auto"/>
              <w:ind w:firstLine="420" w:firstLineChars="200"/>
              <w:jc w:val="both"/>
              <w:rPr>
                <w:rFonts w:hint="default" w:ascii="Times New Roman" w:hAnsi="Times New Roman" w:eastAsia="宋体"/>
                <w:color w:val="auto"/>
                <w:sz w:val="21"/>
                <w:szCs w:val="21"/>
                <w:lang w:val="en-US" w:eastAsia="zh-CN"/>
              </w:rPr>
            </w:pPr>
          </w:p>
          <w:p w14:paraId="5A588110">
            <w:pPr>
              <w:spacing w:line="360" w:lineRule="auto"/>
              <w:ind w:firstLine="420" w:firstLineChars="200"/>
              <w:jc w:val="both"/>
              <w:rPr>
                <w:rFonts w:hint="default" w:ascii="Times New Roman" w:hAnsi="Times New Roman" w:eastAsia="宋体"/>
                <w:color w:val="auto"/>
                <w:sz w:val="21"/>
                <w:szCs w:val="21"/>
                <w:lang w:val="en-US" w:eastAsia="zh-CN"/>
              </w:rPr>
            </w:pPr>
          </w:p>
          <w:p w14:paraId="378A8EA9">
            <w:pPr>
              <w:spacing w:line="360" w:lineRule="auto"/>
              <w:ind w:firstLine="420" w:firstLineChars="200"/>
              <w:jc w:val="both"/>
              <w:rPr>
                <w:rFonts w:hint="default" w:ascii="Times New Roman" w:hAnsi="Times New Roman" w:eastAsia="宋体"/>
                <w:color w:val="auto"/>
                <w:sz w:val="21"/>
                <w:szCs w:val="21"/>
                <w:lang w:val="en-US" w:eastAsia="zh-CN"/>
              </w:rPr>
            </w:pPr>
          </w:p>
          <w:p w14:paraId="39F7B7C0">
            <w:pPr>
              <w:spacing w:line="360" w:lineRule="auto"/>
              <w:ind w:firstLine="420" w:firstLineChars="200"/>
              <w:jc w:val="both"/>
              <w:rPr>
                <w:rFonts w:hint="default" w:ascii="Times New Roman" w:hAnsi="Times New Roman" w:eastAsia="宋体"/>
                <w:color w:val="auto"/>
                <w:sz w:val="21"/>
                <w:szCs w:val="21"/>
                <w:lang w:val="en-US" w:eastAsia="zh-CN"/>
              </w:rPr>
            </w:pPr>
          </w:p>
          <w:p w14:paraId="575D0F70">
            <w:pPr>
              <w:spacing w:line="360" w:lineRule="auto"/>
              <w:ind w:firstLine="420" w:firstLineChars="200"/>
              <w:jc w:val="both"/>
              <w:rPr>
                <w:rFonts w:hint="default" w:ascii="Times New Roman" w:hAnsi="Times New Roman" w:eastAsia="宋体"/>
                <w:color w:val="auto"/>
                <w:sz w:val="21"/>
                <w:szCs w:val="21"/>
                <w:lang w:val="en-US" w:eastAsia="zh-CN"/>
              </w:rPr>
            </w:pPr>
          </w:p>
          <w:p w14:paraId="26DB1815">
            <w:pPr>
              <w:spacing w:line="360" w:lineRule="auto"/>
              <w:ind w:firstLine="420" w:firstLineChars="200"/>
              <w:jc w:val="both"/>
              <w:rPr>
                <w:rFonts w:hint="default" w:ascii="Times New Roman" w:hAnsi="Times New Roman" w:eastAsia="宋体"/>
                <w:color w:val="auto"/>
                <w:sz w:val="21"/>
                <w:szCs w:val="21"/>
                <w:lang w:val="en-US" w:eastAsia="zh-CN"/>
              </w:rPr>
            </w:pPr>
          </w:p>
          <w:p w14:paraId="1AA4B777">
            <w:pPr>
              <w:spacing w:line="360" w:lineRule="auto"/>
              <w:ind w:firstLine="420" w:firstLineChars="200"/>
              <w:jc w:val="both"/>
              <w:rPr>
                <w:rFonts w:hint="default" w:ascii="Times New Roman" w:hAnsi="Times New Roman" w:eastAsia="宋体"/>
                <w:color w:val="auto"/>
                <w:sz w:val="21"/>
                <w:szCs w:val="21"/>
                <w:lang w:val="en-US" w:eastAsia="zh-CN"/>
              </w:rPr>
            </w:pPr>
          </w:p>
          <w:p w14:paraId="52063B68">
            <w:pPr>
              <w:spacing w:line="360" w:lineRule="auto"/>
              <w:ind w:firstLine="420" w:firstLineChars="200"/>
              <w:jc w:val="both"/>
              <w:rPr>
                <w:rFonts w:hint="default" w:ascii="Times New Roman" w:hAnsi="Times New Roman" w:eastAsia="宋体"/>
                <w:color w:val="auto"/>
                <w:sz w:val="21"/>
                <w:szCs w:val="21"/>
                <w:lang w:val="en-US" w:eastAsia="zh-CN"/>
              </w:rPr>
            </w:pPr>
          </w:p>
          <w:p w14:paraId="0B0925D5">
            <w:pPr>
              <w:spacing w:line="360" w:lineRule="auto"/>
              <w:ind w:firstLine="420" w:firstLineChars="200"/>
              <w:jc w:val="both"/>
              <w:rPr>
                <w:rFonts w:hint="default" w:ascii="Times New Roman" w:hAnsi="Times New Roman" w:eastAsia="宋体"/>
                <w:color w:val="auto"/>
                <w:sz w:val="21"/>
                <w:szCs w:val="21"/>
                <w:lang w:val="en-US" w:eastAsia="zh-CN"/>
              </w:rPr>
            </w:pPr>
          </w:p>
          <w:p w14:paraId="2EE50C32">
            <w:pPr>
              <w:spacing w:line="360" w:lineRule="auto"/>
              <w:ind w:firstLine="420" w:firstLineChars="200"/>
              <w:jc w:val="both"/>
              <w:rPr>
                <w:rFonts w:hint="default" w:ascii="Times New Roman" w:hAnsi="Times New Roman" w:eastAsia="宋体"/>
                <w:color w:val="auto"/>
                <w:sz w:val="21"/>
                <w:szCs w:val="21"/>
                <w:lang w:val="en-US" w:eastAsia="zh-CN"/>
              </w:rPr>
            </w:pPr>
          </w:p>
          <w:p w14:paraId="724598EE">
            <w:pPr>
              <w:spacing w:line="360" w:lineRule="auto"/>
              <w:ind w:firstLine="420" w:firstLineChars="200"/>
              <w:jc w:val="both"/>
              <w:rPr>
                <w:rFonts w:hint="default" w:ascii="Times New Roman" w:hAnsi="Times New Roman" w:eastAsia="宋体"/>
                <w:color w:val="auto"/>
                <w:sz w:val="21"/>
                <w:szCs w:val="21"/>
                <w:lang w:val="en-US" w:eastAsia="zh-CN"/>
              </w:rPr>
            </w:pPr>
          </w:p>
          <w:p w14:paraId="6C9A75C4">
            <w:pPr>
              <w:spacing w:line="360" w:lineRule="auto"/>
              <w:ind w:firstLine="420" w:firstLineChars="200"/>
              <w:jc w:val="both"/>
              <w:rPr>
                <w:rFonts w:ascii="Times New Roman" w:hAnsi="Times New Roman"/>
                <w:color w:val="auto"/>
                <w:sz w:val="21"/>
                <w:szCs w:val="21"/>
              </w:rPr>
            </w:pPr>
          </w:p>
          <w:p w14:paraId="2FDCCB34">
            <w:pPr>
              <w:spacing w:line="360" w:lineRule="auto"/>
              <w:ind w:firstLine="420" w:firstLineChars="200"/>
              <w:jc w:val="both"/>
              <w:rPr>
                <w:rFonts w:hint="default" w:ascii="Times New Roman" w:hAnsi="Times New Roman"/>
                <w:color w:val="auto"/>
                <w:sz w:val="21"/>
                <w:szCs w:val="21"/>
                <w:lang w:val="en-US"/>
              </w:rPr>
            </w:pPr>
          </w:p>
          <w:p w14:paraId="77C063F2">
            <w:pPr>
              <w:spacing w:line="360" w:lineRule="auto"/>
              <w:ind w:firstLine="420" w:firstLineChars="200"/>
              <w:jc w:val="both"/>
              <w:rPr>
                <w:rFonts w:hint="default" w:ascii="Times New Roman" w:hAnsi="Times New Roman"/>
                <w:color w:val="auto"/>
                <w:sz w:val="21"/>
                <w:szCs w:val="21"/>
                <w:lang w:val="en-US"/>
              </w:rPr>
            </w:pPr>
          </w:p>
          <w:p w14:paraId="29C41AD5">
            <w:pPr>
              <w:keepNext w:val="0"/>
              <w:keepLines w:val="0"/>
              <w:pageBreakBefore w:val="0"/>
              <w:widowControl w:val="0"/>
              <w:kinsoku/>
              <w:wordWrap/>
              <w:overflowPunct/>
              <w:topLinePunct w:val="0"/>
              <w:autoSpaceDE w:val="0"/>
              <w:autoSpaceDN w:val="0"/>
              <w:bidi w:val="0"/>
              <w:adjustRightInd w:val="0"/>
              <w:snapToGrid w:val="0"/>
              <w:spacing w:line="360" w:lineRule="auto"/>
              <w:jc w:val="left"/>
              <w:textAlignment w:val="auto"/>
              <w:rPr>
                <w:rFonts w:hint="default" w:ascii="Times New Roman" w:hAnsi="Times New Roman" w:eastAsia="宋体" w:cs="Times New Roman"/>
                <w:color w:val="auto"/>
                <w:kern w:val="0"/>
                <w:sz w:val="21"/>
                <w:szCs w:val="21"/>
                <w:lang w:val="en-US" w:eastAsia="zh-CN"/>
              </w:rPr>
            </w:pPr>
          </w:p>
        </w:tc>
      </w:tr>
    </w:tbl>
    <w:p w14:paraId="5E57C9FB">
      <w:pPr>
        <w:autoSpaceDE w:val="0"/>
        <w:autoSpaceDN w:val="0"/>
        <w:adjustRightInd w:val="0"/>
        <w:snapToGrid w:val="0"/>
        <w:jc w:val="center"/>
        <w:rPr>
          <w:rFonts w:hint="eastAsia" w:ascii="Times New Roman" w:hAnsi="Times New Roman" w:eastAsia="宋体" w:cs="Times New Roman"/>
          <w:color w:val="auto"/>
          <w:kern w:val="0"/>
          <w:szCs w:val="21"/>
          <w:lang w:val="en-US" w:eastAsia="zh-CN"/>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14:paraId="1AC15C7E">
      <w:pPr>
        <w:pStyle w:val="29"/>
        <w:jc w:val="center"/>
        <w:outlineLvl w:val="0"/>
        <w:rPr>
          <w:rFonts w:hint="default" w:ascii="Times New Roman" w:hAnsi="Times New Roman" w:eastAsia="黑体" w:cs="Times New Roman"/>
          <w:snapToGrid w:val="0"/>
          <w:color w:val="auto"/>
          <w:sz w:val="30"/>
          <w:szCs w:val="30"/>
        </w:rPr>
      </w:pPr>
      <w:bookmarkStart w:id="2" w:name="_Toc10256"/>
      <w:r>
        <w:rPr>
          <w:rFonts w:hint="default" w:ascii="Times New Roman" w:hAnsi="Times New Roman" w:eastAsia="黑体" w:cs="Times New Roman"/>
          <w:snapToGrid w:val="0"/>
          <w:color w:val="auto"/>
          <w:sz w:val="30"/>
          <w:szCs w:val="30"/>
        </w:rPr>
        <w:t>二、建设项目工程分析</w:t>
      </w:r>
      <w:bookmarkEnd w:id="2"/>
    </w:p>
    <w:tbl>
      <w:tblPr>
        <w:tblStyle w:val="3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97"/>
        <w:gridCol w:w="8663"/>
      </w:tblGrid>
      <w:tr w14:paraId="6F3232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749" w:hRule="atLeast"/>
          <w:jc w:val="center"/>
        </w:trPr>
        <w:tc>
          <w:tcPr>
            <w:tcW w:w="434" w:type="dxa"/>
            <w:noWrap w:val="0"/>
            <w:vAlign w:val="center"/>
          </w:tcPr>
          <w:p w14:paraId="3B9F83BE">
            <w:pPr>
              <w:pStyle w:val="29"/>
              <w:adjustRightInd w:val="0"/>
              <w:snapToGrid w:val="0"/>
              <w:spacing w:before="0" w:beforeAutospacing="0" w:after="0" w:afterAutospacing="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建设内容</w:t>
            </w:r>
          </w:p>
          <w:p w14:paraId="56447777">
            <w:pPr>
              <w:pStyle w:val="29"/>
              <w:adjustRightInd w:val="0"/>
              <w:snapToGrid w:val="0"/>
              <w:spacing w:before="0" w:beforeAutospacing="0" w:after="0" w:afterAutospacing="0"/>
              <w:jc w:val="center"/>
              <w:rPr>
                <w:rFonts w:hint="default" w:ascii="Times New Roman" w:hAnsi="Times New Roman" w:cs="Times New Roman"/>
                <w:color w:val="auto"/>
                <w:sz w:val="21"/>
                <w:szCs w:val="21"/>
              </w:rPr>
            </w:pPr>
          </w:p>
        </w:tc>
        <w:tc>
          <w:tcPr>
            <w:tcW w:w="8626" w:type="dxa"/>
            <w:noWrap w:val="0"/>
            <w:vAlign w:val="top"/>
          </w:tcPr>
          <w:p w14:paraId="2C66FB8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jc w:val="both"/>
              <w:textAlignment w:val="auto"/>
              <w:rPr>
                <w:rFonts w:hint="eastAsia"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1、拟建项目由来</w:t>
            </w:r>
          </w:p>
          <w:p w14:paraId="03648D8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近年来，随着我国钢铁产业的发展，国家新能效标准的实施，硅钢是关系到电力、电器革新进步的核心材料，也是对节能减排具有重要价值的高技术含量功能材料。冷轧取向硅钢，是一种用于制造变压器铁芯的专用硅铁合金钢板。它被誉为“钢铁产品中的艺术品”，是电力工业、电子信息产业中不可或缺的关键软磁功能材料，市场需求巨大。</w:t>
            </w:r>
          </w:p>
          <w:p w14:paraId="76CC4D9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我国硅钢产业发展迅猛的同时也存在问题，如调整产品结构、设备升级、优化工艺及注重环保等。硅钢材料迎来发展新机遇。国家对能效标准升级，新能源领域变压器能效标准也有修订。全球变压器市场前景向好，市场规模保持增长，亚太地区需求为主。未来5年全球变压器市场稳步增长。欧洲电网行动带来商机，包括配电网老化、新能源并网需求激增、用电量增长、充电站建设和入网增加、跨境电网升级等方面。</w:t>
            </w:r>
          </w:p>
          <w:p w14:paraId="2738853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因此，昌吉华诚新材料有限公司</w:t>
            </w:r>
            <w:r>
              <w:rPr>
                <w:rFonts w:hint="eastAsia" w:cs="Times New Roman"/>
                <w:color w:val="auto"/>
                <w:sz w:val="21"/>
                <w:szCs w:val="21"/>
                <w:highlight w:val="none"/>
                <w:lang w:val="en-US" w:eastAsia="zh-CN"/>
              </w:rPr>
              <w:t>拟投资68000万元建设</w:t>
            </w:r>
            <w:r>
              <w:rPr>
                <w:rFonts w:hint="eastAsia" w:ascii="Times New Roman" w:hAnsi="Times New Roman" w:eastAsia="宋体" w:cs="Times New Roman"/>
                <w:color w:val="auto"/>
                <w:sz w:val="21"/>
                <w:szCs w:val="21"/>
                <w:highlight w:val="none"/>
                <w:lang w:val="en-US" w:eastAsia="zh-CN"/>
              </w:rPr>
              <w:t>昌吉华诚新材料有限公司年产10万吨高磁感取向硅钢</w:t>
            </w:r>
            <w:r>
              <w:rPr>
                <w:rFonts w:hint="eastAsia" w:cs="Times New Roman"/>
                <w:color w:val="auto"/>
                <w:sz w:val="21"/>
                <w:szCs w:val="21"/>
                <w:highlight w:val="none"/>
                <w:lang w:val="en-US" w:eastAsia="zh-CN"/>
              </w:rPr>
              <w:t>、6万吨铁芯</w:t>
            </w:r>
            <w:r>
              <w:rPr>
                <w:rFonts w:hint="eastAsia" w:ascii="Times New Roman" w:hAnsi="Times New Roman" w:eastAsia="宋体" w:cs="Times New Roman"/>
                <w:color w:val="auto"/>
                <w:sz w:val="21"/>
                <w:szCs w:val="21"/>
                <w:highlight w:val="none"/>
                <w:lang w:val="en-US" w:eastAsia="zh-CN"/>
              </w:rPr>
              <w:t>项目，年产取向硅钢商品卷10万吨</w:t>
            </w:r>
            <w:r>
              <w:rPr>
                <w:rFonts w:hint="eastAsia" w:cs="Times New Roman"/>
                <w:color w:val="auto"/>
                <w:sz w:val="21"/>
                <w:szCs w:val="21"/>
                <w:highlight w:val="none"/>
                <w:lang w:val="en-US" w:eastAsia="zh-CN"/>
              </w:rPr>
              <w:t>、铁芯6万吨</w:t>
            </w:r>
            <w:r>
              <w:rPr>
                <w:rFonts w:hint="eastAsia" w:ascii="Times New Roman" w:hAnsi="Times New Roman" w:eastAsia="宋体" w:cs="Times New Roman"/>
                <w:color w:val="auto"/>
                <w:sz w:val="21"/>
                <w:szCs w:val="21"/>
                <w:highlight w:val="none"/>
                <w:lang w:val="en-US" w:eastAsia="zh-CN"/>
              </w:rPr>
              <w:t>，产品主要面向大型电力变压器、高效节能变压器及特高压输变电工程，满足超高压、特高压变压器能效标准，同时满足国内外市场对高性能硅钢材料的需求。</w:t>
            </w:r>
          </w:p>
          <w:p w14:paraId="6E04E94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按照《中华人民共和国环境影响评价法》及《建设项目环境保护管理条例》等有关</w:t>
            </w:r>
            <w:r>
              <w:rPr>
                <w:rFonts w:hint="eastAsia" w:cs="Times New Roman"/>
                <w:color w:val="auto"/>
                <w:sz w:val="21"/>
                <w:szCs w:val="21"/>
                <w:highlight w:val="none"/>
                <w:lang w:val="en-US" w:eastAsia="zh-CN"/>
              </w:rPr>
              <w:t>法律法规</w:t>
            </w:r>
            <w:r>
              <w:rPr>
                <w:rFonts w:hint="eastAsia" w:ascii="Times New Roman" w:hAnsi="Times New Roman" w:eastAsia="宋体" w:cs="Times New Roman"/>
                <w:color w:val="auto"/>
                <w:sz w:val="21"/>
                <w:szCs w:val="21"/>
                <w:highlight w:val="none"/>
                <w:lang w:val="en-US" w:eastAsia="zh-CN"/>
              </w:rPr>
              <w:t>要求，本项目应进行环境影响评价。根据《建设项目环境影响评价分类管理名录》，本项目属于“二十八、黑色金属冶炼和压延加工业31—63钢压延加工313—其他”，应编制环境影响报告表。</w:t>
            </w:r>
          </w:p>
          <w:p w14:paraId="70BEF46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both"/>
              <w:textAlignment w:val="auto"/>
              <w:rPr>
                <w:rFonts w:ascii="Times New Roman" w:hAnsi="Times New Roman"/>
                <w:color w:val="auto"/>
                <w:sz w:val="21"/>
                <w:szCs w:val="21"/>
                <w:highlight w:val="none"/>
              </w:rPr>
            </w:pPr>
            <w:r>
              <w:rPr>
                <w:rFonts w:ascii="Times New Roman" w:hAnsi="Times New Roman"/>
                <w:color w:val="auto"/>
                <w:sz w:val="21"/>
                <w:szCs w:val="21"/>
                <w:highlight w:val="none"/>
              </w:rPr>
              <w:t>因此，</w:t>
            </w:r>
            <w:r>
              <w:rPr>
                <w:rFonts w:hint="eastAsia" w:ascii="Times New Roman" w:hAnsi="Times New Roman" w:eastAsia="宋体" w:cs="Times New Roman"/>
                <w:color w:val="auto"/>
                <w:sz w:val="21"/>
                <w:szCs w:val="21"/>
                <w:highlight w:val="none"/>
                <w:lang w:val="en-US" w:eastAsia="zh-CN"/>
              </w:rPr>
              <w:t>昌吉华诚新材料有限公司</w:t>
            </w:r>
            <w:r>
              <w:rPr>
                <w:rFonts w:ascii="Times New Roman" w:hAnsi="Times New Roman"/>
                <w:color w:val="auto"/>
                <w:sz w:val="21"/>
                <w:szCs w:val="21"/>
                <w:highlight w:val="none"/>
              </w:rPr>
              <w:t>委托我公司对该项目进行环境影响评价，我公司接受委托后，立即组织技术人员到现场进行了详细的踏勘、资料收集工作，</w:t>
            </w:r>
            <w:r>
              <w:rPr>
                <w:rFonts w:ascii="Times New Roman" w:hAnsi="Times New Roman"/>
                <w:bCs/>
                <w:color w:val="auto"/>
                <w:sz w:val="21"/>
                <w:szCs w:val="21"/>
                <w:highlight w:val="none"/>
              </w:rPr>
              <w:t>在对该项目工程有关环境现状和可能造成的环境影响进行分析后</w:t>
            </w:r>
            <w:r>
              <w:rPr>
                <w:rFonts w:ascii="Times New Roman" w:hAnsi="Times New Roman"/>
                <w:color w:val="auto"/>
                <w:sz w:val="21"/>
                <w:szCs w:val="21"/>
                <w:highlight w:val="none"/>
              </w:rPr>
              <w:t>，依照环境影响评价技术导则要求编制完成《</w:t>
            </w:r>
            <w:r>
              <w:rPr>
                <w:rFonts w:hint="eastAsia" w:ascii="Times New Roman" w:hAnsi="Times New Roman" w:eastAsia="宋体" w:cs="Times New Roman"/>
                <w:color w:val="auto"/>
                <w:sz w:val="21"/>
                <w:szCs w:val="21"/>
                <w:highlight w:val="none"/>
                <w:lang w:val="en-US" w:eastAsia="zh-CN"/>
              </w:rPr>
              <w:t>昌吉华诚新材料有限公司年产10万吨高磁感取向硅钢</w:t>
            </w:r>
            <w:r>
              <w:rPr>
                <w:rFonts w:hint="eastAsia" w:cs="Times New Roman"/>
                <w:color w:val="auto"/>
                <w:sz w:val="21"/>
                <w:szCs w:val="21"/>
                <w:highlight w:val="none"/>
                <w:lang w:val="en-US" w:eastAsia="zh-CN"/>
              </w:rPr>
              <w:t>、6万吨铁芯</w:t>
            </w:r>
            <w:r>
              <w:rPr>
                <w:rFonts w:hint="eastAsia" w:ascii="Times New Roman" w:hAnsi="Times New Roman" w:eastAsia="宋体" w:cs="Times New Roman"/>
                <w:color w:val="auto"/>
                <w:sz w:val="21"/>
                <w:szCs w:val="21"/>
                <w:highlight w:val="none"/>
                <w:lang w:val="en-US" w:eastAsia="zh-CN"/>
              </w:rPr>
              <w:t>项目</w:t>
            </w:r>
            <w:r>
              <w:rPr>
                <w:rFonts w:ascii="Times New Roman" w:hAnsi="Times New Roman"/>
                <w:color w:val="auto"/>
                <w:sz w:val="21"/>
                <w:szCs w:val="21"/>
                <w:highlight w:val="none"/>
              </w:rPr>
              <w:t>环境影响报告表》。</w:t>
            </w:r>
          </w:p>
          <w:p w14:paraId="16B8479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jc w:val="both"/>
              <w:textAlignment w:val="auto"/>
              <w:rPr>
                <w:rFonts w:hint="default" w:cs="Times New Roman"/>
                <w:b/>
                <w:bCs w:val="0"/>
                <w:color w:val="auto"/>
                <w:sz w:val="21"/>
                <w:szCs w:val="21"/>
                <w:highlight w:val="none"/>
                <w:lang w:val="en-US" w:eastAsia="zh-CN"/>
              </w:rPr>
            </w:pPr>
            <w:r>
              <w:rPr>
                <w:rFonts w:hint="eastAsia" w:cs="Times New Roman"/>
                <w:b/>
                <w:bCs w:val="0"/>
                <w:color w:val="auto"/>
                <w:sz w:val="21"/>
                <w:szCs w:val="21"/>
                <w:highlight w:val="none"/>
                <w:lang w:val="en-US" w:eastAsia="zh-CN"/>
              </w:rPr>
              <w:t>2、建设内容及规模</w:t>
            </w:r>
          </w:p>
          <w:p w14:paraId="075664A9">
            <w:pPr>
              <w:pStyle w:val="17"/>
              <w:spacing w:line="360" w:lineRule="auto"/>
              <w:ind w:firstLine="420" w:firstLineChars="200"/>
              <w:rPr>
                <w:rFonts w:ascii="Times New Roman" w:hAnsi="Times New Roman"/>
                <w:color w:val="auto"/>
                <w:sz w:val="21"/>
                <w:szCs w:val="21"/>
                <w:highlight w:val="none"/>
              </w:rPr>
            </w:pPr>
            <w:r>
              <w:rPr>
                <w:rFonts w:ascii="Times New Roman" w:hAnsi="Times New Roman"/>
                <w:color w:val="auto"/>
                <w:sz w:val="21"/>
                <w:szCs w:val="21"/>
                <w:highlight w:val="none"/>
              </w:rPr>
              <w:t>项目名称：</w:t>
            </w:r>
            <w:r>
              <w:rPr>
                <w:rFonts w:hint="eastAsia" w:ascii="Times New Roman" w:hAnsi="Times New Roman" w:eastAsia="宋体" w:cs="Times New Roman"/>
                <w:color w:val="auto"/>
                <w:sz w:val="21"/>
                <w:szCs w:val="21"/>
                <w:highlight w:val="none"/>
                <w:lang w:val="en-US" w:eastAsia="zh-CN"/>
              </w:rPr>
              <w:t>昌吉华诚新材料有限</w:t>
            </w:r>
            <w:r>
              <w:rPr>
                <w:rFonts w:hint="default" w:ascii="Times New Roman" w:hAnsi="Times New Roman" w:eastAsia="宋体" w:cs="Times New Roman"/>
                <w:color w:val="auto"/>
                <w:sz w:val="21"/>
                <w:szCs w:val="21"/>
                <w:highlight w:val="none"/>
                <w:lang w:val="en-US" w:eastAsia="zh-CN"/>
              </w:rPr>
              <w:t>公司年产10万吨高磁感取向硅钢</w:t>
            </w:r>
            <w:r>
              <w:rPr>
                <w:rFonts w:hint="default" w:ascii="Times New Roman" w:hAnsi="Times New Roman" w:cs="Times New Roman"/>
                <w:color w:val="auto"/>
                <w:sz w:val="21"/>
                <w:szCs w:val="21"/>
                <w:highlight w:val="none"/>
                <w:lang w:val="en-US" w:eastAsia="zh-CN"/>
              </w:rPr>
              <w:t>、6万吨铁芯</w:t>
            </w:r>
            <w:r>
              <w:rPr>
                <w:rFonts w:hint="eastAsia" w:ascii="Times New Roman" w:hAnsi="Times New Roman" w:eastAsia="宋体" w:cs="Times New Roman"/>
                <w:color w:val="auto"/>
                <w:sz w:val="21"/>
                <w:szCs w:val="21"/>
                <w:highlight w:val="none"/>
                <w:lang w:val="en-US" w:eastAsia="zh-CN"/>
              </w:rPr>
              <w:t>项目</w:t>
            </w:r>
          </w:p>
          <w:p w14:paraId="0E6185AD">
            <w:pPr>
              <w:pStyle w:val="17"/>
              <w:spacing w:line="360" w:lineRule="auto"/>
              <w:ind w:firstLine="420" w:firstLineChars="200"/>
              <w:rPr>
                <w:rFonts w:ascii="Times New Roman" w:hAnsi="Times New Roman"/>
                <w:color w:val="auto"/>
                <w:sz w:val="21"/>
                <w:szCs w:val="21"/>
                <w:highlight w:val="none"/>
              </w:rPr>
            </w:pPr>
            <w:r>
              <w:rPr>
                <w:rFonts w:ascii="Times New Roman" w:hAnsi="Times New Roman"/>
                <w:color w:val="auto"/>
                <w:sz w:val="21"/>
                <w:szCs w:val="21"/>
                <w:highlight w:val="none"/>
              </w:rPr>
              <w:t>建设单位：</w:t>
            </w:r>
            <w:r>
              <w:rPr>
                <w:rFonts w:hint="eastAsia" w:ascii="Times New Roman" w:hAnsi="Times New Roman" w:eastAsia="宋体" w:cs="Times New Roman"/>
                <w:color w:val="auto"/>
                <w:sz w:val="21"/>
                <w:szCs w:val="21"/>
                <w:highlight w:val="none"/>
                <w:lang w:val="en-US" w:eastAsia="zh-CN"/>
              </w:rPr>
              <w:t>昌吉华诚新材料有限公司</w:t>
            </w:r>
          </w:p>
          <w:p w14:paraId="6D5C7F10">
            <w:pPr>
              <w:pStyle w:val="17"/>
              <w:spacing w:line="360" w:lineRule="auto"/>
              <w:ind w:firstLine="420" w:firstLineChars="200"/>
              <w:rPr>
                <w:rFonts w:ascii="Times New Roman" w:hAnsi="Times New Roman"/>
                <w:color w:val="auto"/>
                <w:sz w:val="21"/>
                <w:szCs w:val="21"/>
                <w:highlight w:val="none"/>
              </w:rPr>
            </w:pPr>
            <w:r>
              <w:rPr>
                <w:rFonts w:ascii="Times New Roman" w:hAnsi="Times New Roman"/>
                <w:color w:val="auto"/>
                <w:sz w:val="21"/>
                <w:szCs w:val="21"/>
                <w:highlight w:val="none"/>
              </w:rPr>
              <w:t>项目性质：</w:t>
            </w:r>
            <w:r>
              <w:rPr>
                <w:rFonts w:hint="eastAsia" w:ascii="Times New Roman" w:hAnsi="Times New Roman"/>
                <w:color w:val="auto"/>
                <w:sz w:val="21"/>
                <w:szCs w:val="21"/>
                <w:highlight w:val="none"/>
                <w:lang w:val="en-US" w:eastAsia="zh-CN"/>
              </w:rPr>
              <w:t>新建</w:t>
            </w:r>
          </w:p>
          <w:p w14:paraId="45C2A1E2">
            <w:pPr>
              <w:pStyle w:val="17"/>
              <w:spacing w:line="360" w:lineRule="auto"/>
              <w:ind w:firstLine="420" w:firstLineChars="200"/>
              <w:rPr>
                <w:rFonts w:hint="eastAsia" w:ascii="Times New Roman" w:hAnsi="Times New Roman" w:eastAsia="宋体"/>
                <w:color w:val="auto"/>
                <w:sz w:val="21"/>
                <w:szCs w:val="21"/>
                <w:highlight w:val="none"/>
                <w:lang w:val="en-US" w:eastAsia="zh-CN"/>
              </w:rPr>
            </w:pPr>
            <w:r>
              <w:rPr>
                <w:rFonts w:ascii="Times New Roman" w:hAnsi="Times New Roman"/>
                <w:color w:val="auto"/>
                <w:sz w:val="21"/>
                <w:szCs w:val="21"/>
                <w:highlight w:val="none"/>
              </w:rPr>
              <w:t>项目总投资及环保投资：项目总投</w:t>
            </w:r>
            <w:r>
              <w:rPr>
                <w:rFonts w:hint="eastAsia" w:ascii="Times New Roman" w:hAnsi="Times New Roman" w:eastAsia="宋体"/>
                <w:color w:val="auto"/>
                <w:sz w:val="21"/>
                <w:szCs w:val="21"/>
                <w:highlight w:val="none"/>
                <w:lang w:val="en-US" w:eastAsia="zh-CN"/>
              </w:rPr>
              <w:t>资</w:t>
            </w:r>
            <w:r>
              <w:rPr>
                <w:rFonts w:hint="eastAsia" w:ascii="Times New Roman" w:hAnsi="Times New Roman" w:cs="Times New Roman"/>
                <w:color w:val="auto"/>
                <w:sz w:val="21"/>
                <w:szCs w:val="21"/>
                <w:highlight w:val="none"/>
                <w:lang w:val="en-US" w:eastAsia="zh-CN"/>
              </w:rPr>
              <w:t>68000</w:t>
            </w:r>
            <w:r>
              <w:rPr>
                <w:rFonts w:hint="eastAsia" w:ascii="Times New Roman" w:hAnsi="Times New Roman" w:eastAsia="宋体"/>
                <w:color w:val="auto"/>
                <w:sz w:val="21"/>
                <w:szCs w:val="21"/>
                <w:highlight w:val="none"/>
                <w:lang w:val="en-US" w:eastAsia="zh-CN"/>
              </w:rPr>
              <w:t>万</w:t>
            </w:r>
            <w:r>
              <w:rPr>
                <w:rFonts w:hint="eastAsia" w:cs="Times New Roman"/>
                <w:color w:val="auto"/>
                <w:sz w:val="21"/>
                <w:szCs w:val="21"/>
                <w:highlight w:val="none"/>
                <w:lang w:eastAsia="zh-CN"/>
              </w:rPr>
              <w:t>元，</w:t>
            </w:r>
            <w:r>
              <w:rPr>
                <w:rFonts w:ascii="Times New Roman" w:hAnsi="Times New Roman"/>
                <w:color w:val="auto"/>
                <w:sz w:val="21"/>
                <w:szCs w:val="21"/>
                <w:highlight w:val="none"/>
              </w:rPr>
              <w:t>其中环保投资</w:t>
            </w:r>
            <w:r>
              <w:rPr>
                <w:rFonts w:hint="eastAsia" w:ascii="Times New Roman" w:hAnsi="Times New Roman" w:cs="Times New Roman"/>
                <w:color w:val="auto"/>
                <w:sz w:val="21"/>
                <w:szCs w:val="21"/>
                <w:highlight w:val="none"/>
                <w:lang w:val="en-US" w:eastAsia="zh-CN"/>
              </w:rPr>
              <w:t>2490</w:t>
            </w:r>
            <w:r>
              <w:rPr>
                <w:rFonts w:ascii="Times New Roman" w:hAnsi="Times New Roman"/>
                <w:color w:val="auto"/>
                <w:sz w:val="21"/>
                <w:szCs w:val="21"/>
                <w:highlight w:val="none"/>
              </w:rPr>
              <w:t>万元，环保投资占总投资的</w:t>
            </w:r>
            <w:r>
              <w:rPr>
                <w:rFonts w:hint="eastAsia" w:ascii="Times New Roman" w:hAnsi="Times New Roman"/>
                <w:color w:val="auto"/>
                <w:sz w:val="21"/>
                <w:szCs w:val="21"/>
                <w:highlight w:val="none"/>
                <w:lang w:val="en-US" w:eastAsia="zh-CN"/>
              </w:rPr>
              <w:t>3.96</w:t>
            </w:r>
            <w:r>
              <w:rPr>
                <w:rFonts w:ascii="Times New Roman" w:hAnsi="Times New Roman"/>
                <w:color w:val="auto"/>
                <w:sz w:val="21"/>
                <w:szCs w:val="21"/>
                <w:highlight w:val="none"/>
              </w:rPr>
              <w:t>%。</w:t>
            </w:r>
          </w:p>
          <w:p w14:paraId="1997F890">
            <w:pPr>
              <w:pStyle w:val="17"/>
              <w:spacing w:line="360" w:lineRule="auto"/>
              <w:ind w:firstLine="420" w:firstLineChars="200"/>
              <w:rPr>
                <w:rFonts w:hint="eastAsia" w:ascii="Times New Roman" w:hAnsi="Times New Roman"/>
                <w:color w:val="auto"/>
                <w:sz w:val="21"/>
                <w:szCs w:val="21"/>
                <w:highlight w:val="none"/>
              </w:rPr>
            </w:pPr>
            <w:r>
              <w:rPr>
                <w:rFonts w:ascii="Times New Roman" w:hAnsi="Times New Roman"/>
                <w:color w:val="auto"/>
                <w:sz w:val="21"/>
                <w:szCs w:val="21"/>
                <w:highlight w:val="none"/>
              </w:rPr>
              <w:t>建设地点及周边环境情况：本项目建设地点位于</w:t>
            </w:r>
            <w:r>
              <w:rPr>
                <w:rFonts w:hint="eastAsia" w:cs="Times New Roman"/>
                <w:color w:val="auto"/>
                <w:sz w:val="21"/>
                <w:szCs w:val="21"/>
                <w:highlight w:val="none"/>
                <w:lang w:eastAsia="zh-CN"/>
              </w:rPr>
              <w:t>新疆维吾尔自治区</w:t>
            </w:r>
            <w:r>
              <w:rPr>
                <w:rFonts w:hint="eastAsia" w:cs="Times New Roman"/>
                <w:color w:val="auto"/>
                <w:sz w:val="21"/>
                <w:szCs w:val="21"/>
                <w:highlight w:val="none"/>
                <w:lang w:val="en-US" w:eastAsia="zh-CN"/>
              </w:rPr>
              <w:t>昌吉回族自治州</w:t>
            </w:r>
            <w:r>
              <w:rPr>
                <w:rFonts w:hint="eastAsia" w:ascii="Times New Roman" w:hAnsi="Times New Roman" w:eastAsia="宋体" w:cs="Times New Roman"/>
                <w:color w:val="auto"/>
                <w:sz w:val="21"/>
                <w:szCs w:val="21"/>
                <w:highlight w:val="none"/>
                <w:lang w:val="en-US" w:eastAsia="zh-CN"/>
              </w:rPr>
              <w:t>昌吉高新技术产业开发区科技大道以北、经六路以西</w:t>
            </w:r>
            <w:r>
              <w:rPr>
                <w:rFonts w:hint="eastAsia" w:cs="Times New Roman"/>
                <w:color w:val="auto"/>
                <w:sz w:val="21"/>
                <w:szCs w:val="21"/>
                <w:highlight w:val="none"/>
                <w:lang w:val="en-US" w:eastAsia="zh-CN"/>
              </w:rPr>
              <w:t>，</w:t>
            </w:r>
            <w:r>
              <w:rPr>
                <w:rFonts w:ascii="Times New Roman" w:hAnsi="Times New Roman"/>
                <w:bCs/>
                <w:color w:val="auto"/>
                <w:sz w:val="21"/>
                <w:szCs w:val="21"/>
                <w:highlight w:val="none"/>
              </w:rPr>
              <w:t>项目</w:t>
            </w:r>
            <w:r>
              <w:rPr>
                <w:rFonts w:ascii="Times New Roman" w:hAnsi="Times New Roman"/>
                <w:color w:val="auto"/>
                <w:sz w:val="21"/>
                <w:szCs w:val="21"/>
                <w:highlight w:val="none"/>
              </w:rPr>
              <w:t>地理位置中心坐标为</w:t>
            </w:r>
            <w:r>
              <w:rPr>
                <w:rFonts w:hint="eastAsia" w:ascii="Times New Roman" w:hAnsi="Times New Roman"/>
                <w:color w:val="auto"/>
                <w:sz w:val="21"/>
                <w:szCs w:val="21"/>
                <w:highlight w:val="none"/>
                <w:lang w:val="en-US" w:eastAsia="zh-CN"/>
              </w:rPr>
              <w:t>87</w:t>
            </w:r>
            <w:r>
              <w:rPr>
                <w:rFonts w:ascii="Times New Roman" w:hAnsi="Times New Roman"/>
                <w:color w:val="auto"/>
                <w:sz w:val="21"/>
                <w:szCs w:val="21"/>
                <w:highlight w:val="none"/>
              </w:rPr>
              <w:t>°</w:t>
            </w:r>
            <w:r>
              <w:rPr>
                <w:rFonts w:hint="eastAsia" w:ascii="Times New Roman" w:hAnsi="Times New Roman"/>
                <w:color w:val="auto"/>
                <w:sz w:val="21"/>
                <w:szCs w:val="21"/>
                <w:highlight w:val="none"/>
                <w:lang w:val="en-US" w:eastAsia="zh-CN"/>
              </w:rPr>
              <w:t>01</w:t>
            </w:r>
            <w:r>
              <w:rPr>
                <w:rFonts w:ascii="Times New Roman" w:hAnsi="Times New Roman"/>
                <w:color w:val="auto"/>
                <w:sz w:val="21"/>
                <w:szCs w:val="21"/>
                <w:highlight w:val="none"/>
              </w:rPr>
              <w:t>′</w:t>
            </w:r>
            <w:r>
              <w:rPr>
                <w:rFonts w:hint="eastAsia" w:ascii="Times New Roman" w:hAnsi="Times New Roman"/>
                <w:color w:val="auto"/>
                <w:sz w:val="21"/>
                <w:szCs w:val="21"/>
                <w:highlight w:val="none"/>
                <w:lang w:val="en-US" w:eastAsia="zh-CN"/>
              </w:rPr>
              <w:t>57.227</w:t>
            </w:r>
            <w:r>
              <w:rPr>
                <w:rFonts w:ascii="Times New Roman" w:hAnsi="Times New Roman"/>
                <w:color w:val="auto"/>
                <w:sz w:val="21"/>
                <w:szCs w:val="21"/>
                <w:highlight w:val="none"/>
              </w:rPr>
              <w:t>″E，</w:t>
            </w:r>
            <w:r>
              <w:rPr>
                <w:rFonts w:hint="eastAsia" w:ascii="Times New Roman" w:hAnsi="Times New Roman"/>
                <w:color w:val="auto"/>
                <w:sz w:val="21"/>
                <w:szCs w:val="21"/>
                <w:highlight w:val="none"/>
                <w:lang w:val="en-US" w:eastAsia="zh-CN"/>
              </w:rPr>
              <w:t>44</w:t>
            </w:r>
            <w:r>
              <w:rPr>
                <w:rFonts w:ascii="Times New Roman" w:hAnsi="Times New Roman"/>
                <w:color w:val="auto"/>
                <w:sz w:val="21"/>
                <w:szCs w:val="21"/>
                <w:highlight w:val="none"/>
              </w:rPr>
              <w:t>°</w:t>
            </w:r>
            <w:r>
              <w:rPr>
                <w:rFonts w:hint="eastAsia" w:ascii="Times New Roman" w:hAnsi="Times New Roman"/>
                <w:color w:val="auto"/>
                <w:sz w:val="21"/>
                <w:szCs w:val="21"/>
                <w:highlight w:val="none"/>
                <w:lang w:val="en-US" w:eastAsia="zh-CN"/>
              </w:rPr>
              <w:t>06</w:t>
            </w:r>
            <w:r>
              <w:rPr>
                <w:rFonts w:ascii="Times New Roman" w:hAnsi="Times New Roman"/>
                <w:color w:val="auto"/>
                <w:sz w:val="21"/>
                <w:szCs w:val="21"/>
                <w:highlight w:val="none"/>
              </w:rPr>
              <w:t>′</w:t>
            </w:r>
            <w:r>
              <w:rPr>
                <w:rFonts w:hint="eastAsia" w:ascii="Times New Roman" w:hAnsi="Times New Roman"/>
                <w:color w:val="auto"/>
                <w:sz w:val="21"/>
                <w:szCs w:val="21"/>
                <w:highlight w:val="none"/>
                <w:lang w:val="en-US" w:eastAsia="zh-CN"/>
              </w:rPr>
              <w:t>41.054</w:t>
            </w:r>
            <w:r>
              <w:rPr>
                <w:rFonts w:ascii="Times New Roman" w:hAnsi="Times New Roman"/>
                <w:color w:val="auto"/>
                <w:sz w:val="21"/>
                <w:szCs w:val="21"/>
                <w:highlight w:val="none"/>
              </w:rPr>
              <w:t>″N。</w:t>
            </w:r>
            <w:r>
              <w:rPr>
                <w:rFonts w:hint="eastAsia" w:ascii="Times New Roman" w:hAnsi="Times New Roman"/>
                <w:color w:val="auto"/>
                <w:sz w:val="21"/>
                <w:szCs w:val="21"/>
                <w:highlight w:val="none"/>
              </w:rPr>
              <w:t>项目地理位置图见</w:t>
            </w:r>
            <w:r>
              <w:rPr>
                <w:rFonts w:hint="eastAsia" w:ascii="Times New Roman" w:hAnsi="Times New Roman"/>
                <w:color w:val="auto"/>
                <w:sz w:val="21"/>
                <w:szCs w:val="21"/>
                <w:highlight w:val="none"/>
                <w:lang w:val="en-US" w:eastAsia="zh-CN"/>
              </w:rPr>
              <w:t>附</w:t>
            </w:r>
            <w:r>
              <w:rPr>
                <w:rFonts w:hint="eastAsia" w:ascii="Times New Roman" w:hAnsi="Times New Roman"/>
                <w:color w:val="auto"/>
                <w:sz w:val="21"/>
                <w:szCs w:val="21"/>
                <w:highlight w:val="none"/>
              </w:rPr>
              <w:t>图1，周边敏感目标图见</w:t>
            </w:r>
            <w:r>
              <w:rPr>
                <w:rFonts w:hint="eastAsia" w:ascii="Times New Roman" w:hAnsi="Times New Roman"/>
                <w:color w:val="auto"/>
                <w:sz w:val="21"/>
                <w:szCs w:val="21"/>
                <w:highlight w:val="none"/>
                <w:lang w:val="en-US" w:eastAsia="zh-CN"/>
              </w:rPr>
              <w:t>附</w:t>
            </w:r>
            <w:r>
              <w:rPr>
                <w:rFonts w:hint="eastAsia" w:ascii="Times New Roman" w:hAnsi="Times New Roman"/>
                <w:color w:val="auto"/>
                <w:sz w:val="21"/>
                <w:szCs w:val="21"/>
                <w:highlight w:val="none"/>
              </w:rPr>
              <w:t>图2。</w:t>
            </w:r>
          </w:p>
          <w:p w14:paraId="420BF75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both"/>
              <w:textAlignment w:val="auto"/>
              <w:rPr>
                <w:rFonts w:hint="default" w:cs="Times New Roman"/>
                <w:bCs/>
                <w:color w:val="auto"/>
                <w:sz w:val="21"/>
                <w:szCs w:val="21"/>
                <w:lang w:val="en-US" w:eastAsia="zh-CN"/>
              </w:rPr>
            </w:pPr>
            <w:r>
              <w:rPr>
                <w:rFonts w:hint="default" w:cs="Times New Roman"/>
                <w:bCs/>
                <w:color w:val="auto"/>
                <w:sz w:val="21"/>
                <w:szCs w:val="21"/>
                <w:lang w:val="en-US" w:eastAsia="zh-CN"/>
              </w:rPr>
              <w:t>具体项目</w:t>
            </w:r>
            <w:r>
              <w:rPr>
                <w:rFonts w:hint="eastAsia" w:cs="Times New Roman"/>
                <w:bCs/>
                <w:color w:val="auto"/>
                <w:sz w:val="21"/>
                <w:szCs w:val="21"/>
                <w:lang w:val="en-US" w:eastAsia="zh-CN"/>
              </w:rPr>
              <w:t>建设内容及</w:t>
            </w:r>
            <w:r>
              <w:rPr>
                <w:rFonts w:hint="default" w:cs="Times New Roman"/>
                <w:bCs/>
                <w:color w:val="auto"/>
                <w:sz w:val="21"/>
                <w:szCs w:val="21"/>
                <w:lang w:val="en-US" w:eastAsia="zh-CN"/>
              </w:rPr>
              <w:t>组成见</w:t>
            </w:r>
            <w:r>
              <w:rPr>
                <w:rFonts w:hint="eastAsia" w:cs="Times New Roman"/>
                <w:bCs/>
                <w:color w:val="auto"/>
                <w:sz w:val="21"/>
                <w:szCs w:val="21"/>
                <w:lang w:val="en-US" w:eastAsia="zh-CN"/>
              </w:rPr>
              <w:t>下表</w:t>
            </w:r>
            <w:r>
              <w:rPr>
                <w:rFonts w:hint="default" w:cs="Times New Roman"/>
                <w:bCs/>
                <w:color w:val="auto"/>
                <w:sz w:val="21"/>
                <w:szCs w:val="21"/>
                <w:lang w:val="en-US" w:eastAsia="zh-CN"/>
              </w:rPr>
              <w:t>。</w:t>
            </w:r>
          </w:p>
          <w:p w14:paraId="6BBE46AF">
            <w:pPr>
              <w:spacing w:line="360" w:lineRule="auto"/>
              <w:jc w:val="center"/>
              <w:rPr>
                <w:rFonts w:ascii="Times New Roman" w:hAnsi="Times New Roman" w:eastAsia="黑体"/>
                <w:bCs/>
                <w:color w:val="auto"/>
                <w:spacing w:val="2"/>
                <w:sz w:val="21"/>
                <w:szCs w:val="21"/>
              </w:rPr>
            </w:pPr>
            <w:r>
              <w:rPr>
                <w:rFonts w:ascii="Times New Roman" w:hAnsi="Times New Roman" w:eastAsia="黑体"/>
                <w:bCs/>
                <w:color w:val="auto"/>
                <w:spacing w:val="2"/>
                <w:sz w:val="21"/>
                <w:szCs w:val="21"/>
              </w:rPr>
              <w:t>表2-</w:t>
            </w:r>
            <w:r>
              <w:rPr>
                <w:rFonts w:hint="eastAsia" w:eastAsia="黑体"/>
                <w:bCs/>
                <w:color w:val="auto"/>
                <w:spacing w:val="2"/>
                <w:sz w:val="21"/>
                <w:szCs w:val="21"/>
                <w:lang w:val="en-US" w:eastAsia="zh-CN"/>
              </w:rPr>
              <w:t>1</w:t>
            </w:r>
            <w:r>
              <w:rPr>
                <w:rFonts w:ascii="Times New Roman" w:hAnsi="Times New Roman" w:eastAsia="黑体"/>
                <w:bCs/>
                <w:color w:val="auto"/>
                <w:spacing w:val="2"/>
                <w:sz w:val="21"/>
                <w:szCs w:val="21"/>
              </w:rPr>
              <w:t>本项目主要工程内容</w:t>
            </w:r>
          </w:p>
          <w:tbl>
            <w:tblPr>
              <w:tblStyle w:val="3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90"/>
              <w:gridCol w:w="1017"/>
              <w:gridCol w:w="5124"/>
              <w:gridCol w:w="1183"/>
            </w:tblGrid>
            <w:tr w14:paraId="02893A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8" w:type="pct"/>
                  <w:noWrap w:val="0"/>
                  <w:tcMar>
                    <w:left w:w="57" w:type="dxa"/>
                    <w:right w:w="57" w:type="dxa"/>
                  </w:tcMar>
                  <w:vAlign w:val="center"/>
                </w:tcPr>
                <w:p w14:paraId="40968938">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工程</w:t>
                  </w:r>
                </w:p>
              </w:tc>
              <w:tc>
                <w:tcPr>
                  <w:tcW w:w="604" w:type="pct"/>
                  <w:noWrap w:val="0"/>
                  <w:tcMar>
                    <w:left w:w="57" w:type="dxa"/>
                    <w:right w:w="57" w:type="dxa"/>
                  </w:tcMar>
                  <w:vAlign w:val="center"/>
                </w:tcPr>
                <w:p w14:paraId="46EC2461">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类别</w:t>
                  </w:r>
                </w:p>
              </w:tc>
              <w:tc>
                <w:tcPr>
                  <w:tcW w:w="3044" w:type="pct"/>
                  <w:noWrap w:val="0"/>
                  <w:vAlign w:val="center"/>
                </w:tcPr>
                <w:p w14:paraId="7CBFBA87">
                  <w:pPr>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本项目建设情况</w:t>
                  </w:r>
                </w:p>
              </w:tc>
              <w:tc>
                <w:tcPr>
                  <w:tcW w:w="703" w:type="pct"/>
                  <w:noWrap w:val="0"/>
                  <w:tcMar>
                    <w:left w:w="57" w:type="dxa"/>
                    <w:right w:w="57" w:type="dxa"/>
                  </w:tcMar>
                  <w:vAlign w:val="center"/>
                </w:tcPr>
                <w:p w14:paraId="3D5DC5CB">
                  <w:pPr>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备注</w:t>
                  </w:r>
                </w:p>
              </w:tc>
            </w:tr>
            <w:tr w14:paraId="27E43F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8" w:type="pct"/>
                  <w:vMerge w:val="restart"/>
                  <w:noWrap w:val="0"/>
                  <w:tcMar>
                    <w:left w:w="57" w:type="dxa"/>
                    <w:right w:w="57" w:type="dxa"/>
                  </w:tcMar>
                  <w:vAlign w:val="center"/>
                </w:tcPr>
                <w:p w14:paraId="2C434023">
                  <w:pPr>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主体工程</w:t>
                  </w:r>
                </w:p>
              </w:tc>
              <w:tc>
                <w:tcPr>
                  <w:tcW w:w="604" w:type="pct"/>
                  <w:noWrap w:val="0"/>
                  <w:tcMar>
                    <w:left w:w="57" w:type="dxa"/>
                    <w:right w:w="57" w:type="dxa"/>
                  </w:tcMar>
                  <w:vAlign w:val="center"/>
                </w:tcPr>
                <w:p w14:paraId="051F5E87">
                  <w:pPr>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硅钢车间</w:t>
                  </w:r>
                </w:p>
              </w:tc>
              <w:tc>
                <w:tcPr>
                  <w:tcW w:w="3044" w:type="pct"/>
                  <w:shd w:val="clear" w:color="auto" w:fill="auto"/>
                  <w:noWrap w:val="0"/>
                  <w:tcMar>
                    <w:left w:w="57" w:type="dxa"/>
                    <w:right w:w="57" w:type="dxa"/>
                  </w:tcMar>
                  <w:vAlign w:val="center"/>
                </w:tcPr>
                <w:p w14:paraId="7491CD3A">
                  <w:pPr>
                    <w:numPr>
                      <w:ilvl w:val="0"/>
                      <w:numId w:val="0"/>
                    </w:numPr>
                    <w:ind w:left="0" w:leftChars="0" w:firstLine="0" w:firstLineChars="0"/>
                    <w:jc w:val="both"/>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kern w:val="2"/>
                      <w:sz w:val="18"/>
                      <w:szCs w:val="18"/>
                      <w:lang w:val="en-US" w:eastAsia="zh-CN" w:bidi="ar-SA"/>
                    </w:rPr>
                    <w:t>位于厂区东侧，占地面积约61621.2</w:t>
                  </w:r>
                  <w:r>
                    <w:rPr>
                      <w:rFonts w:hint="eastAsia" w:cs="Times New Roman"/>
                      <w:color w:val="auto"/>
                      <w:kern w:val="2"/>
                      <w:sz w:val="18"/>
                      <w:szCs w:val="18"/>
                      <w:lang w:val="en-US" w:eastAsia="zh-CN" w:bidi="ar-SA"/>
                    </w:rPr>
                    <w:t>1</w:t>
                  </w:r>
                  <w:r>
                    <w:rPr>
                      <w:rFonts w:hint="default" w:ascii="Times New Roman" w:hAnsi="Times New Roman" w:cs="Times New Roman"/>
                      <w:color w:val="auto"/>
                      <w:kern w:val="2"/>
                      <w:sz w:val="18"/>
                      <w:szCs w:val="18"/>
                      <w:lang w:val="en-US" w:eastAsia="zh-CN" w:bidi="ar-SA"/>
                    </w:rPr>
                    <w:t>m</w:t>
                  </w:r>
                  <w:r>
                    <w:rPr>
                      <w:rFonts w:hint="default" w:ascii="Times New Roman" w:hAnsi="Times New Roman" w:cs="Times New Roman"/>
                      <w:color w:val="auto"/>
                      <w:kern w:val="2"/>
                      <w:sz w:val="18"/>
                      <w:szCs w:val="18"/>
                      <w:vertAlign w:val="superscript"/>
                      <w:lang w:val="en-US" w:eastAsia="zh-CN" w:bidi="ar-SA"/>
                    </w:rPr>
                    <w:t>2</w:t>
                  </w:r>
                  <w:r>
                    <w:rPr>
                      <w:rFonts w:hint="default" w:ascii="Times New Roman" w:hAnsi="Times New Roman" w:cs="Times New Roman"/>
                      <w:color w:val="auto"/>
                      <w:kern w:val="2"/>
                      <w:sz w:val="18"/>
                      <w:szCs w:val="18"/>
                      <w:vertAlign w:val="baseline"/>
                      <w:lang w:val="en-US" w:eastAsia="zh-CN" w:bidi="ar-SA"/>
                    </w:rPr>
                    <w:t>，</w:t>
                  </w:r>
                  <w:r>
                    <w:rPr>
                      <w:rFonts w:hint="default" w:ascii="Times New Roman" w:hAnsi="Times New Roman" w:cs="Times New Roman"/>
                      <w:color w:val="auto"/>
                      <w:kern w:val="2"/>
                      <w:sz w:val="18"/>
                      <w:szCs w:val="18"/>
                      <w:lang w:val="en-US" w:eastAsia="zh-CN" w:bidi="ar-SA"/>
                    </w:rPr>
                    <w:t>车间内部由西向东依次为原料跨、常化酸洗跨、轧制成品跨、DCL-FCL跨、高温退火跨，年</w:t>
                  </w:r>
                  <w:r>
                    <w:rPr>
                      <w:rFonts w:hint="default" w:ascii="Times New Roman" w:hAnsi="Times New Roman" w:cs="Times New Roman"/>
                      <w:snapToGrid w:val="0"/>
                      <w:color w:val="auto"/>
                      <w:sz w:val="18"/>
                      <w:szCs w:val="18"/>
                      <w:highlight w:val="none"/>
                      <w:lang w:eastAsia="zh-CN"/>
                    </w:rPr>
                    <w:t>产高磁感取向硅钢成品(Hi-B)10万吨</w:t>
                  </w:r>
                </w:p>
              </w:tc>
              <w:tc>
                <w:tcPr>
                  <w:tcW w:w="703" w:type="pct"/>
                  <w:noWrap w:val="0"/>
                  <w:tcMar>
                    <w:left w:w="57" w:type="dxa"/>
                    <w:right w:w="57" w:type="dxa"/>
                  </w:tcMar>
                  <w:vAlign w:val="center"/>
                </w:tcPr>
                <w:p w14:paraId="4C868E73">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新建</w:t>
                  </w:r>
                </w:p>
              </w:tc>
            </w:tr>
            <w:tr w14:paraId="04E52B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8" w:type="pct"/>
                  <w:vMerge w:val="continue"/>
                  <w:noWrap w:val="0"/>
                  <w:tcMar>
                    <w:left w:w="57" w:type="dxa"/>
                    <w:right w:w="57" w:type="dxa"/>
                  </w:tcMar>
                  <w:vAlign w:val="center"/>
                </w:tcPr>
                <w:p w14:paraId="3BDEE0F4">
                  <w:pPr>
                    <w:jc w:val="center"/>
                    <w:rPr>
                      <w:rFonts w:hint="default" w:ascii="Times New Roman" w:hAnsi="Times New Roman" w:cs="Times New Roman"/>
                      <w:color w:val="auto"/>
                      <w:sz w:val="18"/>
                      <w:szCs w:val="18"/>
                      <w:lang w:val="en-US" w:eastAsia="zh-CN"/>
                    </w:rPr>
                  </w:pPr>
                </w:p>
              </w:tc>
              <w:tc>
                <w:tcPr>
                  <w:tcW w:w="604" w:type="pct"/>
                  <w:noWrap w:val="0"/>
                  <w:tcMar>
                    <w:left w:w="57" w:type="dxa"/>
                    <w:right w:w="57" w:type="dxa"/>
                  </w:tcMar>
                  <w:vAlign w:val="center"/>
                </w:tcPr>
                <w:p w14:paraId="7DB4CB9B">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铁芯车间</w:t>
                  </w:r>
                </w:p>
              </w:tc>
              <w:tc>
                <w:tcPr>
                  <w:tcW w:w="3044" w:type="pct"/>
                  <w:shd w:val="clear" w:color="auto" w:fill="auto"/>
                  <w:noWrap w:val="0"/>
                  <w:tcMar>
                    <w:left w:w="57" w:type="dxa"/>
                    <w:right w:w="57" w:type="dxa"/>
                  </w:tcMar>
                  <w:vAlign w:val="center"/>
                </w:tcPr>
                <w:p w14:paraId="3CE2A954">
                  <w:pPr>
                    <w:numPr>
                      <w:ilvl w:val="0"/>
                      <w:numId w:val="0"/>
                    </w:numPr>
                    <w:ind w:left="0" w:leftChars="0" w:firstLine="0" w:firstLineChars="0"/>
                    <w:jc w:val="both"/>
                    <w:rPr>
                      <w:rFonts w:hint="default" w:ascii="Times New Roman" w:hAnsi="Times New Roman" w:eastAsia="宋体" w:cs="Times New Roman"/>
                      <w:color w:val="auto"/>
                      <w:kern w:val="2"/>
                      <w:sz w:val="18"/>
                      <w:szCs w:val="18"/>
                      <w:vertAlign w:val="baseline"/>
                      <w:lang w:val="en-US" w:eastAsia="zh-CN" w:bidi="ar-SA"/>
                    </w:rPr>
                  </w:pPr>
                  <w:r>
                    <w:rPr>
                      <w:rFonts w:hint="default" w:ascii="Times New Roman" w:hAnsi="Times New Roman" w:cs="Times New Roman"/>
                      <w:color w:val="auto"/>
                      <w:kern w:val="2"/>
                      <w:sz w:val="18"/>
                      <w:szCs w:val="18"/>
                      <w:lang w:val="en-US" w:eastAsia="zh-CN" w:bidi="ar-SA"/>
                    </w:rPr>
                    <w:t>位于厂区西侧，占地面积约4</w:t>
                  </w:r>
                  <w:r>
                    <w:rPr>
                      <w:rFonts w:hint="eastAsia" w:cs="Times New Roman"/>
                      <w:color w:val="auto"/>
                      <w:kern w:val="2"/>
                      <w:sz w:val="18"/>
                      <w:szCs w:val="18"/>
                      <w:lang w:val="en-US" w:eastAsia="zh-CN" w:bidi="ar-SA"/>
                    </w:rPr>
                    <w:t>8720</w:t>
                  </w:r>
                  <w:r>
                    <w:rPr>
                      <w:rFonts w:hint="default" w:ascii="Times New Roman" w:hAnsi="Times New Roman" w:cs="Times New Roman"/>
                      <w:color w:val="auto"/>
                      <w:kern w:val="2"/>
                      <w:sz w:val="18"/>
                      <w:szCs w:val="18"/>
                      <w:lang w:val="en-US" w:eastAsia="zh-CN" w:bidi="ar-SA"/>
                    </w:rPr>
                    <w:t>m</w:t>
                  </w:r>
                  <w:r>
                    <w:rPr>
                      <w:rFonts w:hint="default" w:ascii="Times New Roman" w:hAnsi="Times New Roman" w:cs="Times New Roman"/>
                      <w:color w:val="auto"/>
                      <w:kern w:val="2"/>
                      <w:sz w:val="18"/>
                      <w:szCs w:val="18"/>
                      <w:vertAlign w:val="superscript"/>
                      <w:lang w:val="en-US" w:eastAsia="zh-CN" w:bidi="ar-SA"/>
                    </w:rPr>
                    <w:t>2</w:t>
                  </w:r>
                  <w:r>
                    <w:rPr>
                      <w:rFonts w:hint="default" w:ascii="Times New Roman" w:hAnsi="Times New Roman" w:cs="Times New Roman"/>
                      <w:color w:val="auto"/>
                      <w:kern w:val="2"/>
                      <w:sz w:val="18"/>
                      <w:szCs w:val="18"/>
                      <w:vertAlign w:val="baseline"/>
                      <w:lang w:val="en-US" w:eastAsia="zh-CN" w:bidi="ar-SA"/>
                    </w:rPr>
                    <w:t>，设置纵剪、横剪、翻转台等设备，年产铁芯6万吨</w:t>
                  </w:r>
                </w:p>
              </w:tc>
              <w:tc>
                <w:tcPr>
                  <w:tcW w:w="703" w:type="pct"/>
                  <w:noWrap w:val="0"/>
                  <w:tcMar>
                    <w:left w:w="57" w:type="dxa"/>
                    <w:right w:w="57" w:type="dxa"/>
                  </w:tcMar>
                  <w:vAlign w:val="center"/>
                </w:tcPr>
                <w:p w14:paraId="12D36E09">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新建</w:t>
                  </w:r>
                </w:p>
              </w:tc>
            </w:tr>
            <w:tr w14:paraId="09DD9C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8" w:type="pct"/>
                  <w:vMerge w:val="restart"/>
                  <w:noWrap w:val="0"/>
                  <w:tcMar>
                    <w:left w:w="57" w:type="dxa"/>
                    <w:right w:w="57" w:type="dxa"/>
                  </w:tcMar>
                  <w:vAlign w:val="center"/>
                </w:tcPr>
                <w:p w14:paraId="5F9F7297">
                  <w:pPr>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辅助工程</w:t>
                  </w:r>
                </w:p>
              </w:tc>
              <w:tc>
                <w:tcPr>
                  <w:tcW w:w="604" w:type="pct"/>
                  <w:noWrap w:val="0"/>
                  <w:tcMar>
                    <w:left w:w="57" w:type="dxa"/>
                    <w:right w:w="57" w:type="dxa"/>
                  </w:tcMar>
                  <w:vAlign w:val="center"/>
                </w:tcPr>
                <w:p w14:paraId="4267F596">
                  <w:pPr>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锅炉房</w:t>
                  </w:r>
                </w:p>
              </w:tc>
              <w:tc>
                <w:tcPr>
                  <w:tcW w:w="3044" w:type="pct"/>
                  <w:shd w:val="clear" w:color="auto" w:fill="auto"/>
                  <w:noWrap w:val="0"/>
                  <w:tcMar>
                    <w:left w:w="57" w:type="dxa"/>
                    <w:right w:w="57" w:type="dxa"/>
                  </w:tcMar>
                  <w:vAlign w:val="center"/>
                </w:tcPr>
                <w:p w14:paraId="48721D33">
                  <w:pPr>
                    <w:jc w:val="left"/>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kern w:val="2"/>
                      <w:sz w:val="18"/>
                      <w:szCs w:val="18"/>
                      <w:lang w:val="en-US" w:eastAsia="zh-CN" w:bidi="ar-SA"/>
                    </w:rPr>
                    <w:t>位于厂区</w:t>
                  </w:r>
                  <w:r>
                    <w:rPr>
                      <w:rFonts w:hint="eastAsia" w:cs="Times New Roman"/>
                      <w:color w:val="auto"/>
                      <w:kern w:val="2"/>
                      <w:sz w:val="18"/>
                      <w:szCs w:val="18"/>
                      <w:lang w:val="en-US" w:eastAsia="zh-CN" w:bidi="ar-SA"/>
                    </w:rPr>
                    <w:t>西南</w:t>
                  </w:r>
                  <w:r>
                    <w:rPr>
                      <w:rFonts w:hint="default" w:ascii="Times New Roman" w:hAnsi="Times New Roman" w:cs="Times New Roman"/>
                      <w:color w:val="auto"/>
                      <w:kern w:val="2"/>
                      <w:sz w:val="18"/>
                      <w:szCs w:val="18"/>
                      <w:lang w:val="en-US" w:eastAsia="zh-CN" w:bidi="ar-SA"/>
                    </w:rPr>
                    <w:t>侧，设置2×15t/h</w:t>
                  </w:r>
                  <w:r>
                    <w:rPr>
                      <w:rFonts w:hint="eastAsia" w:cs="Times New Roman"/>
                      <w:color w:val="auto"/>
                      <w:kern w:val="2"/>
                      <w:sz w:val="18"/>
                      <w:szCs w:val="18"/>
                      <w:lang w:val="en-US" w:eastAsia="zh-CN" w:bidi="ar-SA"/>
                    </w:rPr>
                    <w:t>电</w:t>
                  </w:r>
                  <w:r>
                    <w:rPr>
                      <w:rFonts w:hint="default" w:ascii="Times New Roman" w:hAnsi="Times New Roman" w:cs="Times New Roman"/>
                      <w:color w:val="auto"/>
                      <w:kern w:val="2"/>
                      <w:sz w:val="18"/>
                      <w:szCs w:val="18"/>
                      <w:lang w:val="en-US" w:eastAsia="zh-CN" w:bidi="ar-SA"/>
                    </w:rPr>
                    <w:t>锅炉，为生产提供蒸汽</w:t>
                  </w:r>
                </w:p>
              </w:tc>
              <w:tc>
                <w:tcPr>
                  <w:tcW w:w="703" w:type="pct"/>
                  <w:noWrap w:val="0"/>
                  <w:tcMar>
                    <w:left w:w="57" w:type="dxa"/>
                    <w:right w:w="57" w:type="dxa"/>
                  </w:tcMar>
                  <w:vAlign w:val="center"/>
                </w:tcPr>
                <w:p w14:paraId="7E19332B">
                  <w:pPr>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新建</w:t>
                  </w:r>
                </w:p>
              </w:tc>
            </w:tr>
            <w:tr w14:paraId="345C0F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8" w:type="pct"/>
                  <w:vMerge w:val="continue"/>
                  <w:noWrap w:val="0"/>
                  <w:tcMar>
                    <w:left w:w="57" w:type="dxa"/>
                    <w:right w:w="57" w:type="dxa"/>
                  </w:tcMar>
                  <w:vAlign w:val="center"/>
                </w:tcPr>
                <w:p w14:paraId="3BB114DF">
                  <w:pPr>
                    <w:jc w:val="center"/>
                    <w:rPr>
                      <w:rFonts w:hint="default" w:ascii="Times New Roman" w:hAnsi="Times New Roman" w:cs="Times New Roman"/>
                      <w:color w:val="auto"/>
                      <w:sz w:val="18"/>
                      <w:szCs w:val="18"/>
                      <w:lang w:val="en-US" w:eastAsia="zh-CN"/>
                    </w:rPr>
                  </w:pPr>
                </w:p>
              </w:tc>
              <w:tc>
                <w:tcPr>
                  <w:tcW w:w="604" w:type="pct"/>
                  <w:noWrap w:val="0"/>
                  <w:tcMar>
                    <w:left w:w="57" w:type="dxa"/>
                    <w:right w:w="57" w:type="dxa"/>
                  </w:tcMar>
                  <w:vAlign w:val="center"/>
                </w:tcPr>
                <w:p w14:paraId="21A5F1C6">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研发中心</w:t>
                  </w:r>
                </w:p>
              </w:tc>
              <w:tc>
                <w:tcPr>
                  <w:tcW w:w="3044" w:type="pct"/>
                  <w:shd w:val="clear" w:color="auto" w:fill="auto"/>
                  <w:noWrap w:val="0"/>
                  <w:tcMar>
                    <w:left w:w="57" w:type="dxa"/>
                    <w:right w:w="57" w:type="dxa"/>
                  </w:tcMar>
                  <w:vAlign w:val="center"/>
                </w:tcPr>
                <w:p w14:paraId="47C1DF4C">
                  <w:pPr>
                    <w:jc w:val="both"/>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位于厂区</w:t>
                  </w:r>
                  <w:r>
                    <w:rPr>
                      <w:rFonts w:hint="eastAsia" w:cs="Times New Roman"/>
                      <w:color w:val="auto"/>
                      <w:sz w:val="18"/>
                      <w:szCs w:val="18"/>
                      <w:lang w:val="en-US" w:eastAsia="zh-CN"/>
                    </w:rPr>
                    <w:t>西北</w:t>
                  </w:r>
                  <w:r>
                    <w:rPr>
                      <w:rFonts w:hint="default" w:ascii="Times New Roman" w:hAnsi="Times New Roman" w:cs="Times New Roman"/>
                      <w:color w:val="auto"/>
                      <w:sz w:val="18"/>
                      <w:szCs w:val="18"/>
                      <w:lang w:val="en-US" w:eastAsia="zh-CN"/>
                    </w:rPr>
                    <w:t>侧，占地面积</w:t>
                  </w:r>
                  <w:r>
                    <w:rPr>
                      <w:rFonts w:hint="eastAsia" w:cs="Times New Roman"/>
                      <w:color w:val="auto"/>
                      <w:sz w:val="18"/>
                      <w:szCs w:val="18"/>
                      <w:lang w:val="en-US" w:eastAsia="zh-CN"/>
                    </w:rPr>
                    <w:t>648</w:t>
                  </w:r>
                  <w:r>
                    <w:rPr>
                      <w:rFonts w:hint="default" w:ascii="Times New Roman" w:hAnsi="Times New Roman" w:cs="Times New Roman"/>
                      <w:color w:val="auto"/>
                      <w:kern w:val="2"/>
                      <w:sz w:val="18"/>
                      <w:szCs w:val="18"/>
                      <w:lang w:val="en-US" w:eastAsia="zh-CN" w:bidi="ar-SA"/>
                    </w:rPr>
                    <w:t>m</w:t>
                  </w:r>
                  <w:r>
                    <w:rPr>
                      <w:rFonts w:hint="default" w:ascii="Times New Roman" w:hAnsi="Times New Roman" w:cs="Times New Roman"/>
                      <w:color w:val="auto"/>
                      <w:kern w:val="2"/>
                      <w:sz w:val="18"/>
                      <w:szCs w:val="18"/>
                      <w:vertAlign w:val="superscript"/>
                      <w:lang w:val="en-US" w:eastAsia="zh-CN" w:bidi="ar-SA"/>
                    </w:rPr>
                    <w:t>2</w:t>
                  </w:r>
                  <w:r>
                    <w:rPr>
                      <w:rFonts w:hint="default" w:ascii="Times New Roman" w:hAnsi="Times New Roman" w:cs="Times New Roman"/>
                      <w:color w:val="auto"/>
                      <w:kern w:val="2"/>
                      <w:sz w:val="18"/>
                      <w:szCs w:val="18"/>
                      <w:vertAlign w:val="baseline"/>
                      <w:lang w:val="en-US" w:eastAsia="zh-CN" w:bidi="ar-SA"/>
                    </w:rPr>
                    <w:t>，用于产品研发</w:t>
                  </w:r>
                </w:p>
              </w:tc>
              <w:tc>
                <w:tcPr>
                  <w:tcW w:w="703" w:type="pct"/>
                  <w:noWrap w:val="0"/>
                  <w:tcMar>
                    <w:left w:w="57" w:type="dxa"/>
                    <w:right w:w="57" w:type="dxa"/>
                  </w:tcMar>
                  <w:vAlign w:val="center"/>
                </w:tcPr>
                <w:p w14:paraId="3C0B8C27">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新建</w:t>
                  </w:r>
                </w:p>
              </w:tc>
            </w:tr>
            <w:tr w14:paraId="51BDBF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8" w:type="pct"/>
                  <w:vMerge w:val="continue"/>
                  <w:noWrap w:val="0"/>
                  <w:tcMar>
                    <w:left w:w="57" w:type="dxa"/>
                    <w:right w:w="57" w:type="dxa"/>
                  </w:tcMar>
                  <w:vAlign w:val="center"/>
                </w:tcPr>
                <w:p w14:paraId="4246E4DC">
                  <w:pPr>
                    <w:jc w:val="center"/>
                    <w:rPr>
                      <w:rFonts w:hint="default" w:ascii="Times New Roman" w:hAnsi="Times New Roman" w:cs="Times New Roman"/>
                      <w:color w:val="auto"/>
                      <w:sz w:val="18"/>
                      <w:szCs w:val="18"/>
                      <w:lang w:val="en-US" w:eastAsia="zh-CN"/>
                    </w:rPr>
                  </w:pPr>
                </w:p>
              </w:tc>
              <w:tc>
                <w:tcPr>
                  <w:tcW w:w="604" w:type="pct"/>
                  <w:noWrap w:val="0"/>
                  <w:tcMar>
                    <w:left w:w="57" w:type="dxa"/>
                    <w:right w:w="57" w:type="dxa"/>
                  </w:tcMar>
                  <w:vAlign w:val="center"/>
                </w:tcPr>
                <w:p w14:paraId="2E6EC0EF">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办公楼</w:t>
                  </w:r>
                </w:p>
              </w:tc>
              <w:tc>
                <w:tcPr>
                  <w:tcW w:w="3044" w:type="pct"/>
                  <w:shd w:val="clear" w:color="auto" w:fill="auto"/>
                  <w:noWrap w:val="0"/>
                  <w:tcMar>
                    <w:left w:w="57" w:type="dxa"/>
                    <w:right w:w="57" w:type="dxa"/>
                  </w:tcMar>
                  <w:vAlign w:val="center"/>
                </w:tcPr>
                <w:p w14:paraId="1D0209E6">
                  <w:pPr>
                    <w:jc w:val="both"/>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lang w:val="en-US" w:eastAsia="zh-CN"/>
                    </w:rPr>
                    <w:t>位于厂区</w:t>
                  </w:r>
                  <w:r>
                    <w:rPr>
                      <w:rFonts w:hint="eastAsia" w:cs="Times New Roman"/>
                      <w:color w:val="auto"/>
                      <w:sz w:val="18"/>
                      <w:szCs w:val="18"/>
                      <w:lang w:val="en-US" w:eastAsia="zh-CN"/>
                    </w:rPr>
                    <w:t>西北</w:t>
                  </w:r>
                  <w:r>
                    <w:rPr>
                      <w:rFonts w:hint="default" w:ascii="Times New Roman" w:hAnsi="Times New Roman" w:cs="Times New Roman"/>
                      <w:color w:val="auto"/>
                      <w:sz w:val="18"/>
                      <w:szCs w:val="18"/>
                      <w:lang w:val="en-US" w:eastAsia="zh-CN"/>
                    </w:rPr>
                    <w:t>侧，占地面积810</w:t>
                  </w:r>
                  <w:r>
                    <w:rPr>
                      <w:rFonts w:hint="default" w:ascii="Times New Roman" w:hAnsi="Times New Roman" w:cs="Times New Roman"/>
                      <w:color w:val="auto"/>
                      <w:kern w:val="2"/>
                      <w:sz w:val="18"/>
                      <w:szCs w:val="18"/>
                      <w:lang w:val="en-US" w:eastAsia="zh-CN" w:bidi="ar-SA"/>
                    </w:rPr>
                    <w:t>m</w:t>
                  </w:r>
                  <w:r>
                    <w:rPr>
                      <w:rFonts w:hint="default" w:ascii="Times New Roman" w:hAnsi="Times New Roman" w:cs="Times New Roman"/>
                      <w:color w:val="auto"/>
                      <w:kern w:val="2"/>
                      <w:sz w:val="18"/>
                      <w:szCs w:val="18"/>
                      <w:vertAlign w:val="superscript"/>
                      <w:lang w:val="en-US" w:eastAsia="zh-CN" w:bidi="ar-SA"/>
                    </w:rPr>
                    <w:t>2</w:t>
                  </w:r>
                  <w:r>
                    <w:rPr>
                      <w:rFonts w:hint="default" w:ascii="Times New Roman" w:hAnsi="Times New Roman" w:cs="Times New Roman"/>
                      <w:color w:val="auto"/>
                      <w:kern w:val="2"/>
                      <w:sz w:val="18"/>
                      <w:szCs w:val="18"/>
                      <w:vertAlign w:val="baseline"/>
                      <w:lang w:val="en-US" w:eastAsia="zh-CN" w:bidi="ar-SA"/>
                    </w:rPr>
                    <w:t>，用于生活办公</w:t>
                  </w:r>
                </w:p>
              </w:tc>
              <w:tc>
                <w:tcPr>
                  <w:tcW w:w="703" w:type="pct"/>
                  <w:noWrap w:val="0"/>
                  <w:tcMar>
                    <w:left w:w="57" w:type="dxa"/>
                    <w:right w:w="57" w:type="dxa"/>
                  </w:tcMar>
                  <w:vAlign w:val="center"/>
                </w:tcPr>
                <w:p w14:paraId="08AD5B56">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新建</w:t>
                  </w:r>
                </w:p>
              </w:tc>
            </w:tr>
            <w:tr w14:paraId="32FF9C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8" w:type="pct"/>
                  <w:vMerge w:val="continue"/>
                  <w:noWrap w:val="0"/>
                  <w:tcMar>
                    <w:left w:w="57" w:type="dxa"/>
                    <w:right w:w="57" w:type="dxa"/>
                  </w:tcMar>
                  <w:vAlign w:val="center"/>
                </w:tcPr>
                <w:p w14:paraId="4A4A5425">
                  <w:pPr>
                    <w:jc w:val="center"/>
                    <w:rPr>
                      <w:rFonts w:hint="default" w:ascii="Times New Roman" w:hAnsi="Times New Roman" w:cs="Times New Roman"/>
                      <w:color w:val="auto"/>
                      <w:sz w:val="18"/>
                      <w:szCs w:val="18"/>
                      <w:lang w:val="en-US" w:eastAsia="zh-CN"/>
                    </w:rPr>
                  </w:pPr>
                </w:p>
              </w:tc>
              <w:tc>
                <w:tcPr>
                  <w:tcW w:w="604" w:type="pct"/>
                  <w:noWrap w:val="0"/>
                  <w:tcMar>
                    <w:left w:w="57" w:type="dxa"/>
                    <w:right w:w="57" w:type="dxa"/>
                  </w:tcMar>
                  <w:vAlign w:val="center"/>
                </w:tcPr>
                <w:p w14:paraId="609745A7">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变压站</w:t>
                  </w:r>
                </w:p>
              </w:tc>
              <w:tc>
                <w:tcPr>
                  <w:tcW w:w="3044" w:type="pct"/>
                  <w:shd w:val="clear" w:color="auto" w:fill="auto"/>
                  <w:noWrap w:val="0"/>
                  <w:tcMar>
                    <w:left w:w="57" w:type="dxa"/>
                    <w:right w:w="57" w:type="dxa"/>
                  </w:tcMar>
                  <w:vAlign w:val="center"/>
                </w:tcPr>
                <w:p w14:paraId="44B57CA8">
                  <w:pPr>
                    <w:jc w:val="both"/>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位于厂区</w:t>
                  </w:r>
                  <w:r>
                    <w:rPr>
                      <w:rFonts w:hint="eastAsia" w:cs="Times New Roman"/>
                      <w:color w:val="auto"/>
                      <w:sz w:val="18"/>
                      <w:szCs w:val="18"/>
                      <w:lang w:val="en-US" w:eastAsia="zh-CN"/>
                    </w:rPr>
                    <w:t>西北</w:t>
                  </w:r>
                  <w:r>
                    <w:rPr>
                      <w:rFonts w:hint="default" w:ascii="Times New Roman" w:hAnsi="Times New Roman" w:cs="Times New Roman"/>
                      <w:color w:val="auto"/>
                      <w:sz w:val="18"/>
                      <w:szCs w:val="18"/>
                      <w:lang w:val="en-US" w:eastAsia="zh-CN"/>
                    </w:rPr>
                    <w:t>侧，占地面积946.8</w:t>
                  </w:r>
                  <w:r>
                    <w:rPr>
                      <w:rFonts w:hint="default" w:ascii="Times New Roman" w:hAnsi="Times New Roman" w:cs="Times New Roman"/>
                      <w:color w:val="auto"/>
                      <w:kern w:val="2"/>
                      <w:sz w:val="18"/>
                      <w:szCs w:val="18"/>
                      <w:lang w:val="en-US" w:eastAsia="zh-CN" w:bidi="ar-SA"/>
                    </w:rPr>
                    <w:t>m</w:t>
                  </w:r>
                  <w:r>
                    <w:rPr>
                      <w:rFonts w:hint="default" w:ascii="Times New Roman" w:hAnsi="Times New Roman" w:cs="Times New Roman"/>
                      <w:color w:val="auto"/>
                      <w:kern w:val="2"/>
                      <w:sz w:val="18"/>
                      <w:szCs w:val="18"/>
                      <w:vertAlign w:val="superscript"/>
                      <w:lang w:val="en-US" w:eastAsia="zh-CN" w:bidi="ar-SA"/>
                    </w:rPr>
                    <w:t>2</w:t>
                  </w:r>
                </w:p>
              </w:tc>
              <w:tc>
                <w:tcPr>
                  <w:tcW w:w="703" w:type="pct"/>
                  <w:noWrap w:val="0"/>
                  <w:tcMar>
                    <w:left w:w="57" w:type="dxa"/>
                    <w:right w:w="57" w:type="dxa"/>
                  </w:tcMar>
                  <w:vAlign w:val="center"/>
                </w:tcPr>
                <w:p w14:paraId="702187EF">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新建</w:t>
                  </w:r>
                </w:p>
              </w:tc>
            </w:tr>
            <w:tr w14:paraId="1AFB08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8" w:type="pct"/>
                  <w:vMerge w:val="restart"/>
                  <w:noWrap w:val="0"/>
                  <w:tcMar>
                    <w:left w:w="57" w:type="dxa"/>
                    <w:right w:w="57" w:type="dxa"/>
                  </w:tcMar>
                  <w:vAlign w:val="center"/>
                </w:tcPr>
                <w:p w14:paraId="0ED8E777">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rPr>
                    <w:t>储运工程</w:t>
                  </w:r>
                </w:p>
              </w:tc>
              <w:tc>
                <w:tcPr>
                  <w:tcW w:w="604" w:type="pct"/>
                  <w:noWrap w:val="0"/>
                  <w:tcMar>
                    <w:left w:w="57" w:type="dxa"/>
                    <w:right w:w="57" w:type="dxa"/>
                  </w:tcMar>
                  <w:vAlign w:val="center"/>
                </w:tcPr>
                <w:p w14:paraId="38E3F4A2">
                  <w:pPr>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罐区</w:t>
                  </w:r>
                </w:p>
              </w:tc>
              <w:tc>
                <w:tcPr>
                  <w:tcW w:w="3044" w:type="pct"/>
                  <w:shd w:val="clear" w:color="auto" w:fill="auto"/>
                  <w:noWrap w:val="0"/>
                  <w:tcMar>
                    <w:left w:w="57" w:type="dxa"/>
                    <w:right w:w="57" w:type="dxa"/>
                  </w:tcMar>
                  <w:vAlign w:val="center"/>
                </w:tcPr>
                <w:p w14:paraId="63A10F6F">
                  <w:pPr>
                    <w:jc w:val="both"/>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硅钢车间内</w:t>
                  </w:r>
                  <w:r>
                    <w:rPr>
                      <w:rFonts w:hint="default" w:ascii="Times New Roman" w:hAnsi="Times New Roman" w:cs="Times New Roman"/>
                      <w:color w:val="auto"/>
                      <w:kern w:val="2"/>
                      <w:sz w:val="18"/>
                      <w:szCs w:val="18"/>
                      <w:lang w:val="en-US" w:eastAsia="zh-CN" w:bidi="ar-SA"/>
                    </w:rPr>
                    <w:t>设置1座90m</w:t>
                  </w:r>
                  <w:r>
                    <w:rPr>
                      <w:rFonts w:hint="default" w:ascii="Times New Roman" w:hAnsi="Times New Roman" w:cs="Times New Roman"/>
                      <w:color w:val="auto"/>
                      <w:kern w:val="2"/>
                      <w:sz w:val="18"/>
                      <w:szCs w:val="18"/>
                      <w:vertAlign w:val="superscript"/>
                      <w:lang w:val="en-US" w:eastAsia="zh-CN" w:bidi="ar-SA"/>
                    </w:rPr>
                    <w:t>3</w:t>
                  </w:r>
                  <w:r>
                    <w:rPr>
                      <w:rFonts w:hint="default" w:ascii="Times New Roman" w:hAnsi="Times New Roman" w:cs="Times New Roman"/>
                      <w:color w:val="auto"/>
                      <w:kern w:val="2"/>
                      <w:sz w:val="18"/>
                      <w:szCs w:val="18"/>
                      <w:lang w:val="en-US" w:eastAsia="zh-CN" w:bidi="ar-SA"/>
                    </w:rPr>
                    <w:t>盐酸储罐、1座20m</w:t>
                  </w:r>
                  <w:r>
                    <w:rPr>
                      <w:rFonts w:hint="default" w:ascii="Times New Roman" w:hAnsi="Times New Roman" w:cs="Times New Roman"/>
                      <w:color w:val="auto"/>
                      <w:kern w:val="2"/>
                      <w:sz w:val="18"/>
                      <w:szCs w:val="18"/>
                      <w:vertAlign w:val="superscript"/>
                      <w:lang w:val="en-US" w:eastAsia="zh-CN" w:bidi="ar-SA"/>
                    </w:rPr>
                    <w:t>3</w:t>
                  </w:r>
                  <w:r>
                    <w:rPr>
                      <w:rFonts w:hint="default" w:ascii="Times New Roman" w:hAnsi="Times New Roman" w:cs="Times New Roman"/>
                      <w:color w:val="auto"/>
                      <w:kern w:val="2"/>
                      <w:sz w:val="18"/>
                      <w:szCs w:val="18"/>
                      <w:lang w:val="en-US" w:eastAsia="zh-CN" w:bidi="ar-SA"/>
                    </w:rPr>
                    <w:t>硫酸储罐</w:t>
                  </w:r>
                </w:p>
              </w:tc>
              <w:tc>
                <w:tcPr>
                  <w:tcW w:w="703" w:type="pct"/>
                  <w:noWrap w:val="0"/>
                  <w:tcMar>
                    <w:left w:w="57" w:type="dxa"/>
                    <w:right w:w="57" w:type="dxa"/>
                  </w:tcMar>
                  <w:vAlign w:val="center"/>
                </w:tcPr>
                <w:p w14:paraId="7E5FFD23">
                  <w:pPr>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新建</w:t>
                  </w:r>
                </w:p>
              </w:tc>
            </w:tr>
            <w:tr w14:paraId="4344B7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8" w:type="pct"/>
                  <w:vMerge w:val="continue"/>
                  <w:noWrap w:val="0"/>
                  <w:tcMar>
                    <w:left w:w="57" w:type="dxa"/>
                    <w:right w:w="57" w:type="dxa"/>
                  </w:tcMar>
                  <w:vAlign w:val="center"/>
                </w:tcPr>
                <w:p w14:paraId="630E23BE">
                  <w:pPr>
                    <w:jc w:val="center"/>
                    <w:rPr>
                      <w:rFonts w:hint="default" w:ascii="Times New Roman" w:hAnsi="Times New Roman" w:cs="Times New Roman"/>
                      <w:color w:val="auto"/>
                      <w:sz w:val="18"/>
                      <w:szCs w:val="18"/>
                    </w:rPr>
                  </w:pPr>
                </w:p>
              </w:tc>
              <w:tc>
                <w:tcPr>
                  <w:tcW w:w="604" w:type="pct"/>
                  <w:shd w:val="clear" w:color="auto" w:fill="auto"/>
                  <w:noWrap w:val="0"/>
                  <w:tcMar>
                    <w:left w:w="57" w:type="dxa"/>
                    <w:right w:w="57" w:type="dxa"/>
                  </w:tcMar>
                  <w:vAlign w:val="center"/>
                </w:tcPr>
                <w:p w14:paraId="1BEE4EBE">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气体区</w:t>
                  </w:r>
                </w:p>
              </w:tc>
              <w:tc>
                <w:tcPr>
                  <w:tcW w:w="3044" w:type="pct"/>
                  <w:shd w:val="clear" w:color="auto" w:fill="auto"/>
                  <w:noWrap w:val="0"/>
                  <w:tcMar>
                    <w:left w:w="57" w:type="dxa"/>
                    <w:right w:w="57" w:type="dxa"/>
                  </w:tcMar>
                  <w:vAlign w:val="center"/>
                </w:tcPr>
                <w:p w14:paraId="174017D4">
                  <w:pPr>
                    <w:jc w:val="both"/>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位于厂区</w:t>
                  </w:r>
                  <w:r>
                    <w:rPr>
                      <w:rFonts w:hint="eastAsia" w:cs="Times New Roman"/>
                      <w:color w:val="auto"/>
                      <w:sz w:val="18"/>
                      <w:szCs w:val="18"/>
                      <w:lang w:val="en-US" w:eastAsia="zh-CN"/>
                    </w:rPr>
                    <w:t>西南</w:t>
                  </w:r>
                  <w:r>
                    <w:rPr>
                      <w:rFonts w:hint="default" w:ascii="Times New Roman" w:hAnsi="Times New Roman" w:cs="Times New Roman"/>
                      <w:color w:val="auto"/>
                      <w:sz w:val="18"/>
                      <w:szCs w:val="18"/>
                      <w:lang w:val="en-US" w:eastAsia="zh-CN"/>
                    </w:rPr>
                    <w:t>侧，</w:t>
                  </w:r>
                  <w:r>
                    <w:rPr>
                      <w:rFonts w:hint="eastAsia" w:ascii="Times New Roman" w:hAnsi="Times New Roman" w:cs="Times New Roman"/>
                      <w:color w:val="auto"/>
                      <w:sz w:val="18"/>
                      <w:szCs w:val="18"/>
                      <w:lang w:val="en-US" w:eastAsia="zh-CN"/>
                    </w:rPr>
                    <w:t>设置12个槽罐车</w:t>
                  </w:r>
                  <w:r>
                    <w:rPr>
                      <w:rFonts w:hint="default" w:ascii="Times New Roman" w:hAnsi="Times New Roman" w:cs="Times New Roman"/>
                      <w:color w:val="auto"/>
                      <w:sz w:val="18"/>
                      <w:szCs w:val="18"/>
                      <w:lang w:val="en-US" w:eastAsia="zh-CN"/>
                    </w:rPr>
                    <w:t>用于</w:t>
                  </w:r>
                  <w:r>
                    <w:rPr>
                      <w:rFonts w:hint="eastAsia" w:cs="Times New Roman"/>
                      <w:color w:val="auto"/>
                      <w:sz w:val="18"/>
                      <w:szCs w:val="18"/>
                      <w:lang w:val="en-US" w:eastAsia="zh-CN"/>
                    </w:rPr>
                    <w:t>氢气的暂存；设置液氨气化站，设置1座10m</w:t>
                  </w:r>
                  <w:r>
                    <w:rPr>
                      <w:rFonts w:hint="eastAsia" w:cs="Times New Roman"/>
                      <w:color w:val="auto"/>
                      <w:sz w:val="18"/>
                      <w:szCs w:val="18"/>
                      <w:vertAlign w:val="superscript"/>
                      <w:lang w:val="en-US" w:eastAsia="zh-CN"/>
                    </w:rPr>
                    <w:t>3</w:t>
                  </w:r>
                  <w:r>
                    <w:rPr>
                      <w:rFonts w:hint="eastAsia" w:cs="Times New Roman"/>
                      <w:color w:val="auto"/>
                      <w:sz w:val="18"/>
                      <w:szCs w:val="18"/>
                      <w:lang w:val="en-US" w:eastAsia="zh-CN"/>
                    </w:rPr>
                    <w:t>液氨罐（压力0.8-1MPa，常温储存）和1套液氨气化装置</w:t>
                  </w:r>
                </w:p>
              </w:tc>
              <w:tc>
                <w:tcPr>
                  <w:tcW w:w="703" w:type="pct"/>
                  <w:noWrap w:val="0"/>
                  <w:tcMar>
                    <w:left w:w="57" w:type="dxa"/>
                    <w:right w:w="57" w:type="dxa"/>
                  </w:tcMar>
                  <w:vAlign w:val="center"/>
                </w:tcPr>
                <w:p w14:paraId="16EDDC43">
                  <w:pPr>
                    <w:jc w:val="center"/>
                    <w:rPr>
                      <w:rFonts w:hint="default" w:ascii="Times New Roman" w:hAnsi="Times New Roman" w:cs="Times New Roman"/>
                      <w:color w:val="auto"/>
                      <w:sz w:val="18"/>
                      <w:szCs w:val="18"/>
                      <w:lang w:val="en-US" w:eastAsia="zh-CN"/>
                    </w:rPr>
                  </w:pPr>
                  <w:r>
                    <w:rPr>
                      <w:rFonts w:hint="eastAsia" w:cs="Times New Roman"/>
                      <w:color w:val="auto"/>
                      <w:sz w:val="18"/>
                      <w:szCs w:val="18"/>
                      <w:lang w:val="en-US" w:eastAsia="zh-CN"/>
                    </w:rPr>
                    <w:t>新建</w:t>
                  </w:r>
                </w:p>
              </w:tc>
            </w:tr>
            <w:tr w14:paraId="0A0B57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8" w:type="pct"/>
                  <w:vMerge w:val="restart"/>
                  <w:noWrap w:val="0"/>
                  <w:tcMar>
                    <w:left w:w="57" w:type="dxa"/>
                    <w:right w:w="57" w:type="dxa"/>
                  </w:tcMar>
                  <w:vAlign w:val="center"/>
                </w:tcPr>
                <w:p w14:paraId="7CD52D9C">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公用工程</w:t>
                  </w:r>
                </w:p>
              </w:tc>
              <w:tc>
                <w:tcPr>
                  <w:tcW w:w="604" w:type="pct"/>
                  <w:shd w:val="clear" w:color="auto" w:fill="auto"/>
                  <w:noWrap w:val="0"/>
                  <w:tcMar>
                    <w:left w:w="57" w:type="dxa"/>
                    <w:right w:w="57" w:type="dxa"/>
                  </w:tcMar>
                  <w:vAlign w:val="center"/>
                </w:tcPr>
                <w:p w14:paraId="2FB0AE29">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供水</w:t>
                  </w:r>
                </w:p>
              </w:tc>
              <w:tc>
                <w:tcPr>
                  <w:tcW w:w="3044" w:type="pct"/>
                  <w:shd w:val="clear" w:color="auto" w:fill="auto"/>
                  <w:noWrap w:val="0"/>
                  <w:tcMar>
                    <w:left w:w="57" w:type="dxa"/>
                    <w:right w:w="57" w:type="dxa"/>
                  </w:tcMar>
                  <w:vAlign w:val="center"/>
                </w:tcPr>
                <w:p w14:paraId="70DD0A73">
                  <w:pPr>
                    <w:keepNext w:val="0"/>
                    <w:keepLines w:val="0"/>
                    <w:pageBreakBefore w:val="0"/>
                    <w:widowControl w:val="0"/>
                    <w:kinsoku/>
                    <w:wordWrap/>
                    <w:overflowPunct/>
                    <w:topLinePunct w:val="0"/>
                    <w:autoSpaceDE/>
                    <w:autoSpaceDN/>
                    <w:bidi w:val="0"/>
                    <w:adjustRightInd/>
                    <w:snapToGrid/>
                    <w:spacing w:line="240" w:lineRule="auto"/>
                    <w:contextualSpacing/>
                    <w:jc w:val="left"/>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新鲜水</w:t>
                  </w:r>
                  <w:r>
                    <w:rPr>
                      <w:rFonts w:hint="default" w:ascii="Times New Roman" w:hAnsi="Times New Roman" w:cs="Times New Roman"/>
                      <w:color w:val="auto"/>
                      <w:sz w:val="18"/>
                      <w:szCs w:val="18"/>
                    </w:rPr>
                    <w:t>由</w:t>
                  </w:r>
                  <w:r>
                    <w:rPr>
                      <w:rFonts w:hint="default" w:ascii="Times New Roman" w:hAnsi="Times New Roman" w:cs="Times New Roman"/>
                      <w:color w:val="auto"/>
                      <w:sz w:val="18"/>
                      <w:szCs w:val="18"/>
                      <w:lang w:val="en-US" w:eastAsia="zh-CN"/>
                    </w:rPr>
                    <w:t>园区自来水管网</w:t>
                  </w:r>
                  <w:r>
                    <w:rPr>
                      <w:rFonts w:hint="default" w:ascii="Times New Roman" w:hAnsi="Times New Roman" w:cs="Times New Roman"/>
                      <w:color w:val="auto"/>
                      <w:sz w:val="18"/>
                      <w:szCs w:val="18"/>
                    </w:rPr>
                    <w:t>供水</w:t>
                  </w:r>
                  <w:r>
                    <w:rPr>
                      <w:rFonts w:hint="default" w:ascii="Times New Roman" w:hAnsi="Times New Roman" w:cs="Times New Roman"/>
                      <w:color w:val="auto"/>
                      <w:sz w:val="18"/>
                      <w:szCs w:val="18"/>
                      <w:lang w:eastAsia="zh-CN"/>
                    </w:rPr>
                    <w:t>；</w:t>
                  </w:r>
                  <w:r>
                    <w:rPr>
                      <w:rFonts w:hint="default" w:ascii="Times New Roman" w:hAnsi="Times New Roman" w:cs="Times New Roman"/>
                      <w:bCs/>
                      <w:color w:val="auto"/>
                      <w:sz w:val="18"/>
                      <w:szCs w:val="18"/>
                    </w:rPr>
                    <w:t>项目建设制水能力</w:t>
                  </w:r>
                  <w:r>
                    <w:rPr>
                      <w:rFonts w:hint="default" w:ascii="Times New Roman" w:hAnsi="Times New Roman" w:cs="Times New Roman"/>
                      <w:bCs/>
                      <w:color w:val="auto"/>
                      <w:sz w:val="18"/>
                      <w:szCs w:val="18"/>
                      <w:lang w:val="en-US" w:eastAsia="zh-CN"/>
                    </w:rPr>
                    <w:t>50</w:t>
                  </w:r>
                  <w:r>
                    <w:rPr>
                      <w:rFonts w:hint="default" w:ascii="Times New Roman" w:hAnsi="Times New Roman" w:cs="Times New Roman"/>
                      <w:bCs/>
                      <w:color w:val="auto"/>
                      <w:sz w:val="18"/>
                      <w:szCs w:val="18"/>
                    </w:rPr>
                    <w:t>m</w:t>
                  </w:r>
                  <w:r>
                    <w:rPr>
                      <w:rFonts w:hint="default" w:ascii="Times New Roman" w:hAnsi="Times New Roman" w:cs="Times New Roman"/>
                      <w:bCs/>
                      <w:color w:val="auto"/>
                      <w:sz w:val="18"/>
                      <w:szCs w:val="18"/>
                      <w:vertAlign w:val="superscript"/>
                    </w:rPr>
                    <w:t>3</w:t>
                  </w:r>
                  <w:r>
                    <w:rPr>
                      <w:rFonts w:hint="default" w:ascii="Times New Roman" w:hAnsi="Times New Roman" w:cs="Times New Roman"/>
                      <w:bCs/>
                      <w:color w:val="auto"/>
                      <w:sz w:val="18"/>
                      <w:szCs w:val="18"/>
                    </w:rPr>
                    <w:t>/h的</w:t>
                  </w:r>
                  <w:r>
                    <w:rPr>
                      <w:rFonts w:hint="default" w:ascii="Times New Roman" w:hAnsi="Times New Roman" w:cs="Times New Roman"/>
                      <w:bCs/>
                      <w:color w:val="auto"/>
                      <w:sz w:val="18"/>
                      <w:szCs w:val="18"/>
                      <w:lang w:val="en-US" w:eastAsia="zh-CN"/>
                    </w:rPr>
                    <w:t>脱盐水系统</w:t>
                  </w:r>
                  <w:r>
                    <w:rPr>
                      <w:rFonts w:hint="default" w:ascii="Times New Roman" w:hAnsi="Times New Roman" w:cs="Times New Roman"/>
                      <w:bCs/>
                      <w:color w:val="auto"/>
                      <w:sz w:val="18"/>
                      <w:szCs w:val="18"/>
                    </w:rPr>
                    <w:t>，主要工艺为“</w:t>
                  </w:r>
                  <w:r>
                    <w:rPr>
                      <w:rFonts w:hint="default" w:ascii="Times New Roman" w:hAnsi="Times New Roman" w:cs="Times New Roman"/>
                      <w:bCs/>
                      <w:color w:val="auto"/>
                      <w:sz w:val="18"/>
                      <w:szCs w:val="18"/>
                      <w:lang w:val="en-US" w:eastAsia="zh-CN"/>
                    </w:rPr>
                    <w:t>过滤+</w:t>
                  </w:r>
                  <w:r>
                    <w:rPr>
                      <w:rFonts w:hint="default" w:ascii="Times New Roman" w:hAnsi="Times New Roman" w:cs="Times New Roman"/>
                      <w:bCs/>
                      <w:color w:val="auto"/>
                      <w:sz w:val="18"/>
                      <w:szCs w:val="18"/>
                    </w:rPr>
                    <w:t>反渗透”，</w:t>
                  </w:r>
                  <w:r>
                    <w:rPr>
                      <w:rFonts w:hint="default" w:ascii="Times New Roman" w:hAnsi="Times New Roman" w:cs="Times New Roman"/>
                      <w:bCs/>
                      <w:color w:val="auto"/>
                      <w:sz w:val="18"/>
                      <w:szCs w:val="18"/>
                      <w:lang w:val="en-US" w:eastAsia="zh-CN"/>
                    </w:rPr>
                    <w:t>制水效率70%，制备的脱盐水用于酸洗液及锅炉补水等工序</w:t>
                  </w:r>
                </w:p>
              </w:tc>
              <w:tc>
                <w:tcPr>
                  <w:tcW w:w="703" w:type="pct"/>
                  <w:noWrap w:val="0"/>
                  <w:tcMar>
                    <w:left w:w="57" w:type="dxa"/>
                    <w:right w:w="57" w:type="dxa"/>
                  </w:tcMar>
                  <w:vAlign w:val="center"/>
                </w:tcPr>
                <w:p w14:paraId="66E4FC97">
                  <w:pPr>
                    <w:jc w:val="center"/>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新建</w:t>
                  </w:r>
                </w:p>
              </w:tc>
            </w:tr>
            <w:tr w14:paraId="2F7F97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8" w:type="pct"/>
                  <w:vMerge w:val="continue"/>
                  <w:noWrap w:val="0"/>
                  <w:tcMar>
                    <w:left w:w="57" w:type="dxa"/>
                    <w:right w:w="57" w:type="dxa"/>
                  </w:tcMar>
                  <w:vAlign w:val="center"/>
                </w:tcPr>
                <w:p w14:paraId="37268894">
                  <w:pPr>
                    <w:jc w:val="center"/>
                    <w:rPr>
                      <w:rFonts w:hint="default" w:ascii="Times New Roman" w:hAnsi="Times New Roman" w:cs="Times New Roman"/>
                      <w:color w:val="auto"/>
                      <w:sz w:val="18"/>
                      <w:szCs w:val="18"/>
                    </w:rPr>
                  </w:pPr>
                </w:p>
              </w:tc>
              <w:tc>
                <w:tcPr>
                  <w:tcW w:w="604" w:type="pct"/>
                  <w:shd w:val="clear" w:color="auto" w:fill="auto"/>
                  <w:noWrap w:val="0"/>
                  <w:tcMar>
                    <w:left w:w="57" w:type="dxa"/>
                    <w:right w:w="57" w:type="dxa"/>
                  </w:tcMar>
                  <w:vAlign w:val="center"/>
                </w:tcPr>
                <w:p w14:paraId="1DF54EF9">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排水</w:t>
                  </w:r>
                </w:p>
              </w:tc>
              <w:tc>
                <w:tcPr>
                  <w:tcW w:w="3044" w:type="pct"/>
                  <w:shd w:val="clear" w:color="auto" w:fill="auto"/>
                  <w:noWrap w:val="0"/>
                  <w:tcMar>
                    <w:left w:w="57" w:type="dxa"/>
                    <w:right w:w="57" w:type="dxa"/>
                  </w:tcMar>
                  <w:vAlign w:val="center"/>
                </w:tcPr>
                <w:p w14:paraId="30369A0B">
                  <w:pPr>
                    <w:keepNext w:val="0"/>
                    <w:keepLines w:val="0"/>
                    <w:pageBreakBefore w:val="0"/>
                    <w:widowControl w:val="0"/>
                    <w:kinsoku/>
                    <w:wordWrap/>
                    <w:overflowPunct/>
                    <w:topLinePunct w:val="0"/>
                    <w:autoSpaceDE/>
                    <w:autoSpaceDN/>
                    <w:bidi w:val="0"/>
                    <w:adjustRightInd/>
                    <w:snapToGrid/>
                    <w:spacing w:line="240" w:lineRule="auto"/>
                    <w:contextualSpacing/>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雨污分流制，废水分质收集、分质处理。</w:t>
                  </w:r>
                  <w:r>
                    <w:rPr>
                      <w:rFonts w:hint="default" w:ascii="Times New Roman" w:hAnsi="Times New Roman" w:cs="Times New Roman"/>
                      <w:color w:val="auto"/>
                      <w:sz w:val="18"/>
                      <w:szCs w:val="18"/>
                      <w:lang w:val="en-US" w:eastAsia="zh-CN"/>
                    </w:rPr>
                    <w:t>最终</w:t>
                  </w:r>
                  <w:r>
                    <w:rPr>
                      <w:rFonts w:hint="eastAsia" w:cs="Times New Roman"/>
                      <w:color w:val="auto"/>
                      <w:sz w:val="18"/>
                      <w:szCs w:val="18"/>
                      <w:lang w:val="en-US" w:eastAsia="zh-CN"/>
                    </w:rPr>
                    <w:t>经过处理的</w:t>
                  </w:r>
                  <w:r>
                    <w:rPr>
                      <w:rFonts w:hint="default" w:ascii="Times New Roman" w:hAnsi="Times New Roman" w:cs="Times New Roman"/>
                      <w:color w:val="auto"/>
                      <w:sz w:val="18"/>
                      <w:szCs w:val="18"/>
                      <w:lang w:val="en-US" w:eastAsia="zh-CN"/>
                    </w:rPr>
                    <w:t>酸性废水</w:t>
                  </w:r>
                  <w:r>
                    <w:rPr>
                      <w:rFonts w:hint="eastAsia" w:cs="Times New Roman"/>
                      <w:color w:val="auto"/>
                      <w:sz w:val="18"/>
                      <w:szCs w:val="18"/>
                      <w:lang w:val="en-US" w:eastAsia="zh-CN"/>
                    </w:rPr>
                    <w:t>、</w:t>
                  </w:r>
                  <w:r>
                    <w:rPr>
                      <w:rFonts w:hint="default" w:ascii="Times New Roman" w:hAnsi="Times New Roman" w:cs="Times New Roman"/>
                      <w:color w:val="auto"/>
                      <w:sz w:val="18"/>
                      <w:szCs w:val="18"/>
                      <w:lang w:val="en-US" w:eastAsia="zh-CN"/>
                    </w:rPr>
                    <w:t>碱性、含油和乳化液废水</w:t>
                  </w:r>
                  <w:r>
                    <w:rPr>
                      <w:rFonts w:hint="default" w:ascii="Times New Roman" w:hAnsi="Times New Roman" w:cs="Times New Roman"/>
                      <w:color w:val="auto"/>
                      <w:sz w:val="18"/>
                      <w:szCs w:val="18"/>
                    </w:rPr>
                    <w:t>与脱盐水系统排污水、锅炉排污水、净循环水系统排污水、生活污水一起经污水管网排至园区污水处理厂（昌吉高新海天污水处理厂）深度处理。</w:t>
                  </w:r>
                </w:p>
              </w:tc>
              <w:tc>
                <w:tcPr>
                  <w:tcW w:w="703" w:type="pct"/>
                  <w:noWrap w:val="0"/>
                  <w:tcMar>
                    <w:left w:w="57" w:type="dxa"/>
                    <w:right w:w="57" w:type="dxa"/>
                  </w:tcMar>
                  <w:vAlign w:val="center"/>
                </w:tcPr>
                <w:p w14:paraId="1F3404B4">
                  <w:pPr>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新建</w:t>
                  </w:r>
                </w:p>
              </w:tc>
            </w:tr>
            <w:tr w14:paraId="21E39C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8" w:type="pct"/>
                  <w:vMerge w:val="continue"/>
                  <w:noWrap w:val="0"/>
                  <w:tcMar>
                    <w:left w:w="57" w:type="dxa"/>
                    <w:right w:w="57" w:type="dxa"/>
                  </w:tcMar>
                  <w:vAlign w:val="center"/>
                </w:tcPr>
                <w:p w14:paraId="1C4FC131">
                  <w:pPr>
                    <w:jc w:val="center"/>
                    <w:rPr>
                      <w:rFonts w:hint="default" w:ascii="Times New Roman" w:hAnsi="Times New Roman" w:cs="Times New Roman"/>
                      <w:color w:val="auto"/>
                      <w:sz w:val="18"/>
                      <w:szCs w:val="18"/>
                    </w:rPr>
                  </w:pPr>
                </w:p>
              </w:tc>
              <w:tc>
                <w:tcPr>
                  <w:tcW w:w="604" w:type="pct"/>
                  <w:shd w:val="clear" w:color="auto" w:fill="auto"/>
                  <w:noWrap w:val="0"/>
                  <w:tcMar>
                    <w:left w:w="57" w:type="dxa"/>
                    <w:right w:w="57" w:type="dxa"/>
                  </w:tcMar>
                  <w:vAlign w:val="center"/>
                </w:tcPr>
                <w:p w14:paraId="193DC4D3">
                  <w:pPr>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循环水系统</w:t>
                  </w:r>
                </w:p>
              </w:tc>
              <w:tc>
                <w:tcPr>
                  <w:tcW w:w="3044" w:type="pct"/>
                  <w:shd w:val="clear" w:color="auto" w:fill="auto"/>
                  <w:noWrap w:val="0"/>
                  <w:tcMar>
                    <w:left w:w="57" w:type="dxa"/>
                    <w:right w:w="57" w:type="dxa"/>
                  </w:tcMar>
                  <w:vAlign w:val="center"/>
                </w:tcPr>
                <w:p w14:paraId="39AE13F0">
                  <w:pPr>
                    <w:keepNext w:val="0"/>
                    <w:keepLines w:val="0"/>
                    <w:pageBreakBefore w:val="0"/>
                    <w:widowControl w:val="0"/>
                    <w:kinsoku/>
                    <w:wordWrap/>
                    <w:overflowPunct/>
                    <w:topLinePunct w:val="0"/>
                    <w:autoSpaceDE/>
                    <w:autoSpaceDN/>
                    <w:bidi w:val="0"/>
                    <w:adjustRightInd/>
                    <w:snapToGrid/>
                    <w:spacing w:line="240" w:lineRule="auto"/>
                    <w:contextualSpacing/>
                    <w:textAlignment w:val="auto"/>
                    <w:rPr>
                      <w:rFonts w:hint="eastAsia"/>
                      <w:color w:val="auto"/>
                      <w:lang w:eastAsia="zh-CN"/>
                    </w:rPr>
                  </w:pPr>
                  <w:r>
                    <w:rPr>
                      <w:rFonts w:hint="default" w:ascii="Times New Roman" w:hAnsi="Times New Roman" w:eastAsia="宋体" w:cs="Times New Roman"/>
                      <w:bCs/>
                      <w:color w:val="auto"/>
                      <w:sz w:val="18"/>
                      <w:szCs w:val="18"/>
                      <w:highlight w:val="none"/>
                      <w:lang w:val="en-US" w:eastAsia="zh-CN"/>
                    </w:rPr>
                    <w:t>本项目新建一座净循环冷却循环水系统，设计能力为</w:t>
                  </w:r>
                  <w:r>
                    <w:rPr>
                      <w:rFonts w:hint="eastAsia" w:cs="Times New Roman"/>
                      <w:bCs/>
                      <w:color w:val="auto"/>
                      <w:sz w:val="18"/>
                      <w:szCs w:val="18"/>
                      <w:highlight w:val="none"/>
                      <w:lang w:val="en-US" w:eastAsia="zh-CN"/>
                    </w:rPr>
                    <w:t>4860</w:t>
                  </w:r>
                  <w:r>
                    <w:rPr>
                      <w:rFonts w:hint="default" w:ascii="Times New Roman" w:hAnsi="Times New Roman" w:eastAsia="宋体" w:cs="Times New Roman"/>
                      <w:bCs/>
                      <w:color w:val="auto"/>
                      <w:sz w:val="18"/>
                      <w:szCs w:val="18"/>
                      <w:highlight w:val="none"/>
                      <w:lang w:val="en-US" w:eastAsia="zh-CN"/>
                    </w:rPr>
                    <w:t>m</w:t>
                  </w:r>
                  <w:r>
                    <w:rPr>
                      <w:rFonts w:hint="default" w:ascii="Times New Roman" w:hAnsi="Times New Roman" w:eastAsia="宋体" w:cs="Times New Roman"/>
                      <w:bCs/>
                      <w:color w:val="auto"/>
                      <w:sz w:val="18"/>
                      <w:szCs w:val="18"/>
                      <w:highlight w:val="none"/>
                      <w:vertAlign w:val="superscript"/>
                      <w:lang w:val="en-US" w:eastAsia="zh-CN"/>
                    </w:rPr>
                    <w:t>3</w:t>
                  </w:r>
                  <w:r>
                    <w:rPr>
                      <w:rFonts w:hint="default" w:ascii="Times New Roman" w:hAnsi="Times New Roman" w:eastAsia="宋体" w:cs="Times New Roman"/>
                      <w:bCs/>
                      <w:color w:val="auto"/>
                      <w:sz w:val="18"/>
                      <w:szCs w:val="18"/>
                      <w:highlight w:val="none"/>
                      <w:lang w:val="en-US" w:eastAsia="zh-CN"/>
                    </w:rPr>
                    <w:t>/h，冷却方式为空气冷却，冷却塔进口温度为42℃，压力0.4~0.6MPa，出口温度为32℃</w:t>
                  </w:r>
                  <w:r>
                    <w:rPr>
                      <w:rFonts w:hint="default" w:ascii="Times New Roman" w:hAnsi="Times New Roman" w:cs="Times New Roman"/>
                      <w:bCs/>
                      <w:color w:val="auto"/>
                      <w:sz w:val="18"/>
                      <w:szCs w:val="18"/>
                      <w:highlight w:val="none"/>
                      <w:lang w:val="en-US" w:eastAsia="zh-CN"/>
                    </w:rPr>
                    <w:t>。</w:t>
                  </w:r>
                  <w:r>
                    <w:rPr>
                      <w:rFonts w:hint="default" w:ascii="Times New Roman" w:hAnsi="Times New Roman" w:eastAsia="宋体" w:cs="Times New Roman"/>
                      <w:bCs/>
                      <w:color w:val="auto"/>
                      <w:sz w:val="18"/>
                      <w:szCs w:val="18"/>
                      <w:highlight w:val="none"/>
                      <w:lang w:val="en-US" w:eastAsia="zh-CN"/>
                    </w:rPr>
                    <w:t>净环冷却水系统主要供给常化酸洗机组、二十辊轧机、硅钢脱碳渗氮</w:t>
                  </w:r>
                  <w:r>
                    <w:rPr>
                      <w:rFonts w:hint="eastAsia" w:cs="Times New Roman"/>
                      <w:bCs/>
                      <w:color w:val="auto"/>
                      <w:sz w:val="18"/>
                      <w:szCs w:val="18"/>
                      <w:highlight w:val="none"/>
                      <w:lang w:val="en-US" w:eastAsia="zh-CN"/>
                    </w:rPr>
                    <w:t>机组、</w:t>
                  </w:r>
                  <w:r>
                    <w:rPr>
                      <w:rFonts w:hint="default" w:ascii="Times New Roman" w:hAnsi="Times New Roman" w:eastAsia="宋体" w:cs="Times New Roman"/>
                      <w:bCs/>
                      <w:color w:val="auto"/>
                      <w:sz w:val="18"/>
                      <w:szCs w:val="18"/>
                      <w:highlight w:val="none"/>
                      <w:lang w:val="en-US" w:eastAsia="zh-CN"/>
                    </w:rPr>
                    <w:t>热拉伸平整机组</w:t>
                  </w:r>
                  <w:r>
                    <w:rPr>
                      <w:rFonts w:hint="eastAsia" w:cs="Times New Roman"/>
                      <w:bCs/>
                      <w:color w:val="auto"/>
                      <w:sz w:val="18"/>
                      <w:szCs w:val="18"/>
                      <w:highlight w:val="none"/>
                      <w:lang w:val="en-US" w:eastAsia="zh-CN"/>
                    </w:rPr>
                    <w:t>、高温罩式炉</w:t>
                  </w:r>
                  <w:r>
                    <w:rPr>
                      <w:rFonts w:hint="default" w:ascii="Times New Roman" w:hAnsi="Times New Roman" w:eastAsia="宋体" w:cs="Times New Roman"/>
                      <w:bCs/>
                      <w:color w:val="auto"/>
                      <w:sz w:val="18"/>
                      <w:szCs w:val="18"/>
                      <w:highlight w:val="none"/>
                      <w:lang w:val="en-US" w:eastAsia="zh-CN"/>
                    </w:rPr>
                    <w:t>等用水户的间接冷却水</w:t>
                  </w:r>
                  <w:r>
                    <w:rPr>
                      <w:rFonts w:hint="eastAsia"/>
                      <w:color w:val="auto"/>
                      <w:lang w:eastAsia="zh-CN"/>
                    </w:rPr>
                    <w:t>；</w:t>
                  </w:r>
                </w:p>
                <w:p w14:paraId="396D7CBD">
                  <w:pPr>
                    <w:keepNext w:val="0"/>
                    <w:keepLines w:val="0"/>
                    <w:pageBreakBefore w:val="0"/>
                    <w:widowControl w:val="0"/>
                    <w:kinsoku/>
                    <w:wordWrap/>
                    <w:overflowPunct/>
                    <w:topLinePunct w:val="0"/>
                    <w:autoSpaceDE/>
                    <w:autoSpaceDN/>
                    <w:bidi w:val="0"/>
                    <w:adjustRightInd/>
                    <w:snapToGrid/>
                    <w:spacing w:line="240" w:lineRule="auto"/>
                    <w:contextualSpacing/>
                    <w:textAlignment w:val="auto"/>
                    <w:rPr>
                      <w:rFonts w:hint="default"/>
                      <w:color w:val="auto"/>
                      <w:lang w:val="en-US" w:eastAsia="zh-CN"/>
                    </w:rPr>
                  </w:pPr>
                  <w:r>
                    <w:rPr>
                      <w:rFonts w:hint="eastAsia" w:ascii="Times New Roman" w:hAnsi="Times New Roman" w:eastAsia="宋体" w:cs="Times New Roman"/>
                      <w:bCs/>
                      <w:color w:val="auto"/>
                      <w:sz w:val="18"/>
                      <w:szCs w:val="18"/>
                      <w:highlight w:val="none"/>
                      <w:lang w:val="en-US" w:eastAsia="zh-CN"/>
                    </w:rPr>
                    <w:t>新建一座300</w:t>
                  </w:r>
                  <w:r>
                    <w:rPr>
                      <w:rFonts w:hint="default" w:ascii="Times New Roman" w:hAnsi="Times New Roman" w:eastAsia="宋体" w:cs="Times New Roman"/>
                      <w:bCs/>
                      <w:color w:val="auto"/>
                      <w:sz w:val="18"/>
                      <w:szCs w:val="18"/>
                      <w:highlight w:val="none"/>
                      <w:lang w:val="en-US" w:eastAsia="zh-CN"/>
                    </w:rPr>
                    <w:t>m</w:t>
                  </w:r>
                  <w:r>
                    <w:rPr>
                      <w:rFonts w:hint="default" w:ascii="Times New Roman" w:hAnsi="Times New Roman" w:eastAsia="宋体" w:cs="Times New Roman"/>
                      <w:bCs/>
                      <w:color w:val="auto"/>
                      <w:sz w:val="18"/>
                      <w:szCs w:val="18"/>
                      <w:highlight w:val="none"/>
                      <w:vertAlign w:val="superscript"/>
                      <w:lang w:val="en-US" w:eastAsia="zh-CN"/>
                    </w:rPr>
                    <w:t>3</w:t>
                  </w:r>
                  <w:r>
                    <w:rPr>
                      <w:rFonts w:hint="default" w:ascii="Times New Roman" w:hAnsi="Times New Roman" w:eastAsia="宋体" w:cs="Times New Roman"/>
                      <w:bCs/>
                      <w:color w:val="auto"/>
                      <w:sz w:val="18"/>
                      <w:szCs w:val="18"/>
                      <w:highlight w:val="none"/>
                      <w:lang w:val="en-US" w:eastAsia="zh-CN"/>
                    </w:rPr>
                    <w:t>/h</w:t>
                  </w:r>
                  <w:r>
                    <w:rPr>
                      <w:rFonts w:hint="eastAsia" w:ascii="Times New Roman" w:hAnsi="Times New Roman" w:eastAsia="宋体" w:cs="Times New Roman"/>
                      <w:bCs/>
                      <w:color w:val="auto"/>
                      <w:sz w:val="18"/>
                      <w:szCs w:val="18"/>
                      <w:highlight w:val="none"/>
                      <w:lang w:val="en-US" w:eastAsia="zh-CN"/>
                    </w:rPr>
                    <w:t>浊环水系统，用于带钢喷淋冷却</w:t>
                  </w:r>
                </w:p>
              </w:tc>
              <w:tc>
                <w:tcPr>
                  <w:tcW w:w="703" w:type="pct"/>
                  <w:noWrap w:val="0"/>
                  <w:tcMar>
                    <w:left w:w="57" w:type="dxa"/>
                    <w:right w:w="57" w:type="dxa"/>
                  </w:tcMar>
                  <w:vAlign w:val="center"/>
                </w:tcPr>
                <w:p w14:paraId="3FBA20F0">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新建</w:t>
                  </w:r>
                </w:p>
              </w:tc>
            </w:tr>
            <w:tr w14:paraId="350FD9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8" w:type="pct"/>
                  <w:vMerge w:val="continue"/>
                  <w:noWrap w:val="0"/>
                  <w:tcMar>
                    <w:left w:w="57" w:type="dxa"/>
                    <w:right w:w="57" w:type="dxa"/>
                  </w:tcMar>
                  <w:vAlign w:val="center"/>
                </w:tcPr>
                <w:p w14:paraId="77EE1064">
                  <w:pPr>
                    <w:jc w:val="center"/>
                    <w:rPr>
                      <w:rFonts w:hint="default" w:ascii="Times New Roman" w:hAnsi="Times New Roman" w:cs="Times New Roman"/>
                      <w:color w:val="auto"/>
                      <w:sz w:val="18"/>
                      <w:szCs w:val="18"/>
                    </w:rPr>
                  </w:pPr>
                </w:p>
              </w:tc>
              <w:tc>
                <w:tcPr>
                  <w:tcW w:w="604" w:type="pct"/>
                  <w:shd w:val="clear" w:color="auto" w:fill="auto"/>
                  <w:noWrap w:val="0"/>
                  <w:tcMar>
                    <w:left w:w="57" w:type="dxa"/>
                    <w:right w:w="57" w:type="dxa"/>
                  </w:tcMar>
                  <w:vAlign w:val="center"/>
                </w:tcPr>
                <w:p w14:paraId="05E5E3B5">
                  <w:pPr>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蒸汽</w:t>
                  </w:r>
                </w:p>
              </w:tc>
              <w:tc>
                <w:tcPr>
                  <w:tcW w:w="3044" w:type="pct"/>
                  <w:noWrap w:val="0"/>
                  <w:tcMar>
                    <w:left w:w="57" w:type="dxa"/>
                    <w:right w:w="57" w:type="dxa"/>
                  </w:tcMar>
                  <w:vAlign w:val="center"/>
                </w:tcPr>
                <w:p w14:paraId="5878EDA0">
                  <w:pPr>
                    <w:jc w:val="both"/>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本项目新建</w:t>
                  </w:r>
                  <w:r>
                    <w:rPr>
                      <w:rFonts w:hint="default" w:ascii="Times New Roman" w:hAnsi="Times New Roman" w:cs="Times New Roman"/>
                      <w:color w:val="auto"/>
                      <w:sz w:val="18"/>
                      <w:szCs w:val="18"/>
                      <w:highlight w:val="none"/>
                      <w:lang w:val="en-US" w:eastAsia="zh-CN"/>
                    </w:rPr>
                    <w:t>2台15t/h</w:t>
                  </w:r>
                  <w:r>
                    <w:rPr>
                      <w:rFonts w:hint="eastAsia" w:cs="Times New Roman"/>
                      <w:color w:val="auto"/>
                      <w:sz w:val="18"/>
                      <w:szCs w:val="18"/>
                      <w:highlight w:val="none"/>
                      <w:lang w:val="en-US" w:eastAsia="zh-CN"/>
                    </w:rPr>
                    <w:t>电</w:t>
                  </w:r>
                  <w:r>
                    <w:rPr>
                      <w:rFonts w:hint="default" w:ascii="Times New Roman" w:hAnsi="Times New Roman" w:cs="Times New Roman"/>
                      <w:color w:val="auto"/>
                      <w:sz w:val="18"/>
                      <w:szCs w:val="18"/>
                      <w:highlight w:val="none"/>
                      <w:lang w:val="en-US" w:eastAsia="zh-CN"/>
                    </w:rPr>
                    <w:t>蒸汽锅炉+1台2t/h余热锅炉，为各工序及有关公辅设施提供蒸汽</w:t>
                  </w:r>
                </w:p>
              </w:tc>
              <w:tc>
                <w:tcPr>
                  <w:tcW w:w="703" w:type="pct"/>
                  <w:noWrap w:val="0"/>
                  <w:tcMar>
                    <w:left w:w="57" w:type="dxa"/>
                    <w:right w:w="57" w:type="dxa"/>
                  </w:tcMar>
                  <w:vAlign w:val="center"/>
                </w:tcPr>
                <w:p w14:paraId="39D8FEAC">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新建</w:t>
                  </w:r>
                </w:p>
              </w:tc>
            </w:tr>
            <w:tr w14:paraId="1668D2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8" w:type="pct"/>
                  <w:vMerge w:val="continue"/>
                  <w:noWrap w:val="0"/>
                  <w:tcMar>
                    <w:left w:w="57" w:type="dxa"/>
                    <w:right w:w="57" w:type="dxa"/>
                  </w:tcMar>
                  <w:vAlign w:val="center"/>
                </w:tcPr>
                <w:p w14:paraId="7348C53A">
                  <w:pPr>
                    <w:jc w:val="center"/>
                    <w:rPr>
                      <w:rFonts w:hint="default" w:ascii="Times New Roman" w:hAnsi="Times New Roman" w:cs="Times New Roman"/>
                      <w:color w:val="auto"/>
                      <w:sz w:val="18"/>
                      <w:szCs w:val="18"/>
                    </w:rPr>
                  </w:pPr>
                </w:p>
              </w:tc>
              <w:tc>
                <w:tcPr>
                  <w:tcW w:w="604" w:type="pct"/>
                  <w:shd w:val="clear" w:color="auto" w:fill="auto"/>
                  <w:noWrap w:val="0"/>
                  <w:tcMar>
                    <w:left w:w="57" w:type="dxa"/>
                    <w:right w:w="57" w:type="dxa"/>
                  </w:tcMar>
                  <w:vAlign w:val="center"/>
                </w:tcPr>
                <w:p w14:paraId="77B56731">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供气</w:t>
                  </w:r>
                </w:p>
              </w:tc>
              <w:tc>
                <w:tcPr>
                  <w:tcW w:w="3044" w:type="pct"/>
                  <w:noWrap w:val="0"/>
                  <w:tcMar>
                    <w:left w:w="57" w:type="dxa"/>
                    <w:right w:w="57" w:type="dxa"/>
                  </w:tcMar>
                  <w:vAlign w:val="center"/>
                </w:tcPr>
                <w:p w14:paraId="78722962">
                  <w:pPr>
                    <w:jc w:val="both"/>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采用深冷制氮系统为</w:t>
                  </w:r>
                  <w:r>
                    <w:rPr>
                      <w:rFonts w:hint="eastAsia" w:cs="Times New Roman"/>
                      <w:color w:val="auto"/>
                      <w:sz w:val="18"/>
                      <w:szCs w:val="18"/>
                      <w:highlight w:val="none"/>
                      <w:lang w:val="en-US" w:eastAsia="zh-CN"/>
                    </w:rPr>
                    <w:t>生产</w:t>
                  </w:r>
                  <w:r>
                    <w:rPr>
                      <w:rFonts w:hint="default" w:ascii="Times New Roman" w:hAnsi="Times New Roman" w:cs="Times New Roman"/>
                      <w:color w:val="auto"/>
                      <w:sz w:val="18"/>
                      <w:szCs w:val="18"/>
                      <w:highlight w:val="none"/>
                      <w:lang w:val="en-US" w:eastAsia="zh-CN"/>
                    </w:rPr>
                    <w:t>提供高纯氮气；</w:t>
                  </w:r>
                </w:p>
                <w:p w14:paraId="507B8924">
                  <w:pPr>
                    <w:jc w:val="both"/>
                    <w:rPr>
                      <w:rFonts w:hint="eastAsia"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本项目新建一座空压站，内设</w:t>
                  </w:r>
                  <w:r>
                    <w:rPr>
                      <w:rFonts w:hint="eastAsia" w:cs="Times New Roman"/>
                      <w:color w:val="auto"/>
                      <w:sz w:val="18"/>
                      <w:szCs w:val="18"/>
                      <w:highlight w:val="none"/>
                      <w:lang w:val="en-US" w:eastAsia="zh-CN"/>
                    </w:rPr>
                    <w:t>5</w:t>
                  </w:r>
                  <w:r>
                    <w:rPr>
                      <w:rFonts w:hint="default" w:ascii="Times New Roman" w:hAnsi="Times New Roman" w:cs="Times New Roman"/>
                      <w:color w:val="auto"/>
                      <w:sz w:val="18"/>
                      <w:szCs w:val="18"/>
                      <w:highlight w:val="none"/>
                      <w:lang w:val="en-US" w:eastAsia="zh-CN"/>
                    </w:rPr>
                    <w:t>台60Nm</w:t>
                  </w:r>
                  <w:r>
                    <w:rPr>
                      <w:rFonts w:hint="default" w:ascii="Times New Roman" w:hAnsi="Times New Roman" w:cs="Times New Roman"/>
                      <w:color w:val="auto"/>
                      <w:sz w:val="18"/>
                      <w:szCs w:val="18"/>
                      <w:highlight w:val="none"/>
                      <w:vertAlign w:val="superscript"/>
                      <w:lang w:val="en-US" w:eastAsia="zh-CN"/>
                    </w:rPr>
                    <w:t>3</w:t>
                  </w:r>
                  <w:r>
                    <w:rPr>
                      <w:rFonts w:hint="default" w:ascii="Times New Roman" w:hAnsi="Times New Roman" w:cs="Times New Roman"/>
                      <w:color w:val="auto"/>
                      <w:sz w:val="18"/>
                      <w:szCs w:val="18"/>
                      <w:highlight w:val="none"/>
                      <w:lang w:val="en-US" w:eastAsia="zh-CN"/>
                    </w:rPr>
                    <w:t>/min螺杆式空压机(</w:t>
                  </w:r>
                  <w:r>
                    <w:rPr>
                      <w:rFonts w:hint="eastAsia" w:cs="Times New Roman"/>
                      <w:color w:val="auto"/>
                      <w:sz w:val="18"/>
                      <w:szCs w:val="18"/>
                      <w:highlight w:val="none"/>
                      <w:lang w:val="en-US" w:eastAsia="zh-CN"/>
                    </w:rPr>
                    <w:t>4</w:t>
                  </w:r>
                  <w:r>
                    <w:rPr>
                      <w:rFonts w:hint="default" w:ascii="Times New Roman" w:hAnsi="Times New Roman" w:cs="Times New Roman"/>
                      <w:color w:val="auto"/>
                      <w:sz w:val="18"/>
                      <w:szCs w:val="18"/>
                      <w:highlight w:val="none"/>
                      <w:lang w:val="en-US" w:eastAsia="zh-CN"/>
                    </w:rPr>
                    <w:t>用1备)</w:t>
                  </w:r>
                  <w:r>
                    <w:rPr>
                      <w:rFonts w:hint="eastAsia" w:cs="Times New Roman"/>
                      <w:color w:val="auto"/>
                      <w:sz w:val="18"/>
                      <w:szCs w:val="18"/>
                      <w:highlight w:val="none"/>
                      <w:lang w:val="en-US" w:eastAsia="zh-CN"/>
                    </w:rPr>
                    <w:t>；</w:t>
                  </w:r>
                </w:p>
                <w:p w14:paraId="4BC85932">
                  <w:pPr>
                    <w:jc w:val="both"/>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氧气采用瓶装，在车间内存放；</w:t>
                  </w:r>
                </w:p>
                <w:p w14:paraId="771C89E5">
                  <w:pPr>
                    <w:jc w:val="both"/>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本项目天然气由市政管网供应。</w:t>
                  </w:r>
                </w:p>
              </w:tc>
              <w:tc>
                <w:tcPr>
                  <w:tcW w:w="703" w:type="pct"/>
                  <w:noWrap w:val="0"/>
                  <w:tcMar>
                    <w:left w:w="57" w:type="dxa"/>
                    <w:right w:w="57" w:type="dxa"/>
                  </w:tcMar>
                  <w:vAlign w:val="center"/>
                </w:tcPr>
                <w:p w14:paraId="11E34FEA">
                  <w:pPr>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新建</w:t>
                  </w:r>
                </w:p>
              </w:tc>
            </w:tr>
            <w:tr w14:paraId="629D29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8" w:type="pct"/>
                  <w:vMerge w:val="continue"/>
                  <w:noWrap w:val="0"/>
                  <w:tcMar>
                    <w:left w:w="57" w:type="dxa"/>
                    <w:right w:w="57" w:type="dxa"/>
                  </w:tcMar>
                  <w:vAlign w:val="center"/>
                </w:tcPr>
                <w:p w14:paraId="09614C9C">
                  <w:pPr>
                    <w:jc w:val="center"/>
                    <w:rPr>
                      <w:rFonts w:hint="default" w:ascii="Times New Roman" w:hAnsi="Times New Roman" w:cs="Times New Roman"/>
                      <w:color w:val="auto"/>
                      <w:sz w:val="18"/>
                      <w:szCs w:val="18"/>
                    </w:rPr>
                  </w:pPr>
                </w:p>
              </w:tc>
              <w:tc>
                <w:tcPr>
                  <w:tcW w:w="604" w:type="pct"/>
                  <w:shd w:val="clear" w:color="auto" w:fill="auto"/>
                  <w:noWrap w:val="0"/>
                  <w:tcMar>
                    <w:left w:w="57" w:type="dxa"/>
                    <w:right w:w="57" w:type="dxa"/>
                  </w:tcMar>
                  <w:vAlign w:val="center"/>
                </w:tcPr>
                <w:p w14:paraId="49798998">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供电</w:t>
                  </w:r>
                </w:p>
              </w:tc>
              <w:tc>
                <w:tcPr>
                  <w:tcW w:w="3044" w:type="pct"/>
                  <w:noWrap w:val="0"/>
                  <w:tcMar>
                    <w:left w:w="57" w:type="dxa"/>
                    <w:right w:w="57" w:type="dxa"/>
                  </w:tcMar>
                  <w:vAlign w:val="center"/>
                </w:tcPr>
                <w:p w14:paraId="78AADAFE">
                  <w:pPr>
                    <w:jc w:val="both"/>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根据本项目总图布置及负荷分配情况，拟在厂区内设置一座35kV变电站，为生产、全厂公辅设施和办公生活设施提供电源。本项目用电量为8600万kWh/a</w:t>
                  </w:r>
                </w:p>
              </w:tc>
              <w:tc>
                <w:tcPr>
                  <w:tcW w:w="703" w:type="pct"/>
                  <w:noWrap w:val="0"/>
                  <w:tcMar>
                    <w:left w:w="57" w:type="dxa"/>
                    <w:right w:w="57" w:type="dxa"/>
                  </w:tcMar>
                  <w:vAlign w:val="center"/>
                </w:tcPr>
                <w:p w14:paraId="07F546BC">
                  <w:pPr>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新建</w:t>
                  </w:r>
                </w:p>
              </w:tc>
            </w:tr>
            <w:tr w14:paraId="638096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8" w:type="pct"/>
                  <w:vMerge w:val="restart"/>
                  <w:noWrap w:val="0"/>
                  <w:tcMar>
                    <w:left w:w="57" w:type="dxa"/>
                    <w:right w:w="57" w:type="dxa"/>
                  </w:tcMar>
                  <w:vAlign w:val="center"/>
                </w:tcPr>
                <w:p w14:paraId="4CB7E894">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环保工程</w:t>
                  </w:r>
                </w:p>
              </w:tc>
              <w:tc>
                <w:tcPr>
                  <w:tcW w:w="604" w:type="pct"/>
                  <w:vMerge w:val="restart"/>
                  <w:shd w:val="clear" w:color="auto" w:fill="auto"/>
                  <w:noWrap w:val="0"/>
                  <w:tcMar>
                    <w:left w:w="57" w:type="dxa"/>
                    <w:right w:w="57" w:type="dxa"/>
                  </w:tcMar>
                  <w:vAlign w:val="center"/>
                </w:tcPr>
                <w:p w14:paraId="492A0826">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废气治理</w:t>
                  </w:r>
                </w:p>
              </w:tc>
              <w:tc>
                <w:tcPr>
                  <w:tcW w:w="3044" w:type="pct"/>
                  <w:noWrap w:val="0"/>
                  <w:tcMar>
                    <w:left w:w="57" w:type="dxa"/>
                    <w:right w:w="57" w:type="dxa"/>
                  </w:tcMar>
                  <w:vAlign w:val="center"/>
                </w:tcPr>
                <w:p w14:paraId="0F36ACE4">
                  <w:pPr>
                    <w:jc w:val="both"/>
                    <w:rPr>
                      <w:rFonts w:hint="default" w:ascii="Times New Roman" w:hAnsi="Times New Roman" w:cs="Times New Roman"/>
                      <w:snapToGrid w:val="0"/>
                      <w:color w:val="auto"/>
                      <w:kern w:val="2"/>
                      <w:sz w:val="18"/>
                      <w:szCs w:val="18"/>
                      <w:highlight w:val="none"/>
                      <w:vertAlign w:val="baseline"/>
                      <w:lang w:val="en-US" w:eastAsia="zh-CN" w:bidi="ar-SA"/>
                    </w:rPr>
                  </w:pPr>
                  <w:r>
                    <w:rPr>
                      <w:rFonts w:hint="default" w:ascii="Times New Roman" w:hAnsi="Times New Roman" w:cs="Times New Roman"/>
                      <w:snapToGrid w:val="0"/>
                      <w:color w:val="auto"/>
                      <w:sz w:val="18"/>
                      <w:szCs w:val="18"/>
                      <w:highlight w:val="none"/>
                      <w:vertAlign w:val="baseline"/>
                      <w:lang w:val="en-US" w:eastAsia="zh-CN"/>
                    </w:rPr>
                    <w:t>常化酸洗机组退火工序无氧化加热炉（采用低氮燃烧技术）燃烧废气</w:t>
                  </w:r>
                  <w:r>
                    <w:rPr>
                      <w:rFonts w:hint="default" w:ascii="Times New Roman" w:hAnsi="Times New Roman" w:cs="Times New Roman"/>
                      <w:snapToGrid w:val="0"/>
                      <w:color w:val="auto"/>
                      <w:kern w:val="2"/>
                      <w:sz w:val="18"/>
                      <w:szCs w:val="18"/>
                      <w:highlight w:val="none"/>
                      <w:vertAlign w:val="baseline"/>
                      <w:lang w:val="en-US" w:eastAsia="zh-CN" w:bidi="ar-SA"/>
                    </w:rPr>
                    <w:t>经24m高排气筒DA001排放；</w:t>
                  </w:r>
                </w:p>
                <w:p w14:paraId="57E8AA8C">
                  <w:pPr>
                    <w:jc w:val="both"/>
                    <w:rPr>
                      <w:rFonts w:hint="default" w:ascii="Times New Roman" w:hAnsi="Times New Roman" w:cs="Times New Roman"/>
                      <w:snapToGrid w:val="0"/>
                      <w:color w:val="auto"/>
                      <w:kern w:val="2"/>
                      <w:sz w:val="18"/>
                      <w:szCs w:val="18"/>
                      <w:highlight w:val="none"/>
                      <w:vertAlign w:val="baseline"/>
                      <w:lang w:val="en-US" w:eastAsia="zh-CN" w:bidi="ar-SA"/>
                    </w:rPr>
                  </w:pPr>
                  <w:r>
                    <w:rPr>
                      <w:rFonts w:hint="default" w:ascii="Times New Roman" w:hAnsi="Times New Roman" w:cs="Times New Roman"/>
                      <w:snapToGrid w:val="0"/>
                      <w:color w:val="auto"/>
                      <w:kern w:val="2"/>
                      <w:sz w:val="18"/>
                      <w:szCs w:val="18"/>
                      <w:highlight w:val="none"/>
                      <w:vertAlign w:val="baseline"/>
                      <w:lang w:val="en-US" w:eastAsia="zh-CN" w:bidi="ar-SA"/>
                    </w:rPr>
                    <w:t>常化酸洗机组退火工序辐射管加热炉（采用低氮燃烧技术）燃烧废气经24m高排气筒DA002排放；</w:t>
                  </w:r>
                </w:p>
                <w:p w14:paraId="7408E173">
                  <w:pPr>
                    <w:jc w:val="both"/>
                    <w:rPr>
                      <w:rFonts w:hint="default" w:ascii="Times New Roman" w:hAnsi="Times New Roman" w:cs="Times New Roman"/>
                      <w:snapToGrid w:val="0"/>
                      <w:color w:val="auto"/>
                      <w:kern w:val="2"/>
                      <w:sz w:val="18"/>
                      <w:szCs w:val="18"/>
                      <w:highlight w:val="none"/>
                      <w:vertAlign w:val="baseline"/>
                      <w:lang w:val="en-US" w:eastAsia="zh-CN" w:bidi="ar-SA"/>
                    </w:rPr>
                  </w:pPr>
                  <w:r>
                    <w:rPr>
                      <w:rFonts w:hint="default" w:ascii="Times New Roman" w:hAnsi="Times New Roman" w:cs="Times New Roman"/>
                      <w:snapToGrid w:val="0"/>
                      <w:color w:val="auto"/>
                      <w:kern w:val="2"/>
                      <w:sz w:val="18"/>
                      <w:szCs w:val="18"/>
                      <w:highlight w:val="none"/>
                      <w:vertAlign w:val="baseline"/>
                      <w:lang w:val="en-US" w:eastAsia="zh-CN" w:bidi="ar-SA"/>
                    </w:rPr>
                    <w:t>抛丸废气经布袋除尘处理后经24m高排气筒DA003排放；</w:t>
                  </w:r>
                </w:p>
                <w:p w14:paraId="2C1A4040">
                  <w:pPr>
                    <w:jc w:val="both"/>
                    <w:rPr>
                      <w:rFonts w:hint="default" w:ascii="Times New Roman" w:hAnsi="Times New Roman" w:cs="Times New Roman"/>
                      <w:snapToGrid w:val="0"/>
                      <w:color w:val="auto"/>
                      <w:kern w:val="2"/>
                      <w:sz w:val="18"/>
                      <w:szCs w:val="18"/>
                      <w:highlight w:val="none"/>
                      <w:vertAlign w:val="baseline"/>
                      <w:lang w:val="en-US" w:eastAsia="zh-CN" w:bidi="ar-SA"/>
                    </w:rPr>
                  </w:pPr>
                  <w:r>
                    <w:rPr>
                      <w:rFonts w:hint="default" w:ascii="Times New Roman" w:hAnsi="Times New Roman" w:cs="Times New Roman"/>
                      <w:snapToGrid w:val="0"/>
                      <w:color w:val="auto"/>
                      <w:kern w:val="2"/>
                      <w:sz w:val="18"/>
                      <w:szCs w:val="18"/>
                      <w:highlight w:val="none"/>
                      <w:vertAlign w:val="baseline"/>
                      <w:lang w:val="en-US" w:eastAsia="zh-CN" w:bidi="ar-SA"/>
                    </w:rPr>
                    <w:t>盐酸酸洗及酸洗后水洗废气及盐酸储罐呼吸废气碱喷淋处理后经24m高排气筒DA004排放；</w:t>
                  </w:r>
                </w:p>
                <w:p w14:paraId="18330911">
                  <w:pPr>
                    <w:jc w:val="both"/>
                    <w:rPr>
                      <w:rFonts w:hint="default" w:ascii="Times New Roman" w:hAnsi="Times New Roman" w:cs="Times New Roman"/>
                      <w:snapToGrid w:val="0"/>
                      <w:color w:val="auto"/>
                      <w:kern w:val="2"/>
                      <w:sz w:val="18"/>
                      <w:szCs w:val="18"/>
                      <w:highlight w:val="none"/>
                      <w:vertAlign w:val="baseline"/>
                      <w:lang w:val="en-US" w:eastAsia="zh-CN" w:bidi="ar-SA"/>
                    </w:rPr>
                  </w:pPr>
                  <w:r>
                    <w:rPr>
                      <w:rFonts w:hint="default" w:ascii="Times New Roman" w:hAnsi="Times New Roman" w:cs="Times New Roman"/>
                      <w:snapToGrid w:val="0"/>
                      <w:color w:val="auto"/>
                      <w:kern w:val="2"/>
                      <w:sz w:val="18"/>
                      <w:szCs w:val="18"/>
                      <w:highlight w:val="none"/>
                      <w:vertAlign w:val="baseline"/>
                      <w:lang w:val="en-US" w:eastAsia="zh-CN" w:bidi="ar-SA"/>
                    </w:rPr>
                    <w:t>轧机机组冷轧废气油雾净化器处理后经24m高排气筒DA005排放；</w:t>
                  </w:r>
                </w:p>
                <w:p w14:paraId="2AC034F2">
                  <w:pPr>
                    <w:jc w:val="both"/>
                    <w:rPr>
                      <w:rFonts w:hint="default" w:ascii="Times New Roman" w:hAnsi="Times New Roman" w:cs="Times New Roman"/>
                      <w:snapToGrid w:val="0"/>
                      <w:color w:val="auto"/>
                      <w:kern w:val="2"/>
                      <w:sz w:val="18"/>
                      <w:szCs w:val="18"/>
                      <w:highlight w:val="none"/>
                      <w:vertAlign w:val="baseline"/>
                      <w:lang w:val="en-US" w:eastAsia="zh-CN" w:bidi="ar-SA"/>
                    </w:rPr>
                  </w:pPr>
                  <w:r>
                    <w:rPr>
                      <w:rFonts w:hint="default" w:ascii="Times New Roman" w:hAnsi="Times New Roman" w:cs="Times New Roman"/>
                      <w:snapToGrid w:val="0"/>
                      <w:color w:val="auto"/>
                      <w:kern w:val="2"/>
                      <w:sz w:val="18"/>
                      <w:szCs w:val="18"/>
                      <w:highlight w:val="none"/>
                      <w:vertAlign w:val="baseline"/>
                      <w:lang w:val="en-US" w:eastAsia="zh-CN" w:bidi="ar-SA"/>
                    </w:rPr>
                    <w:t>取向硅钢脱碳退火涂层机组碱洗废气酸喷淋处理后经24m高排气筒DA006排放；</w:t>
                  </w:r>
                </w:p>
                <w:p w14:paraId="61D1C931">
                  <w:pPr>
                    <w:jc w:val="both"/>
                    <w:rPr>
                      <w:rFonts w:hint="default" w:ascii="Times New Roman" w:hAnsi="Times New Roman" w:cs="Times New Roman"/>
                      <w:snapToGrid w:val="0"/>
                      <w:color w:val="auto"/>
                      <w:kern w:val="2"/>
                      <w:sz w:val="18"/>
                      <w:szCs w:val="18"/>
                      <w:highlight w:val="none"/>
                      <w:vertAlign w:val="baseline"/>
                      <w:lang w:val="en-US" w:eastAsia="zh-CN" w:bidi="ar-SA"/>
                    </w:rPr>
                  </w:pPr>
                  <w:r>
                    <w:rPr>
                      <w:rFonts w:hint="default" w:ascii="Times New Roman" w:hAnsi="Times New Roman" w:cs="Times New Roman"/>
                      <w:snapToGrid w:val="0"/>
                      <w:color w:val="auto"/>
                      <w:sz w:val="18"/>
                      <w:szCs w:val="18"/>
                      <w:highlight w:val="none"/>
                      <w:vertAlign w:val="baseline"/>
                      <w:lang w:val="en-US" w:eastAsia="zh-CN"/>
                    </w:rPr>
                    <w:t>退火炉燃烧（采用低氮燃烧技术）废气</w:t>
                  </w:r>
                  <w:r>
                    <w:rPr>
                      <w:rFonts w:hint="default" w:ascii="Times New Roman" w:hAnsi="Times New Roman" w:cs="Times New Roman"/>
                      <w:snapToGrid w:val="0"/>
                      <w:color w:val="auto"/>
                      <w:kern w:val="2"/>
                      <w:sz w:val="18"/>
                      <w:szCs w:val="18"/>
                      <w:highlight w:val="none"/>
                      <w:vertAlign w:val="baseline"/>
                      <w:lang w:val="en-US" w:eastAsia="zh-CN" w:bidi="ar-SA"/>
                    </w:rPr>
                    <w:t>经24m高排气筒DA007排放；</w:t>
                  </w:r>
                </w:p>
                <w:p w14:paraId="3A11409C">
                  <w:pPr>
                    <w:jc w:val="both"/>
                    <w:rPr>
                      <w:rFonts w:hint="default" w:ascii="Times New Roman" w:hAnsi="Times New Roman" w:cs="Times New Roman"/>
                      <w:snapToGrid w:val="0"/>
                      <w:color w:val="auto"/>
                      <w:kern w:val="2"/>
                      <w:sz w:val="18"/>
                      <w:szCs w:val="18"/>
                      <w:highlight w:val="none"/>
                      <w:vertAlign w:val="baseline"/>
                      <w:lang w:val="en-US" w:eastAsia="zh-CN" w:bidi="ar-SA"/>
                    </w:rPr>
                  </w:pPr>
                  <w:r>
                    <w:rPr>
                      <w:rFonts w:hint="default" w:ascii="Times New Roman" w:hAnsi="Times New Roman" w:cs="Times New Roman"/>
                      <w:snapToGrid w:val="0"/>
                      <w:color w:val="auto"/>
                      <w:sz w:val="18"/>
                      <w:szCs w:val="18"/>
                      <w:highlight w:val="none"/>
                      <w:vertAlign w:val="baseline"/>
                      <w:lang w:val="en-US" w:eastAsia="zh-CN"/>
                    </w:rPr>
                    <w:t>烘干烧结炉燃烧（采用低氮燃烧技术）废气</w:t>
                  </w:r>
                  <w:r>
                    <w:rPr>
                      <w:rFonts w:hint="default" w:ascii="Times New Roman" w:hAnsi="Times New Roman" w:cs="Times New Roman"/>
                      <w:snapToGrid w:val="0"/>
                      <w:color w:val="auto"/>
                      <w:kern w:val="2"/>
                      <w:sz w:val="18"/>
                      <w:szCs w:val="18"/>
                      <w:highlight w:val="none"/>
                      <w:vertAlign w:val="baseline"/>
                      <w:lang w:val="en-US" w:eastAsia="zh-CN" w:bidi="ar-SA"/>
                    </w:rPr>
                    <w:t>经24m高排气筒DA008排放</w:t>
                  </w:r>
                </w:p>
                <w:p w14:paraId="30E6083B">
                  <w:pPr>
                    <w:jc w:val="both"/>
                    <w:rPr>
                      <w:rFonts w:hint="default" w:ascii="Times New Roman" w:hAnsi="Times New Roman" w:cs="Times New Roman"/>
                      <w:snapToGrid w:val="0"/>
                      <w:color w:val="auto"/>
                      <w:kern w:val="2"/>
                      <w:sz w:val="18"/>
                      <w:szCs w:val="18"/>
                      <w:highlight w:val="none"/>
                      <w:vertAlign w:val="baseline"/>
                      <w:lang w:val="en-US" w:eastAsia="zh-CN" w:bidi="ar-SA"/>
                    </w:rPr>
                  </w:pPr>
                  <w:r>
                    <w:rPr>
                      <w:rFonts w:hint="default" w:ascii="Times New Roman" w:hAnsi="Times New Roman" w:eastAsia="宋体" w:cs="Times New Roman"/>
                      <w:snapToGrid w:val="0"/>
                      <w:color w:val="auto"/>
                      <w:sz w:val="18"/>
                      <w:szCs w:val="18"/>
                      <w:highlight w:val="none"/>
                      <w:vertAlign w:val="baseline"/>
                      <w:lang w:val="en-US" w:eastAsia="zh-CN"/>
                    </w:rPr>
                    <w:t>热拉伸平整机组</w:t>
                  </w:r>
                  <w:r>
                    <w:rPr>
                      <w:rFonts w:hint="default" w:ascii="Times New Roman" w:hAnsi="Times New Roman" w:cs="Times New Roman"/>
                      <w:snapToGrid w:val="0"/>
                      <w:color w:val="auto"/>
                      <w:sz w:val="18"/>
                      <w:szCs w:val="18"/>
                      <w:highlight w:val="none"/>
                      <w:vertAlign w:val="baseline"/>
                      <w:lang w:val="en-US" w:eastAsia="zh-CN"/>
                    </w:rPr>
                    <w:t>硫酸酸洗+水洗废气+硫酸储罐呼吸废气经</w:t>
                  </w:r>
                  <w:r>
                    <w:rPr>
                      <w:rFonts w:hint="default" w:ascii="Times New Roman" w:hAnsi="Times New Roman" w:cs="Times New Roman"/>
                      <w:snapToGrid w:val="0"/>
                      <w:color w:val="auto"/>
                      <w:kern w:val="2"/>
                      <w:sz w:val="18"/>
                      <w:szCs w:val="18"/>
                      <w:highlight w:val="none"/>
                      <w:vertAlign w:val="baseline"/>
                      <w:lang w:val="en-US" w:eastAsia="zh-CN" w:bidi="ar-SA"/>
                    </w:rPr>
                    <w:t>碱喷淋处理后经24m高排气筒DA009排放；</w:t>
                  </w:r>
                </w:p>
                <w:p w14:paraId="21E5E7C7">
                  <w:pPr>
                    <w:jc w:val="both"/>
                    <w:rPr>
                      <w:rFonts w:hint="default" w:ascii="Times New Roman" w:hAnsi="Times New Roman" w:cs="Times New Roman"/>
                      <w:snapToGrid w:val="0"/>
                      <w:color w:val="auto"/>
                      <w:kern w:val="2"/>
                      <w:sz w:val="18"/>
                      <w:szCs w:val="18"/>
                      <w:highlight w:val="none"/>
                      <w:vertAlign w:val="baseline"/>
                      <w:lang w:val="en-US" w:eastAsia="zh-CN" w:bidi="ar-SA"/>
                    </w:rPr>
                  </w:pPr>
                  <w:r>
                    <w:rPr>
                      <w:rFonts w:hint="default" w:ascii="Times New Roman" w:hAnsi="Times New Roman" w:cs="Times New Roman"/>
                      <w:snapToGrid w:val="0"/>
                      <w:color w:val="auto"/>
                      <w:sz w:val="18"/>
                      <w:szCs w:val="18"/>
                      <w:highlight w:val="none"/>
                      <w:vertAlign w:val="baseline"/>
                      <w:lang w:val="en-US" w:eastAsia="zh-CN"/>
                    </w:rPr>
                    <w:t>热拉伸入口氧化镁粉尘</w:t>
                  </w:r>
                  <w:r>
                    <w:rPr>
                      <w:rFonts w:hint="default" w:ascii="Times New Roman" w:hAnsi="Times New Roman" w:cs="Times New Roman"/>
                      <w:snapToGrid w:val="0"/>
                      <w:color w:val="auto"/>
                      <w:kern w:val="2"/>
                      <w:sz w:val="18"/>
                      <w:szCs w:val="18"/>
                      <w:highlight w:val="none"/>
                      <w:vertAlign w:val="baseline"/>
                      <w:lang w:val="en-US" w:eastAsia="zh-CN" w:bidi="ar-SA"/>
                    </w:rPr>
                    <w:t>布袋除尘处理后经24m高排气筒DA010排放；</w:t>
                  </w:r>
                </w:p>
                <w:p w14:paraId="00B174A7">
                  <w:pPr>
                    <w:jc w:val="both"/>
                    <w:rPr>
                      <w:rFonts w:hint="default" w:ascii="Times New Roman" w:hAnsi="Times New Roman" w:cs="Times New Roman"/>
                      <w:snapToGrid w:val="0"/>
                      <w:color w:val="auto"/>
                      <w:kern w:val="2"/>
                      <w:sz w:val="18"/>
                      <w:szCs w:val="18"/>
                      <w:highlight w:val="none"/>
                      <w:vertAlign w:val="baseline"/>
                      <w:lang w:val="en-US" w:eastAsia="zh-CN" w:bidi="ar-SA"/>
                    </w:rPr>
                  </w:pPr>
                  <w:r>
                    <w:rPr>
                      <w:rFonts w:hint="default" w:ascii="Times New Roman" w:hAnsi="Times New Roman" w:cs="Times New Roman"/>
                      <w:snapToGrid w:val="0"/>
                      <w:color w:val="auto"/>
                      <w:sz w:val="18"/>
                      <w:szCs w:val="18"/>
                      <w:highlight w:val="none"/>
                      <w:vertAlign w:val="baseline"/>
                      <w:lang w:val="en-US" w:eastAsia="zh-CN"/>
                    </w:rPr>
                    <w:t>卧式连续炉燃烧（采用低氮燃烧技术）废气</w:t>
                  </w:r>
                  <w:r>
                    <w:rPr>
                      <w:rFonts w:hint="default" w:ascii="Times New Roman" w:hAnsi="Times New Roman" w:cs="Times New Roman"/>
                      <w:snapToGrid w:val="0"/>
                      <w:color w:val="auto"/>
                      <w:kern w:val="2"/>
                      <w:sz w:val="18"/>
                      <w:szCs w:val="18"/>
                      <w:highlight w:val="none"/>
                      <w:vertAlign w:val="baseline"/>
                      <w:lang w:val="en-US" w:eastAsia="zh-CN" w:bidi="ar-SA"/>
                    </w:rPr>
                    <w:t>经24m高排气筒DA011排放；</w:t>
                  </w:r>
                </w:p>
                <w:p w14:paraId="787FD54D">
                  <w:pPr>
                    <w:jc w:val="both"/>
                    <w:rPr>
                      <w:rFonts w:hint="default" w:ascii="Times New Roman" w:hAnsi="Times New Roman" w:cs="Times New Roman"/>
                      <w:snapToGrid w:val="0"/>
                      <w:color w:val="auto"/>
                      <w:kern w:val="2"/>
                      <w:sz w:val="18"/>
                      <w:szCs w:val="18"/>
                      <w:highlight w:val="none"/>
                      <w:vertAlign w:val="baseline"/>
                      <w:lang w:val="en-US" w:eastAsia="zh-CN" w:bidi="ar-SA"/>
                    </w:rPr>
                  </w:pPr>
                  <w:r>
                    <w:rPr>
                      <w:rFonts w:hint="default" w:ascii="Times New Roman" w:hAnsi="Times New Roman" w:cs="Times New Roman"/>
                      <w:snapToGrid w:val="0"/>
                      <w:color w:val="auto"/>
                      <w:sz w:val="18"/>
                      <w:szCs w:val="18"/>
                      <w:highlight w:val="none"/>
                      <w:vertAlign w:val="baseline"/>
                      <w:lang w:val="en-US" w:eastAsia="zh-CN"/>
                    </w:rPr>
                    <w:t>激光刻痕废气经</w:t>
                  </w:r>
                  <w:r>
                    <w:rPr>
                      <w:rFonts w:hint="default" w:ascii="Times New Roman" w:hAnsi="Times New Roman" w:cs="Times New Roman"/>
                      <w:snapToGrid w:val="0"/>
                      <w:color w:val="auto"/>
                      <w:kern w:val="2"/>
                      <w:sz w:val="18"/>
                      <w:szCs w:val="18"/>
                      <w:highlight w:val="none"/>
                      <w:vertAlign w:val="baseline"/>
                      <w:lang w:val="en-US" w:eastAsia="zh-CN" w:bidi="ar-SA"/>
                    </w:rPr>
                    <w:t>布袋除尘处理后经24m高排气筒DA012排放；</w:t>
                  </w:r>
                </w:p>
                <w:p w14:paraId="2EE8A180">
                  <w:pPr>
                    <w:jc w:val="both"/>
                    <w:rPr>
                      <w:rFonts w:hint="default" w:ascii="Times New Roman" w:hAnsi="Times New Roman" w:cs="Times New Roman"/>
                      <w:snapToGrid w:val="0"/>
                      <w:color w:val="auto"/>
                      <w:kern w:val="2"/>
                      <w:sz w:val="18"/>
                      <w:szCs w:val="18"/>
                      <w:highlight w:val="none"/>
                      <w:vertAlign w:val="baseline"/>
                      <w:lang w:val="en-US" w:eastAsia="zh-CN" w:bidi="ar-SA"/>
                    </w:rPr>
                  </w:pPr>
                  <w:r>
                    <w:rPr>
                      <w:rFonts w:hint="default" w:ascii="Times New Roman" w:hAnsi="Times New Roman" w:cs="Times New Roman"/>
                      <w:snapToGrid w:val="0"/>
                      <w:color w:val="auto"/>
                      <w:kern w:val="2"/>
                      <w:sz w:val="18"/>
                      <w:szCs w:val="18"/>
                      <w:highlight w:val="none"/>
                      <w:vertAlign w:val="baseline"/>
                      <w:lang w:val="en-US" w:eastAsia="zh-CN" w:bidi="ar-SA"/>
                    </w:rPr>
                    <w:t>酸再生装置</w:t>
                  </w:r>
                  <w:r>
                    <w:rPr>
                      <w:rFonts w:hint="default" w:ascii="Times New Roman" w:hAnsi="Times New Roman" w:cs="Times New Roman"/>
                      <w:snapToGrid w:val="0"/>
                      <w:color w:val="auto"/>
                      <w:sz w:val="18"/>
                      <w:szCs w:val="18"/>
                      <w:highlight w:val="none"/>
                      <w:vertAlign w:val="baseline"/>
                      <w:lang w:val="en-US" w:eastAsia="zh-CN"/>
                    </w:rPr>
                    <w:t>焙烧废气</w:t>
                  </w:r>
                  <w:r>
                    <w:rPr>
                      <w:rFonts w:hint="default" w:ascii="Times New Roman" w:hAnsi="Times New Roman" w:cs="Times New Roman"/>
                      <w:snapToGrid w:val="0"/>
                      <w:color w:val="auto"/>
                      <w:kern w:val="2"/>
                      <w:sz w:val="18"/>
                      <w:szCs w:val="18"/>
                      <w:highlight w:val="none"/>
                      <w:vertAlign w:val="baseline"/>
                      <w:lang w:val="en-US" w:eastAsia="zh-CN" w:bidi="ar-SA"/>
                    </w:rPr>
                    <w:t>经低氮燃烧+旋风除尘器+预浓缩器+吸收塔+酸洗塔+水洗塔处理后经24m高排气筒DA013排放；</w:t>
                  </w:r>
                </w:p>
                <w:p w14:paraId="06ADBD77">
                  <w:pPr>
                    <w:jc w:val="both"/>
                    <w:rPr>
                      <w:rFonts w:hint="default" w:ascii="Times New Roman" w:hAnsi="Times New Roman" w:cs="Times New Roman"/>
                      <w:snapToGrid w:val="0"/>
                      <w:color w:val="auto"/>
                      <w:kern w:val="2"/>
                      <w:sz w:val="18"/>
                      <w:szCs w:val="18"/>
                      <w:highlight w:val="none"/>
                      <w:vertAlign w:val="baseline"/>
                      <w:lang w:val="en-US" w:eastAsia="zh-CN" w:bidi="ar-SA"/>
                    </w:rPr>
                  </w:pPr>
                  <w:r>
                    <w:rPr>
                      <w:rFonts w:hint="default" w:ascii="Times New Roman" w:hAnsi="Times New Roman" w:cs="Times New Roman"/>
                      <w:snapToGrid w:val="0"/>
                      <w:color w:val="auto"/>
                      <w:sz w:val="18"/>
                      <w:szCs w:val="18"/>
                      <w:highlight w:val="none"/>
                      <w:vertAlign w:val="baseline"/>
                      <w:lang w:val="en-US" w:eastAsia="zh-CN"/>
                    </w:rPr>
                    <w:t>氧化铁粉仓及袋装废气经</w:t>
                  </w:r>
                  <w:r>
                    <w:rPr>
                      <w:rFonts w:hint="default" w:ascii="Times New Roman" w:hAnsi="Times New Roman" w:cs="Times New Roman"/>
                      <w:snapToGrid w:val="0"/>
                      <w:color w:val="auto"/>
                      <w:kern w:val="2"/>
                      <w:sz w:val="18"/>
                      <w:szCs w:val="18"/>
                      <w:highlight w:val="none"/>
                      <w:vertAlign w:val="baseline"/>
                      <w:lang w:val="en-US" w:eastAsia="zh-CN" w:bidi="ar-SA"/>
                    </w:rPr>
                    <w:t>布袋除尘处理后经24m高排气筒DA014排放；</w:t>
                  </w:r>
                </w:p>
              </w:tc>
              <w:tc>
                <w:tcPr>
                  <w:tcW w:w="703" w:type="pct"/>
                  <w:noWrap w:val="0"/>
                  <w:tcMar>
                    <w:left w:w="57" w:type="dxa"/>
                    <w:right w:w="57" w:type="dxa"/>
                  </w:tcMar>
                  <w:vAlign w:val="center"/>
                </w:tcPr>
                <w:p w14:paraId="0CA38230">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新建</w:t>
                  </w:r>
                </w:p>
              </w:tc>
            </w:tr>
            <w:tr w14:paraId="33928E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8" w:type="pct"/>
                  <w:vMerge w:val="continue"/>
                  <w:noWrap w:val="0"/>
                  <w:tcMar>
                    <w:left w:w="57" w:type="dxa"/>
                    <w:right w:w="57" w:type="dxa"/>
                  </w:tcMar>
                  <w:vAlign w:val="center"/>
                </w:tcPr>
                <w:p w14:paraId="596C1C9F">
                  <w:pPr>
                    <w:jc w:val="center"/>
                    <w:rPr>
                      <w:rFonts w:hint="default" w:ascii="Times New Roman" w:hAnsi="Times New Roman" w:cs="Times New Roman"/>
                      <w:color w:val="auto"/>
                      <w:sz w:val="18"/>
                      <w:szCs w:val="18"/>
                    </w:rPr>
                  </w:pPr>
                </w:p>
              </w:tc>
              <w:tc>
                <w:tcPr>
                  <w:tcW w:w="604" w:type="pct"/>
                  <w:vMerge w:val="continue"/>
                  <w:shd w:val="clear" w:color="auto" w:fill="auto"/>
                  <w:noWrap w:val="0"/>
                  <w:tcMar>
                    <w:left w:w="57" w:type="dxa"/>
                    <w:right w:w="57" w:type="dxa"/>
                  </w:tcMar>
                  <w:vAlign w:val="center"/>
                </w:tcPr>
                <w:p w14:paraId="3FFF8D4B">
                  <w:pPr>
                    <w:jc w:val="center"/>
                    <w:rPr>
                      <w:rFonts w:hint="default" w:ascii="Times New Roman" w:hAnsi="Times New Roman" w:cs="Times New Roman"/>
                      <w:color w:val="auto"/>
                      <w:sz w:val="18"/>
                      <w:szCs w:val="18"/>
                    </w:rPr>
                  </w:pPr>
                </w:p>
              </w:tc>
              <w:tc>
                <w:tcPr>
                  <w:tcW w:w="3044" w:type="pct"/>
                  <w:shd w:val="clear" w:color="auto" w:fill="auto"/>
                  <w:noWrap w:val="0"/>
                  <w:tcMar>
                    <w:left w:w="57" w:type="dxa"/>
                    <w:right w:w="57" w:type="dxa"/>
                  </w:tcMar>
                  <w:vAlign w:val="center"/>
                </w:tcPr>
                <w:p w14:paraId="4F23EEFF">
                  <w:pPr>
                    <w:jc w:val="both"/>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highlight w:val="none"/>
                      <w:lang w:val="en-US" w:eastAsia="zh-CN"/>
                    </w:rPr>
                    <w:t>拟建项目无组织废气包括未被收集的激光焊接、电阻焊焊接烟尘、车间内未被收集的颗粒物、氯化氢、硫酸雾、脱碳渗氮过程少量挥发的氨气，加强车间管理和通风，厂区绿化</w:t>
                  </w:r>
                </w:p>
              </w:tc>
              <w:tc>
                <w:tcPr>
                  <w:tcW w:w="703" w:type="pct"/>
                  <w:noWrap w:val="0"/>
                  <w:tcMar>
                    <w:left w:w="57" w:type="dxa"/>
                    <w:right w:w="57" w:type="dxa"/>
                  </w:tcMar>
                  <w:vAlign w:val="center"/>
                </w:tcPr>
                <w:p w14:paraId="7B3B80D5">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新建</w:t>
                  </w:r>
                </w:p>
              </w:tc>
            </w:tr>
            <w:tr w14:paraId="04ED69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8" w:type="pct"/>
                  <w:vMerge w:val="continue"/>
                  <w:noWrap w:val="0"/>
                  <w:tcMar>
                    <w:left w:w="57" w:type="dxa"/>
                    <w:right w:w="57" w:type="dxa"/>
                  </w:tcMar>
                  <w:vAlign w:val="center"/>
                </w:tcPr>
                <w:p w14:paraId="72C64EFC">
                  <w:pPr>
                    <w:jc w:val="center"/>
                    <w:rPr>
                      <w:rFonts w:hint="default" w:ascii="Times New Roman" w:hAnsi="Times New Roman" w:cs="Times New Roman"/>
                      <w:color w:val="auto"/>
                      <w:sz w:val="18"/>
                      <w:szCs w:val="18"/>
                    </w:rPr>
                  </w:pPr>
                </w:p>
              </w:tc>
              <w:tc>
                <w:tcPr>
                  <w:tcW w:w="604" w:type="pct"/>
                  <w:vMerge w:val="restart"/>
                  <w:shd w:val="clear" w:color="auto" w:fill="auto"/>
                  <w:noWrap w:val="0"/>
                  <w:tcMar>
                    <w:left w:w="57" w:type="dxa"/>
                    <w:right w:w="57" w:type="dxa"/>
                  </w:tcMar>
                  <w:vAlign w:val="center"/>
                </w:tcPr>
                <w:p w14:paraId="7F05C028">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废水治理</w:t>
                  </w:r>
                </w:p>
              </w:tc>
              <w:tc>
                <w:tcPr>
                  <w:tcW w:w="3044" w:type="pct"/>
                  <w:noWrap w:val="0"/>
                  <w:tcMar>
                    <w:left w:w="57" w:type="dxa"/>
                    <w:right w:w="57" w:type="dxa"/>
                  </w:tcMar>
                  <w:vAlign w:val="center"/>
                </w:tcPr>
                <w:p w14:paraId="3251A5BA">
                  <w:pPr>
                    <w:jc w:val="both"/>
                    <w:rPr>
                      <w:rFonts w:hint="default" w:ascii="Times New Roman" w:hAnsi="Times New Roman" w:cs="Times New Roman"/>
                      <w:color w:val="auto"/>
                      <w:sz w:val="18"/>
                      <w:szCs w:val="18"/>
                    </w:rPr>
                  </w:pPr>
                  <w:r>
                    <w:rPr>
                      <w:rFonts w:hint="eastAsia" w:cs="Times New Roman"/>
                      <w:color w:val="auto"/>
                      <w:sz w:val="18"/>
                      <w:szCs w:val="18"/>
                      <w:lang w:val="en-US" w:eastAsia="zh-CN"/>
                    </w:rPr>
                    <w:t>酸性废水包括</w:t>
                  </w:r>
                  <w:r>
                    <w:rPr>
                      <w:rFonts w:hint="default" w:ascii="Times New Roman" w:hAnsi="Times New Roman" w:cs="Times New Roman"/>
                      <w:color w:val="auto"/>
                      <w:sz w:val="18"/>
                      <w:szCs w:val="18"/>
                      <w:lang w:val="en-US" w:eastAsia="zh-CN"/>
                    </w:rPr>
                    <w:t>常化盐酸</w:t>
                  </w:r>
                  <w:r>
                    <w:rPr>
                      <w:rFonts w:hint="eastAsia" w:cs="Times New Roman"/>
                      <w:color w:val="auto"/>
                      <w:sz w:val="18"/>
                      <w:szCs w:val="18"/>
                      <w:lang w:val="en-US" w:eastAsia="zh-CN"/>
                    </w:rPr>
                    <w:t>酸洗</w:t>
                  </w:r>
                  <w:r>
                    <w:rPr>
                      <w:rFonts w:hint="default" w:ascii="Times New Roman" w:hAnsi="Times New Roman" w:cs="Times New Roman"/>
                      <w:color w:val="auto"/>
                      <w:sz w:val="18"/>
                      <w:szCs w:val="18"/>
                      <w:lang w:val="en-US" w:eastAsia="zh-CN"/>
                    </w:rPr>
                    <w:t>后水洗酸洗废水、硫酸酸洗后水洗废水、两座酸性废气洗涤塔排水，排至酸性废水处理站处理。酸性废水处理站处理规模为20m</w:t>
                  </w:r>
                  <w:r>
                    <w:rPr>
                      <w:rFonts w:hint="default" w:ascii="Times New Roman" w:hAnsi="Times New Roman" w:cs="Times New Roman"/>
                      <w:color w:val="auto"/>
                      <w:sz w:val="18"/>
                      <w:szCs w:val="18"/>
                      <w:vertAlign w:val="superscript"/>
                      <w:lang w:val="en-US" w:eastAsia="zh-CN"/>
                    </w:rPr>
                    <w:t>3</w:t>
                  </w:r>
                  <w:r>
                    <w:rPr>
                      <w:rFonts w:hint="default" w:ascii="Times New Roman" w:hAnsi="Times New Roman" w:cs="Times New Roman"/>
                      <w:color w:val="auto"/>
                      <w:sz w:val="18"/>
                      <w:szCs w:val="18"/>
                      <w:lang w:val="en-US" w:eastAsia="zh-CN"/>
                    </w:rPr>
                    <w:t>/h，处理工艺为调节+中和+絮凝沉淀。</w:t>
                  </w:r>
                </w:p>
              </w:tc>
              <w:tc>
                <w:tcPr>
                  <w:tcW w:w="703" w:type="pct"/>
                  <w:shd w:val="clear" w:color="auto" w:fill="auto"/>
                  <w:noWrap w:val="0"/>
                  <w:tcMar>
                    <w:left w:w="57" w:type="dxa"/>
                    <w:right w:w="57" w:type="dxa"/>
                  </w:tcMar>
                  <w:vAlign w:val="center"/>
                </w:tcPr>
                <w:p w14:paraId="48A24E34">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新建</w:t>
                  </w:r>
                </w:p>
              </w:tc>
            </w:tr>
            <w:tr w14:paraId="2BACA0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8" w:type="pct"/>
                  <w:vMerge w:val="continue"/>
                  <w:noWrap w:val="0"/>
                  <w:tcMar>
                    <w:left w:w="57" w:type="dxa"/>
                    <w:right w:w="57" w:type="dxa"/>
                  </w:tcMar>
                  <w:vAlign w:val="center"/>
                </w:tcPr>
                <w:p w14:paraId="6375981E">
                  <w:pPr>
                    <w:jc w:val="center"/>
                    <w:rPr>
                      <w:rFonts w:hint="default" w:ascii="Times New Roman" w:hAnsi="Times New Roman" w:cs="Times New Roman"/>
                      <w:color w:val="auto"/>
                      <w:sz w:val="18"/>
                      <w:szCs w:val="18"/>
                    </w:rPr>
                  </w:pPr>
                </w:p>
              </w:tc>
              <w:tc>
                <w:tcPr>
                  <w:tcW w:w="604" w:type="pct"/>
                  <w:vMerge w:val="continue"/>
                  <w:shd w:val="clear" w:color="auto" w:fill="auto"/>
                  <w:noWrap w:val="0"/>
                  <w:tcMar>
                    <w:left w:w="57" w:type="dxa"/>
                    <w:right w:w="57" w:type="dxa"/>
                  </w:tcMar>
                  <w:vAlign w:val="center"/>
                </w:tcPr>
                <w:p w14:paraId="12CA229D">
                  <w:pPr>
                    <w:jc w:val="center"/>
                    <w:rPr>
                      <w:rFonts w:hint="default" w:ascii="Times New Roman" w:hAnsi="Times New Roman" w:cs="Times New Roman"/>
                      <w:color w:val="auto"/>
                      <w:sz w:val="18"/>
                      <w:szCs w:val="18"/>
                    </w:rPr>
                  </w:pPr>
                </w:p>
              </w:tc>
              <w:tc>
                <w:tcPr>
                  <w:tcW w:w="3044" w:type="pct"/>
                  <w:noWrap w:val="0"/>
                  <w:tcMar>
                    <w:left w:w="57" w:type="dxa"/>
                    <w:right w:w="57" w:type="dxa"/>
                  </w:tcMar>
                  <w:vAlign w:val="center"/>
                </w:tcPr>
                <w:p w14:paraId="2151A4F0">
                  <w:pPr>
                    <w:jc w:val="both"/>
                    <w:rPr>
                      <w:rFonts w:hint="default" w:ascii="Times New Roman" w:hAnsi="Times New Roman" w:eastAsia="宋体" w:cs="Times New Roman"/>
                      <w:color w:val="auto"/>
                      <w:sz w:val="18"/>
                      <w:szCs w:val="18"/>
                    </w:rPr>
                  </w:pPr>
                  <w:r>
                    <w:rPr>
                      <w:rFonts w:hint="default" w:ascii="Times New Roman" w:hAnsi="Times New Roman" w:cs="Times New Roman"/>
                      <w:color w:val="auto"/>
                      <w:sz w:val="18"/>
                      <w:szCs w:val="18"/>
                      <w:lang w:val="en-US" w:eastAsia="zh-CN"/>
                    </w:rPr>
                    <w:t>碱性、含油和乳化液废水包括碱洗工序废水、碱洗后水洗废水、碱性废气洗涤塔排水，排至碱性含油废水处理站处理，处理规模为18m</w:t>
                  </w:r>
                  <w:r>
                    <w:rPr>
                      <w:rFonts w:hint="default" w:ascii="Times New Roman" w:hAnsi="Times New Roman" w:cs="Times New Roman"/>
                      <w:color w:val="auto"/>
                      <w:sz w:val="18"/>
                      <w:szCs w:val="18"/>
                      <w:vertAlign w:val="superscript"/>
                      <w:lang w:val="en-US" w:eastAsia="zh-CN"/>
                    </w:rPr>
                    <w:t>3</w:t>
                  </w:r>
                  <w:r>
                    <w:rPr>
                      <w:rFonts w:hint="default" w:ascii="Times New Roman" w:hAnsi="Times New Roman" w:cs="Times New Roman"/>
                      <w:color w:val="auto"/>
                      <w:sz w:val="18"/>
                      <w:szCs w:val="18"/>
                      <w:lang w:val="en-US" w:eastAsia="zh-CN"/>
                    </w:rPr>
                    <w:t>/h，处理工艺为：碱洗工序废水先进行隔油预处理后再与碱洗后水洗废水、碱性废气洗涤塔排水进行调节+中和+絮凝沉淀+MBR接触氧化处理后排至酸性废水处理站进行处理。</w:t>
                  </w:r>
                </w:p>
              </w:tc>
              <w:tc>
                <w:tcPr>
                  <w:tcW w:w="703" w:type="pct"/>
                  <w:noWrap w:val="0"/>
                  <w:tcMar>
                    <w:left w:w="57" w:type="dxa"/>
                    <w:right w:w="57" w:type="dxa"/>
                  </w:tcMar>
                  <w:vAlign w:val="center"/>
                </w:tcPr>
                <w:p w14:paraId="2965B90B">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新建</w:t>
                  </w:r>
                </w:p>
              </w:tc>
            </w:tr>
            <w:tr w14:paraId="4ECC0E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8" w:type="pct"/>
                  <w:vMerge w:val="continue"/>
                  <w:noWrap w:val="0"/>
                  <w:tcMar>
                    <w:left w:w="57" w:type="dxa"/>
                    <w:right w:w="57" w:type="dxa"/>
                  </w:tcMar>
                  <w:vAlign w:val="center"/>
                </w:tcPr>
                <w:p w14:paraId="7B50DF16">
                  <w:pPr>
                    <w:jc w:val="center"/>
                    <w:rPr>
                      <w:rFonts w:hint="default" w:ascii="Times New Roman" w:hAnsi="Times New Roman" w:cs="Times New Roman"/>
                      <w:color w:val="auto"/>
                      <w:sz w:val="18"/>
                      <w:szCs w:val="18"/>
                    </w:rPr>
                  </w:pPr>
                </w:p>
              </w:tc>
              <w:tc>
                <w:tcPr>
                  <w:tcW w:w="604" w:type="pct"/>
                  <w:vMerge w:val="continue"/>
                  <w:shd w:val="clear" w:color="auto" w:fill="auto"/>
                  <w:noWrap w:val="0"/>
                  <w:tcMar>
                    <w:left w:w="57" w:type="dxa"/>
                    <w:right w:w="57" w:type="dxa"/>
                  </w:tcMar>
                  <w:vAlign w:val="center"/>
                </w:tcPr>
                <w:p w14:paraId="6BC6E911">
                  <w:pPr>
                    <w:jc w:val="center"/>
                    <w:rPr>
                      <w:rFonts w:hint="default" w:ascii="Times New Roman" w:hAnsi="Times New Roman" w:cs="Times New Roman"/>
                      <w:color w:val="auto"/>
                      <w:sz w:val="18"/>
                      <w:szCs w:val="18"/>
                    </w:rPr>
                  </w:pPr>
                </w:p>
              </w:tc>
              <w:tc>
                <w:tcPr>
                  <w:tcW w:w="3044" w:type="pct"/>
                  <w:noWrap w:val="0"/>
                  <w:tcMar>
                    <w:left w:w="57" w:type="dxa"/>
                    <w:right w:w="57" w:type="dxa"/>
                  </w:tcMar>
                  <w:vAlign w:val="center"/>
                </w:tcPr>
                <w:p w14:paraId="79ABC8CC">
                  <w:pPr>
                    <w:jc w:val="both"/>
                    <w:rPr>
                      <w:rFonts w:hint="default" w:ascii="Times New Roman" w:hAnsi="Times New Roman" w:eastAsia="宋体" w:cs="Times New Roman"/>
                      <w:color w:val="auto"/>
                      <w:sz w:val="18"/>
                      <w:szCs w:val="18"/>
                    </w:rPr>
                  </w:pPr>
                  <w:r>
                    <w:rPr>
                      <w:rFonts w:hint="default" w:ascii="Times New Roman" w:hAnsi="Times New Roman" w:cs="Times New Roman"/>
                      <w:color w:val="auto"/>
                      <w:sz w:val="18"/>
                      <w:szCs w:val="18"/>
                      <w:lang w:val="en-US" w:eastAsia="zh-CN"/>
                    </w:rPr>
                    <w:t>最终</w:t>
                  </w:r>
                  <w:r>
                    <w:rPr>
                      <w:rFonts w:hint="eastAsia" w:cs="Times New Roman"/>
                      <w:color w:val="auto"/>
                      <w:sz w:val="18"/>
                      <w:szCs w:val="18"/>
                      <w:lang w:val="en-US" w:eastAsia="zh-CN"/>
                    </w:rPr>
                    <w:t>经过处理的</w:t>
                  </w:r>
                  <w:r>
                    <w:rPr>
                      <w:rFonts w:hint="default" w:ascii="Times New Roman" w:hAnsi="Times New Roman" w:cs="Times New Roman"/>
                      <w:color w:val="auto"/>
                      <w:sz w:val="18"/>
                      <w:szCs w:val="18"/>
                      <w:lang w:val="en-US" w:eastAsia="zh-CN"/>
                    </w:rPr>
                    <w:t>酸性废水</w:t>
                  </w:r>
                  <w:r>
                    <w:rPr>
                      <w:rFonts w:hint="eastAsia" w:cs="Times New Roman"/>
                      <w:color w:val="auto"/>
                      <w:sz w:val="18"/>
                      <w:szCs w:val="18"/>
                      <w:lang w:val="en-US" w:eastAsia="zh-CN"/>
                    </w:rPr>
                    <w:t>、</w:t>
                  </w:r>
                  <w:r>
                    <w:rPr>
                      <w:rFonts w:hint="default" w:ascii="Times New Roman" w:hAnsi="Times New Roman" w:cs="Times New Roman"/>
                      <w:color w:val="auto"/>
                      <w:sz w:val="18"/>
                      <w:szCs w:val="18"/>
                      <w:lang w:val="en-US" w:eastAsia="zh-CN"/>
                    </w:rPr>
                    <w:t>碱性、含油和乳化液废水</w:t>
                  </w:r>
                  <w:r>
                    <w:rPr>
                      <w:rFonts w:hint="default" w:ascii="Times New Roman" w:hAnsi="Times New Roman" w:cs="Times New Roman"/>
                      <w:color w:val="auto"/>
                      <w:sz w:val="18"/>
                      <w:szCs w:val="18"/>
                    </w:rPr>
                    <w:t>与</w:t>
                  </w:r>
                  <w:r>
                    <w:rPr>
                      <w:rFonts w:hint="default" w:ascii="Times New Roman" w:hAnsi="Times New Roman" w:cs="Times New Roman"/>
                      <w:color w:val="auto"/>
                      <w:sz w:val="18"/>
                      <w:szCs w:val="18"/>
                      <w:lang w:val="en-US" w:eastAsia="zh-CN"/>
                    </w:rPr>
                    <w:t>脱盐水系统排污水、</w:t>
                  </w:r>
                  <w:r>
                    <w:rPr>
                      <w:rFonts w:hint="default" w:ascii="Times New Roman" w:hAnsi="Times New Roman" w:cs="Times New Roman"/>
                      <w:color w:val="auto"/>
                      <w:sz w:val="18"/>
                      <w:szCs w:val="18"/>
                    </w:rPr>
                    <w:t>锅炉排污水、</w:t>
                  </w:r>
                  <w:r>
                    <w:rPr>
                      <w:rFonts w:hint="default" w:ascii="Times New Roman" w:hAnsi="Times New Roman" w:cs="Times New Roman"/>
                      <w:color w:val="auto"/>
                      <w:sz w:val="18"/>
                      <w:szCs w:val="18"/>
                      <w:lang w:val="en-US" w:eastAsia="zh-CN"/>
                    </w:rPr>
                    <w:t>净循环水系统排污水、</w:t>
                  </w:r>
                  <w:r>
                    <w:rPr>
                      <w:rFonts w:hint="default" w:ascii="Times New Roman" w:hAnsi="Times New Roman" w:cs="Times New Roman"/>
                      <w:color w:val="auto"/>
                      <w:sz w:val="18"/>
                      <w:szCs w:val="18"/>
                    </w:rPr>
                    <w:t>生活污水一起经污水管网排至</w:t>
                  </w:r>
                  <w:r>
                    <w:rPr>
                      <w:rFonts w:hint="default" w:ascii="Times New Roman" w:hAnsi="Times New Roman" w:cs="Times New Roman"/>
                      <w:color w:val="auto"/>
                      <w:sz w:val="18"/>
                      <w:szCs w:val="18"/>
                      <w:lang w:val="en-US" w:eastAsia="zh-CN"/>
                    </w:rPr>
                    <w:t>园区</w:t>
                  </w:r>
                  <w:r>
                    <w:rPr>
                      <w:rFonts w:hint="default" w:ascii="Times New Roman" w:hAnsi="Times New Roman" w:cs="Times New Roman"/>
                      <w:color w:val="auto"/>
                      <w:sz w:val="18"/>
                      <w:szCs w:val="18"/>
                    </w:rPr>
                    <w:t>污水处理厂</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昌吉高新海天污水处理厂</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深度处理。</w:t>
                  </w:r>
                </w:p>
              </w:tc>
              <w:tc>
                <w:tcPr>
                  <w:tcW w:w="703" w:type="pct"/>
                  <w:noWrap w:val="0"/>
                  <w:tcMar>
                    <w:left w:w="57" w:type="dxa"/>
                    <w:right w:w="57" w:type="dxa"/>
                  </w:tcMar>
                  <w:vAlign w:val="center"/>
                </w:tcPr>
                <w:p w14:paraId="0F8C5880">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新建</w:t>
                  </w:r>
                </w:p>
              </w:tc>
            </w:tr>
            <w:tr w14:paraId="479BBB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8" w:type="pct"/>
                  <w:vMerge w:val="continue"/>
                  <w:noWrap w:val="0"/>
                  <w:tcMar>
                    <w:left w:w="57" w:type="dxa"/>
                    <w:right w:w="57" w:type="dxa"/>
                  </w:tcMar>
                  <w:vAlign w:val="center"/>
                </w:tcPr>
                <w:p w14:paraId="0FF82B16">
                  <w:pPr>
                    <w:jc w:val="center"/>
                    <w:rPr>
                      <w:rFonts w:hint="default" w:ascii="Times New Roman" w:hAnsi="Times New Roman" w:cs="Times New Roman"/>
                      <w:color w:val="auto"/>
                      <w:sz w:val="18"/>
                      <w:szCs w:val="18"/>
                    </w:rPr>
                  </w:pPr>
                </w:p>
              </w:tc>
              <w:tc>
                <w:tcPr>
                  <w:tcW w:w="604" w:type="pct"/>
                  <w:shd w:val="clear" w:color="auto" w:fill="auto"/>
                  <w:noWrap w:val="0"/>
                  <w:tcMar>
                    <w:left w:w="57" w:type="dxa"/>
                    <w:right w:w="57" w:type="dxa"/>
                  </w:tcMar>
                  <w:vAlign w:val="center"/>
                </w:tcPr>
                <w:p w14:paraId="32AC32BE">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固体废物处置</w:t>
                  </w:r>
                </w:p>
              </w:tc>
              <w:tc>
                <w:tcPr>
                  <w:tcW w:w="3044" w:type="pct"/>
                  <w:noWrap w:val="0"/>
                  <w:tcMar>
                    <w:left w:w="57" w:type="dxa"/>
                    <w:right w:w="57" w:type="dxa"/>
                  </w:tcMar>
                  <w:vAlign w:val="center"/>
                </w:tcPr>
                <w:p w14:paraId="2556C700">
                  <w:pPr>
                    <w:rPr>
                      <w:rFonts w:hint="default" w:ascii="Times New Roman" w:hAnsi="Times New Roman" w:cs="Times New Roman"/>
                      <w:color w:val="auto"/>
                      <w:sz w:val="18"/>
                      <w:szCs w:val="18"/>
                      <w:lang w:val="en-US"/>
                    </w:rPr>
                  </w:pPr>
                  <w:r>
                    <w:rPr>
                      <w:rFonts w:hint="default" w:ascii="Times New Roman" w:hAnsi="Times New Roman" w:cs="Times New Roman"/>
                      <w:color w:val="auto"/>
                      <w:sz w:val="18"/>
                      <w:szCs w:val="18"/>
                    </w:rPr>
                    <w:t>生活垃圾设置垃圾分类收集箱，由环卫部门定期清运；一般固废外售</w:t>
                  </w:r>
                  <w:r>
                    <w:rPr>
                      <w:rFonts w:hint="default" w:ascii="Times New Roman" w:hAnsi="Times New Roman" w:cs="Times New Roman"/>
                      <w:color w:val="auto"/>
                      <w:sz w:val="18"/>
                      <w:szCs w:val="18"/>
                      <w:lang w:val="en-US" w:eastAsia="zh-CN"/>
                    </w:rPr>
                    <w:t>综合利用</w:t>
                  </w:r>
                  <w:r>
                    <w:rPr>
                      <w:rFonts w:hint="default" w:ascii="Times New Roman" w:hAnsi="Times New Roman" w:cs="Times New Roman"/>
                      <w:color w:val="auto"/>
                      <w:sz w:val="18"/>
                      <w:szCs w:val="18"/>
                    </w:rPr>
                    <w:t>或厂家回收；危险废物暂存于</w:t>
                  </w:r>
                  <w:r>
                    <w:rPr>
                      <w:rFonts w:hint="eastAsia" w:cs="Times New Roman"/>
                      <w:color w:val="auto"/>
                      <w:sz w:val="18"/>
                      <w:szCs w:val="18"/>
                      <w:lang w:eastAsia="zh-CN"/>
                    </w:rPr>
                    <w:t>危废暂存库</w:t>
                  </w:r>
                  <w:r>
                    <w:rPr>
                      <w:rFonts w:hint="default" w:ascii="Times New Roman" w:hAnsi="Times New Roman" w:cs="Times New Roman"/>
                      <w:color w:val="auto"/>
                      <w:sz w:val="18"/>
                      <w:szCs w:val="18"/>
                    </w:rPr>
                    <w:t>（面积</w:t>
                  </w:r>
                  <w:r>
                    <w:rPr>
                      <w:rFonts w:hint="eastAsia" w:cs="Times New Roman"/>
                      <w:color w:val="auto"/>
                      <w:sz w:val="18"/>
                      <w:szCs w:val="18"/>
                      <w:lang w:val="en-US" w:eastAsia="zh-CN"/>
                    </w:rPr>
                    <w:t>175</w:t>
                  </w:r>
                  <w:r>
                    <w:rPr>
                      <w:rFonts w:hint="default" w:ascii="Times New Roman" w:hAnsi="Times New Roman" w:cs="Times New Roman"/>
                      <w:color w:val="auto"/>
                      <w:sz w:val="18"/>
                      <w:szCs w:val="18"/>
                    </w:rPr>
                    <w:t>m</w:t>
                  </w:r>
                  <w:r>
                    <w:rPr>
                      <w:rFonts w:hint="default" w:ascii="Times New Roman" w:hAnsi="Times New Roman" w:cs="Times New Roman"/>
                      <w:color w:val="auto"/>
                      <w:sz w:val="18"/>
                      <w:szCs w:val="18"/>
                      <w:vertAlign w:val="superscript"/>
                    </w:rPr>
                    <w:t>2</w:t>
                  </w:r>
                  <w:r>
                    <w:rPr>
                      <w:rFonts w:hint="default" w:ascii="Times New Roman" w:hAnsi="Times New Roman" w:cs="Times New Roman"/>
                      <w:color w:val="auto"/>
                      <w:sz w:val="18"/>
                      <w:szCs w:val="18"/>
                    </w:rPr>
                    <w:t>）委托有资质单位处置</w:t>
                  </w:r>
                </w:p>
              </w:tc>
              <w:tc>
                <w:tcPr>
                  <w:tcW w:w="703" w:type="pct"/>
                  <w:noWrap w:val="0"/>
                  <w:tcMar>
                    <w:left w:w="57" w:type="dxa"/>
                    <w:right w:w="57" w:type="dxa"/>
                  </w:tcMar>
                  <w:vAlign w:val="center"/>
                </w:tcPr>
                <w:p w14:paraId="7F809036">
                  <w:pPr>
                    <w:jc w:val="center"/>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新建</w:t>
                  </w:r>
                </w:p>
              </w:tc>
            </w:tr>
            <w:tr w14:paraId="6B2478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648" w:type="pct"/>
                  <w:vMerge w:val="continue"/>
                  <w:noWrap w:val="0"/>
                  <w:tcMar>
                    <w:left w:w="57" w:type="dxa"/>
                    <w:right w:w="57" w:type="dxa"/>
                  </w:tcMar>
                  <w:vAlign w:val="center"/>
                </w:tcPr>
                <w:p w14:paraId="4E2C5084">
                  <w:pPr>
                    <w:jc w:val="center"/>
                    <w:rPr>
                      <w:rFonts w:hint="default" w:ascii="Times New Roman" w:hAnsi="Times New Roman" w:cs="Times New Roman"/>
                      <w:color w:val="auto"/>
                      <w:sz w:val="18"/>
                      <w:szCs w:val="18"/>
                    </w:rPr>
                  </w:pPr>
                </w:p>
              </w:tc>
              <w:tc>
                <w:tcPr>
                  <w:tcW w:w="604" w:type="pct"/>
                  <w:noWrap w:val="0"/>
                  <w:tcMar>
                    <w:left w:w="57" w:type="dxa"/>
                    <w:right w:w="57" w:type="dxa"/>
                  </w:tcMar>
                  <w:vAlign w:val="center"/>
                </w:tcPr>
                <w:p w14:paraId="5D33BE21">
                  <w:pPr>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噪声</w:t>
                  </w:r>
                </w:p>
              </w:tc>
              <w:tc>
                <w:tcPr>
                  <w:tcW w:w="3044" w:type="pct"/>
                  <w:noWrap w:val="0"/>
                  <w:tcMar>
                    <w:left w:w="57" w:type="dxa"/>
                    <w:right w:w="57" w:type="dxa"/>
                  </w:tcMar>
                  <w:vAlign w:val="center"/>
                </w:tcPr>
                <w:p w14:paraId="4E639E5D">
                  <w:pP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基础</w:t>
                  </w:r>
                  <w:r>
                    <w:rPr>
                      <w:rFonts w:hint="eastAsia" w:cs="Times New Roman"/>
                      <w:color w:val="auto"/>
                      <w:sz w:val="18"/>
                      <w:szCs w:val="18"/>
                      <w:lang w:eastAsia="zh-CN"/>
                    </w:rPr>
                    <w:t>减振</w:t>
                  </w:r>
                  <w:r>
                    <w:rPr>
                      <w:rFonts w:hint="default" w:ascii="Times New Roman" w:hAnsi="Times New Roman" w:cs="Times New Roman"/>
                      <w:color w:val="auto"/>
                      <w:sz w:val="18"/>
                      <w:szCs w:val="18"/>
                    </w:rPr>
                    <w:t>，厂房隔音、</w:t>
                  </w:r>
                  <w:r>
                    <w:rPr>
                      <w:rFonts w:hint="default" w:ascii="Times New Roman" w:hAnsi="Times New Roman" w:cs="Times New Roman"/>
                      <w:color w:val="auto"/>
                      <w:sz w:val="18"/>
                      <w:szCs w:val="18"/>
                      <w:lang w:val="en-US" w:eastAsia="zh-CN"/>
                    </w:rPr>
                    <w:t>消声、</w:t>
                  </w:r>
                  <w:r>
                    <w:rPr>
                      <w:rFonts w:hint="default" w:ascii="Times New Roman" w:hAnsi="Times New Roman" w:cs="Times New Roman"/>
                      <w:color w:val="auto"/>
                      <w:sz w:val="18"/>
                      <w:szCs w:val="18"/>
                    </w:rPr>
                    <w:t>距离衰减</w:t>
                  </w:r>
                  <w:r>
                    <w:rPr>
                      <w:rFonts w:hint="default" w:ascii="Times New Roman" w:hAnsi="Times New Roman" w:cs="Times New Roman"/>
                      <w:color w:val="auto"/>
                      <w:sz w:val="18"/>
                      <w:szCs w:val="18"/>
                      <w:lang w:val="en-US" w:eastAsia="zh-CN"/>
                    </w:rPr>
                    <w:t>等</w:t>
                  </w:r>
                </w:p>
              </w:tc>
              <w:tc>
                <w:tcPr>
                  <w:tcW w:w="703" w:type="pct"/>
                  <w:noWrap w:val="0"/>
                  <w:tcMar>
                    <w:left w:w="57" w:type="dxa"/>
                    <w:right w:w="57" w:type="dxa"/>
                  </w:tcMar>
                  <w:vAlign w:val="center"/>
                </w:tcPr>
                <w:p w14:paraId="6040C13D">
                  <w:pPr>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新建</w:t>
                  </w:r>
                </w:p>
              </w:tc>
            </w:tr>
            <w:tr w14:paraId="02ACC3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8" w:type="pct"/>
                  <w:vMerge w:val="continue"/>
                  <w:noWrap w:val="0"/>
                  <w:tcMar>
                    <w:left w:w="57" w:type="dxa"/>
                    <w:right w:w="57" w:type="dxa"/>
                  </w:tcMar>
                  <w:vAlign w:val="center"/>
                </w:tcPr>
                <w:p w14:paraId="20670FEB">
                  <w:pPr>
                    <w:jc w:val="center"/>
                    <w:rPr>
                      <w:rFonts w:hint="default" w:ascii="Times New Roman" w:hAnsi="Times New Roman" w:cs="Times New Roman"/>
                      <w:color w:val="auto"/>
                      <w:sz w:val="18"/>
                      <w:szCs w:val="18"/>
                    </w:rPr>
                  </w:pPr>
                </w:p>
              </w:tc>
              <w:tc>
                <w:tcPr>
                  <w:tcW w:w="604" w:type="pct"/>
                  <w:noWrap w:val="0"/>
                  <w:tcMar>
                    <w:left w:w="57" w:type="dxa"/>
                    <w:right w:w="57" w:type="dxa"/>
                  </w:tcMar>
                  <w:vAlign w:val="center"/>
                </w:tcPr>
                <w:p w14:paraId="2EA01951">
                  <w:pPr>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风险防控</w:t>
                  </w:r>
                </w:p>
              </w:tc>
              <w:tc>
                <w:tcPr>
                  <w:tcW w:w="3044" w:type="pct"/>
                  <w:shd w:val="clear" w:color="auto" w:fill="auto"/>
                  <w:noWrap w:val="0"/>
                  <w:tcMar>
                    <w:left w:w="57" w:type="dxa"/>
                    <w:right w:w="57" w:type="dxa"/>
                  </w:tcMar>
                  <w:vAlign w:val="center"/>
                </w:tcPr>
                <w:p w14:paraId="5969D52C">
                  <w:pP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项目罐区设置围堰，储罐隔堤不低于0.5m，防火堤不低于1.2m；按规范在相应位置设置泄漏报警装置</w:t>
                  </w:r>
                  <w:r>
                    <w:rPr>
                      <w:rFonts w:hint="eastAsia" w:ascii="Times New Roman" w:hAnsi="Times New Roman" w:eastAsia="宋体" w:cs="Times New Roman"/>
                      <w:color w:val="auto"/>
                      <w:sz w:val="18"/>
                      <w:szCs w:val="18"/>
                      <w:lang w:val="en-US" w:eastAsia="zh-CN"/>
                    </w:rPr>
                    <w:t>；新建一座700m</w:t>
                  </w:r>
                  <w:r>
                    <w:rPr>
                      <w:rFonts w:hint="eastAsia" w:ascii="Times New Roman" w:hAnsi="Times New Roman" w:eastAsia="宋体" w:cs="Times New Roman"/>
                      <w:color w:val="auto"/>
                      <w:sz w:val="18"/>
                      <w:szCs w:val="18"/>
                      <w:vertAlign w:val="superscript"/>
                      <w:lang w:val="en-US" w:eastAsia="zh-CN"/>
                    </w:rPr>
                    <w:t>3</w:t>
                  </w:r>
                  <w:r>
                    <w:rPr>
                      <w:rFonts w:hint="eastAsia" w:ascii="Times New Roman" w:hAnsi="Times New Roman" w:eastAsia="宋体" w:cs="Times New Roman"/>
                      <w:color w:val="auto"/>
                      <w:sz w:val="18"/>
                      <w:szCs w:val="18"/>
                      <w:lang w:val="en-US" w:eastAsia="zh-CN"/>
                    </w:rPr>
                    <w:t>事故水池配套完善的事故水管网</w:t>
                  </w:r>
                </w:p>
              </w:tc>
              <w:tc>
                <w:tcPr>
                  <w:tcW w:w="703" w:type="pct"/>
                  <w:noWrap w:val="0"/>
                  <w:tcMar>
                    <w:left w:w="57" w:type="dxa"/>
                    <w:right w:w="57" w:type="dxa"/>
                  </w:tcMar>
                  <w:vAlign w:val="center"/>
                </w:tcPr>
                <w:p w14:paraId="7948AEFB">
                  <w:pPr>
                    <w:jc w:val="center"/>
                    <w:rPr>
                      <w:rFonts w:hint="default" w:ascii="Times New Roman" w:hAnsi="Times New Roman" w:cs="Times New Roman"/>
                      <w:color w:val="auto"/>
                      <w:sz w:val="18"/>
                      <w:szCs w:val="18"/>
                      <w:lang w:val="en-US" w:eastAsia="zh-CN"/>
                    </w:rPr>
                  </w:pPr>
                  <w:r>
                    <w:rPr>
                      <w:rFonts w:hint="eastAsia" w:cs="Times New Roman"/>
                      <w:color w:val="auto"/>
                      <w:sz w:val="18"/>
                      <w:szCs w:val="18"/>
                      <w:lang w:val="en-US" w:eastAsia="zh-CN"/>
                    </w:rPr>
                    <w:t>新建</w:t>
                  </w:r>
                </w:p>
              </w:tc>
            </w:tr>
          </w:tbl>
          <w:p w14:paraId="25B1E133">
            <w:pPr>
              <w:numPr>
                <w:ilvl w:val="0"/>
                <w:numId w:val="4"/>
              </w:numPr>
              <w:spacing w:before="120" w:beforeLines="50" w:line="360" w:lineRule="auto"/>
              <w:ind w:firstLine="422" w:firstLineChars="200"/>
              <w:rPr>
                <w:rFonts w:hint="eastAsia" w:ascii="Times New Roman" w:hAnsi="Times New Roman"/>
                <w:b/>
                <w:color w:val="auto"/>
                <w:sz w:val="21"/>
                <w:szCs w:val="21"/>
              </w:rPr>
            </w:pPr>
            <w:r>
              <w:rPr>
                <w:rFonts w:hint="eastAsia" w:ascii="Times New Roman" w:hAnsi="Times New Roman"/>
                <w:b/>
                <w:color w:val="auto"/>
                <w:sz w:val="21"/>
                <w:szCs w:val="21"/>
              </w:rPr>
              <w:t>产品方案</w:t>
            </w:r>
          </w:p>
          <w:p w14:paraId="76F2ABF2">
            <w:pPr>
              <w:widowControl w:val="0"/>
              <w:snapToGrid w:val="0"/>
              <w:spacing w:line="348" w:lineRule="auto"/>
              <w:ind w:firstLine="420" w:firstLineChars="200"/>
              <w:rPr>
                <w:rFonts w:hint="default" w:cs="Times New Roman"/>
                <w:snapToGrid w:val="0"/>
                <w:color w:val="auto"/>
                <w:sz w:val="21"/>
                <w:szCs w:val="21"/>
                <w:highlight w:val="none"/>
                <w:lang w:val="en-US" w:eastAsia="zh-CN"/>
              </w:rPr>
            </w:pPr>
            <w:r>
              <w:rPr>
                <w:rFonts w:hint="eastAsia" w:cs="Times New Roman"/>
                <w:snapToGrid w:val="0"/>
                <w:color w:val="auto"/>
                <w:sz w:val="21"/>
                <w:szCs w:val="21"/>
                <w:highlight w:val="none"/>
                <w:lang w:eastAsia="zh-CN"/>
              </w:rPr>
              <w:t>（</w:t>
            </w:r>
            <w:r>
              <w:rPr>
                <w:rFonts w:hint="eastAsia" w:cs="Times New Roman"/>
                <w:snapToGrid w:val="0"/>
                <w:color w:val="auto"/>
                <w:sz w:val="21"/>
                <w:szCs w:val="21"/>
                <w:highlight w:val="none"/>
                <w:lang w:val="en-US" w:eastAsia="zh-CN"/>
              </w:rPr>
              <w:t>1</w:t>
            </w:r>
            <w:r>
              <w:rPr>
                <w:rFonts w:hint="eastAsia" w:cs="Times New Roman"/>
                <w:snapToGrid w:val="0"/>
                <w:color w:val="auto"/>
                <w:sz w:val="21"/>
                <w:szCs w:val="21"/>
                <w:highlight w:val="none"/>
                <w:lang w:eastAsia="zh-CN"/>
              </w:rPr>
              <w:t>）</w:t>
            </w:r>
            <w:r>
              <w:rPr>
                <w:rFonts w:hint="eastAsia" w:cs="Times New Roman"/>
                <w:snapToGrid w:val="0"/>
                <w:color w:val="auto"/>
                <w:sz w:val="21"/>
                <w:szCs w:val="21"/>
                <w:highlight w:val="none"/>
                <w:lang w:val="en-US" w:eastAsia="zh-CN"/>
              </w:rPr>
              <w:t>产品大纲</w:t>
            </w:r>
          </w:p>
          <w:p w14:paraId="4322A807">
            <w:pPr>
              <w:widowControl w:val="0"/>
              <w:snapToGrid w:val="0"/>
              <w:spacing w:line="348" w:lineRule="auto"/>
              <w:ind w:firstLine="420" w:firstLineChars="200"/>
              <w:rPr>
                <w:rFonts w:hint="eastAsia" w:cs="Times New Roman"/>
                <w:snapToGrid w:val="0"/>
                <w:color w:val="auto"/>
                <w:sz w:val="21"/>
                <w:szCs w:val="21"/>
                <w:highlight w:val="none"/>
                <w:lang w:eastAsia="zh-CN"/>
              </w:rPr>
            </w:pPr>
            <w:r>
              <w:rPr>
                <w:rFonts w:hint="eastAsia" w:cs="Times New Roman"/>
                <w:snapToGrid w:val="0"/>
                <w:color w:val="auto"/>
                <w:sz w:val="21"/>
                <w:szCs w:val="21"/>
                <w:highlight w:val="none"/>
                <w:lang w:eastAsia="zh-CN"/>
              </w:rPr>
              <w:t>项目建成后年产高磁感取向硅钢成品(Hi-B)10万吨、</w:t>
            </w:r>
            <w:r>
              <w:rPr>
                <w:rFonts w:hint="eastAsia" w:cs="Times New Roman"/>
                <w:snapToGrid w:val="0"/>
                <w:color w:val="auto"/>
                <w:sz w:val="21"/>
                <w:szCs w:val="21"/>
                <w:highlight w:val="none"/>
                <w:lang w:val="en-US" w:eastAsia="zh-CN"/>
              </w:rPr>
              <w:t>铁芯6万吨。</w:t>
            </w:r>
          </w:p>
          <w:p w14:paraId="1F75C0A6">
            <w:pPr>
              <w:widowControl w:val="0"/>
              <w:snapToGrid w:val="0"/>
              <w:spacing w:line="348" w:lineRule="auto"/>
              <w:ind w:firstLine="420" w:firstLineChars="200"/>
              <w:rPr>
                <w:rFonts w:cs="Times New Roman"/>
                <w:snapToGrid w:val="0"/>
                <w:color w:val="auto"/>
                <w:sz w:val="21"/>
                <w:szCs w:val="21"/>
                <w:highlight w:val="none"/>
                <w:lang w:eastAsia="zh-CN"/>
              </w:rPr>
            </w:pPr>
            <w:r>
              <w:rPr>
                <w:rFonts w:hint="eastAsia" w:cs="Times New Roman"/>
                <w:snapToGrid w:val="0"/>
                <w:color w:val="auto"/>
                <w:sz w:val="21"/>
                <w:szCs w:val="21"/>
                <w:highlight w:val="none"/>
                <w:lang w:eastAsia="zh-CN"/>
              </w:rPr>
              <w:t>各种Hi-B产品按照厚度和宽度的产量分配见表</w:t>
            </w:r>
            <w:r>
              <w:rPr>
                <w:rFonts w:hint="eastAsia" w:cs="Times New Roman"/>
                <w:snapToGrid w:val="0"/>
                <w:color w:val="auto"/>
                <w:sz w:val="21"/>
                <w:szCs w:val="21"/>
                <w:highlight w:val="none"/>
                <w:lang w:val="en-US" w:eastAsia="zh-CN"/>
              </w:rPr>
              <w:t>2-2，</w:t>
            </w:r>
            <w:r>
              <w:rPr>
                <w:rFonts w:hint="eastAsia" w:cs="Times New Roman"/>
                <w:snapToGrid w:val="0"/>
                <w:color w:val="auto"/>
                <w:sz w:val="21"/>
                <w:szCs w:val="21"/>
                <w:highlight w:val="none"/>
                <w:lang w:eastAsia="zh-CN"/>
              </w:rPr>
              <w:t>按硅钢牌号及规格产量分配见表</w:t>
            </w:r>
            <w:r>
              <w:rPr>
                <w:rFonts w:hint="eastAsia" w:cs="Times New Roman"/>
                <w:snapToGrid w:val="0"/>
                <w:color w:val="auto"/>
                <w:sz w:val="21"/>
                <w:szCs w:val="21"/>
                <w:highlight w:val="none"/>
                <w:lang w:val="en-US" w:eastAsia="zh-CN"/>
              </w:rPr>
              <w:t>2-3</w:t>
            </w:r>
            <w:r>
              <w:rPr>
                <w:rFonts w:hint="eastAsia" w:cs="Times New Roman"/>
                <w:snapToGrid w:val="0"/>
                <w:color w:val="auto"/>
                <w:sz w:val="21"/>
                <w:szCs w:val="21"/>
                <w:highlight w:val="none"/>
                <w:lang w:eastAsia="zh-CN"/>
              </w:rPr>
              <w:t>。</w:t>
            </w:r>
          </w:p>
          <w:p w14:paraId="1758339A">
            <w:pPr>
              <w:spacing w:line="360" w:lineRule="auto"/>
              <w:jc w:val="center"/>
              <w:rPr>
                <w:rFonts w:hint="default" w:ascii="Times New Roman" w:hAnsi="Times New Roman" w:eastAsia="黑体" w:cs="Times New Roman"/>
                <w:bCs/>
                <w:color w:val="auto"/>
                <w:spacing w:val="2"/>
                <w:sz w:val="21"/>
                <w:szCs w:val="21"/>
                <w:lang w:val="en-US" w:eastAsia="zh-CN"/>
              </w:rPr>
            </w:pPr>
            <w:r>
              <w:rPr>
                <w:rFonts w:ascii="Times New Roman" w:hAnsi="Times New Roman" w:eastAsia="黑体" w:cs="Times New Roman"/>
                <w:bCs/>
                <w:color w:val="auto"/>
                <w:spacing w:val="2"/>
                <w:sz w:val="21"/>
                <w:szCs w:val="21"/>
                <w:lang w:eastAsia="zh-CN"/>
              </w:rPr>
              <w:t>表</w:t>
            </w:r>
            <w:r>
              <w:rPr>
                <w:rFonts w:hint="eastAsia" w:ascii="Times New Roman" w:hAnsi="Times New Roman" w:eastAsia="黑体" w:cs="Times New Roman"/>
                <w:bCs/>
                <w:color w:val="auto"/>
                <w:spacing w:val="2"/>
                <w:sz w:val="21"/>
                <w:szCs w:val="21"/>
                <w:lang w:val="en-US" w:eastAsia="zh-CN"/>
              </w:rPr>
              <w:t>2-</w:t>
            </w:r>
            <w:r>
              <w:rPr>
                <w:rFonts w:hint="eastAsia" w:eastAsia="黑体" w:cs="Times New Roman"/>
                <w:bCs/>
                <w:color w:val="auto"/>
                <w:spacing w:val="2"/>
                <w:sz w:val="21"/>
                <w:szCs w:val="21"/>
                <w:lang w:val="en-US" w:eastAsia="zh-CN"/>
              </w:rPr>
              <w:t>2 按产品厚度和宽度分配高牌号Hi-B钢产品</w:t>
            </w:r>
          </w:p>
          <w:tbl>
            <w:tblPr>
              <w:tblStyle w:val="33"/>
              <w:tblW w:w="4995"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397"/>
              <w:gridCol w:w="533"/>
              <w:gridCol w:w="869"/>
              <w:gridCol w:w="444"/>
              <w:gridCol w:w="967"/>
              <w:gridCol w:w="437"/>
              <w:gridCol w:w="967"/>
              <w:gridCol w:w="476"/>
              <w:gridCol w:w="1658"/>
              <w:gridCol w:w="1661"/>
            </w:tblGrid>
            <w:tr w14:paraId="2F81C6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236" w:type="pct"/>
                  <w:vMerge w:val="restart"/>
                  <w:tcBorders>
                    <w:tl2br w:val="nil"/>
                    <w:tr2bl w:val="nil"/>
                  </w:tcBorders>
                  <w:noWrap w:val="0"/>
                  <w:vAlign w:val="center"/>
                </w:tcPr>
                <w:p w14:paraId="0CF20C73">
                  <w:pPr>
                    <w:jc w:val="center"/>
                    <w:textAlignment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钢种</w:t>
                  </w:r>
                </w:p>
              </w:tc>
              <w:tc>
                <w:tcPr>
                  <w:tcW w:w="317" w:type="pct"/>
                  <w:vMerge w:val="restart"/>
                  <w:tcBorders>
                    <w:tl2br w:val="nil"/>
                    <w:tr2bl w:val="nil"/>
                  </w:tcBorders>
                  <w:noWrap w:val="0"/>
                  <w:vAlign w:val="center"/>
                </w:tcPr>
                <w:p w14:paraId="768AC199">
                  <w:pPr>
                    <w:jc w:val="center"/>
                    <w:textAlignment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厚度</w:t>
                  </w:r>
                </w:p>
              </w:tc>
              <w:tc>
                <w:tcPr>
                  <w:tcW w:w="2473" w:type="pct"/>
                  <w:gridSpan w:val="6"/>
                  <w:tcBorders>
                    <w:tl2br w:val="nil"/>
                    <w:tr2bl w:val="nil"/>
                  </w:tcBorders>
                  <w:noWrap w:val="0"/>
                  <w:vAlign w:val="center"/>
                </w:tcPr>
                <w:p w14:paraId="39889ED0">
                  <w:pPr>
                    <w:jc w:val="center"/>
                    <w:textAlignment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宽度（mm）</w:t>
                  </w:r>
                </w:p>
              </w:tc>
              <w:tc>
                <w:tcPr>
                  <w:tcW w:w="1973" w:type="pct"/>
                  <w:gridSpan w:val="2"/>
                  <w:vMerge w:val="restart"/>
                  <w:tcBorders>
                    <w:tl2br w:val="nil"/>
                    <w:tr2bl w:val="nil"/>
                  </w:tcBorders>
                  <w:noWrap w:val="0"/>
                  <w:vAlign w:val="center"/>
                </w:tcPr>
                <w:p w14:paraId="13F32E4A">
                  <w:pPr>
                    <w:jc w:val="center"/>
                    <w:textAlignment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合计</w:t>
                  </w:r>
                </w:p>
              </w:tc>
            </w:tr>
            <w:tr w14:paraId="6419B6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236" w:type="pct"/>
                  <w:vMerge w:val="continue"/>
                  <w:tcBorders>
                    <w:tl2br w:val="nil"/>
                    <w:tr2bl w:val="nil"/>
                  </w:tcBorders>
                  <w:noWrap w:val="0"/>
                  <w:vAlign w:val="center"/>
                </w:tcPr>
                <w:p w14:paraId="166D9C20">
                  <w:pPr>
                    <w:jc w:val="center"/>
                    <w:textAlignment w:val="center"/>
                    <w:rPr>
                      <w:rFonts w:hint="default" w:ascii="Times New Roman" w:hAnsi="Times New Roman" w:cs="Times New Roman"/>
                      <w:color w:val="auto"/>
                      <w:sz w:val="18"/>
                      <w:szCs w:val="18"/>
                      <w:highlight w:val="none"/>
                    </w:rPr>
                  </w:pPr>
                </w:p>
              </w:tc>
              <w:tc>
                <w:tcPr>
                  <w:tcW w:w="317" w:type="pct"/>
                  <w:vMerge w:val="continue"/>
                  <w:tcBorders>
                    <w:tl2br w:val="nil"/>
                    <w:tr2bl w:val="nil"/>
                  </w:tcBorders>
                  <w:noWrap w:val="0"/>
                  <w:vAlign w:val="center"/>
                </w:tcPr>
                <w:p w14:paraId="07CA52DD">
                  <w:pPr>
                    <w:jc w:val="center"/>
                    <w:textAlignment w:val="center"/>
                    <w:rPr>
                      <w:rFonts w:hint="eastAsia" w:ascii="Times New Roman" w:hAnsi="Times New Roman" w:eastAsia="宋体" w:cs="Times New Roman"/>
                      <w:color w:val="auto"/>
                      <w:sz w:val="18"/>
                      <w:szCs w:val="18"/>
                      <w:highlight w:val="none"/>
                      <w:lang w:val="en-US" w:eastAsia="zh-CN"/>
                    </w:rPr>
                  </w:pPr>
                </w:p>
              </w:tc>
              <w:tc>
                <w:tcPr>
                  <w:tcW w:w="781" w:type="pct"/>
                  <w:gridSpan w:val="2"/>
                  <w:tcBorders>
                    <w:tl2br w:val="nil"/>
                    <w:tr2bl w:val="nil"/>
                  </w:tcBorders>
                  <w:noWrap w:val="0"/>
                  <w:vAlign w:val="center"/>
                </w:tcPr>
                <w:p w14:paraId="00006D2A">
                  <w:pPr>
                    <w:jc w:val="center"/>
                    <w:textAlignment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900-1000</w:t>
                  </w:r>
                </w:p>
              </w:tc>
              <w:tc>
                <w:tcPr>
                  <w:tcW w:w="835" w:type="pct"/>
                  <w:gridSpan w:val="2"/>
                  <w:tcBorders>
                    <w:tl2br w:val="nil"/>
                    <w:tr2bl w:val="nil"/>
                  </w:tcBorders>
                  <w:noWrap w:val="0"/>
                  <w:vAlign w:val="center"/>
                </w:tcPr>
                <w:p w14:paraId="7EB54374">
                  <w:pPr>
                    <w:jc w:val="center"/>
                    <w:textAlignment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1000-1150</w:t>
                  </w:r>
                </w:p>
              </w:tc>
              <w:tc>
                <w:tcPr>
                  <w:tcW w:w="855" w:type="pct"/>
                  <w:gridSpan w:val="2"/>
                  <w:tcBorders>
                    <w:tl2br w:val="nil"/>
                    <w:tr2bl w:val="nil"/>
                  </w:tcBorders>
                  <w:noWrap w:val="0"/>
                  <w:vAlign w:val="center"/>
                </w:tcPr>
                <w:p w14:paraId="1B266344">
                  <w:pPr>
                    <w:jc w:val="center"/>
                    <w:textAlignment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1150-1250</w:t>
                  </w:r>
                </w:p>
              </w:tc>
              <w:tc>
                <w:tcPr>
                  <w:tcW w:w="1973" w:type="pct"/>
                  <w:gridSpan w:val="2"/>
                  <w:vMerge w:val="continue"/>
                  <w:tcBorders>
                    <w:tl2br w:val="nil"/>
                    <w:tr2bl w:val="nil"/>
                  </w:tcBorders>
                  <w:noWrap w:val="0"/>
                  <w:vAlign w:val="center"/>
                </w:tcPr>
                <w:p w14:paraId="05C31F31">
                  <w:pPr>
                    <w:textAlignment w:val="center"/>
                    <w:rPr>
                      <w:rFonts w:hint="default" w:ascii="Times New Roman" w:hAnsi="Times New Roman" w:cs="Times New Roman"/>
                      <w:color w:val="auto"/>
                      <w:sz w:val="18"/>
                      <w:szCs w:val="18"/>
                      <w:highlight w:val="none"/>
                    </w:rPr>
                  </w:pPr>
                </w:p>
              </w:tc>
            </w:tr>
            <w:tr w14:paraId="5A4187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236" w:type="pct"/>
                  <w:vMerge w:val="continue"/>
                  <w:tcBorders>
                    <w:tl2br w:val="nil"/>
                    <w:tr2bl w:val="nil"/>
                  </w:tcBorders>
                  <w:noWrap w:val="0"/>
                  <w:vAlign w:val="center"/>
                </w:tcPr>
                <w:p w14:paraId="161A16FB">
                  <w:pPr>
                    <w:jc w:val="center"/>
                    <w:textAlignment w:val="center"/>
                    <w:rPr>
                      <w:rFonts w:hint="default" w:ascii="Times New Roman" w:hAnsi="Times New Roman" w:eastAsia="宋体" w:cs="Times New Roman"/>
                      <w:color w:val="auto"/>
                      <w:sz w:val="18"/>
                      <w:szCs w:val="18"/>
                      <w:highlight w:val="none"/>
                      <w:lang w:val="en-US" w:eastAsia="zh-CN"/>
                    </w:rPr>
                  </w:pPr>
                </w:p>
              </w:tc>
              <w:tc>
                <w:tcPr>
                  <w:tcW w:w="317" w:type="pct"/>
                  <w:tcBorders>
                    <w:tl2br w:val="nil"/>
                    <w:tr2bl w:val="nil"/>
                  </w:tcBorders>
                  <w:noWrap w:val="0"/>
                  <w:vAlign w:val="center"/>
                </w:tcPr>
                <w:p w14:paraId="7AC36AF4">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mm</w:t>
                  </w:r>
                </w:p>
              </w:tc>
              <w:tc>
                <w:tcPr>
                  <w:tcW w:w="517" w:type="pct"/>
                  <w:tcBorders>
                    <w:tl2br w:val="nil"/>
                    <w:tr2bl w:val="nil"/>
                  </w:tcBorders>
                  <w:noWrap w:val="0"/>
                  <w:vAlign w:val="center"/>
                </w:tcPr>
                <w:p w14:paraId="1D9E1E1E">
                  <w:pPr>
                    <w:jc w:val="center"/>
                    <w:textAlignment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t</w:t>
                  </w:r>
                </w:p>
              </w:tc>
              <w:tc>
                <w:tcPr>
                  <w:tcW w:w="263" w:type="pct"/>
                  <w:tcBorders>
                    <w:tl2br w:val="nil"/>
                    <w:tr2bl w:val="nil"/>
                  </w:tcBorders>
                  <w:noWrap w:val="0"/>
                  <w:vAlign w:val="center"/>
                </w:tcPr>
                <w:p w14:paraId="4901AB74">
                  <w:pPr>
                    <w:jc w:val="center"/>
                    <w:textAlignment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575" w:type="pct"/>
                  <w:tcBorders>
                    <w:tl2br w:val="nil"/>
                    <w:tr2bl w:val="nil"/>
                  </w:tcBorders>
                  <w:shd w:val="clear" w:color="auto" w:fill="auto"/>
                  <w:noWrap w:val="0"/>
                  <w:vAlign w:val="center"/>
                </w:tcPr>
                <w:p w14:paraId="362FF0BD">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t</w:t>
                  </w:r>
                </w:p>
              </w:tc>
              <w:tc>
                <w:tcPr>
                  <w:tcW w:w="259" w:type="pct"/>
                  <w:tcBorders>
                    <w:tl2br w:val="nil"/>
                    <w:tr2bl w:val="nil"/>
                  </w:tcBorders>
                  <w:shd w:val="clear" w:color="auto" w:fill="auto"/>
                  <w:noWrap w:val="0"/>
                  <w:vAlign w:val="center"/>
                </w:tcPr>
                <w:p w14:paraId="69411918">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w:t>
                  </w:r>
                </w:p>
              </w:tc>
              <w:tc>
                <w:tcPr>
                  <w:tcW w:w="575" w:type="pct"/>
                  <w:tcBorders>
                    <w:tl2br w:val="nil"/>
                    <w:tr2bl w:val="nil"/>
                  </w:tcBorders>
                  <w:shd w:val="clear" w:color="auto" w:fill="auto"/>
                  <w:noWrap w:val="0"/>
                  <w:vAlign w:val="center"/>
                </w:tcPr>
                <w:p w14:paraId="04CCACE4">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t</w:t>
                  </w:r>
                </w:p>
              </w:tc>
              <w:tc>
                <w:tcPr>
                  <w:tcW w:w="280" w:type="pct"/>
                  <w:tcBorders>
                    <w:tl2br w:val="nil"/>
                    <w:tr2bl w:val="nil"/>
                  </w:tcBorders>
                  <w:shd w:val="clear" w:color="auto" w:fill="auto"/>
                  <w:noWrap w:val="0"/>
                  <w:vAlign w:val="center"/>
                </w:tcPr>
                <w:p w14:paraId="3726869F">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w:t>
                  </w:r>
                </w:p>
              </w:tc>
              <w:tc>
                <w:tcPr>
                  <w:tcW w:w="986" w:type="pct"/>
                  <w:tcBorders>
                    <w:tl2br w:val="nil"/>
                    <w:tr2bl w:val="nil"/>
                  </w:tcBorders>
                  <w:shd w:val="clear" w:color="auto" w:fill="auto"/>
                  <w:noWrap w:val="0"/>
                  <w:vAlign w:val="center"/>
                </w:tcPr>
                <w:p w14:paraId="11CD587F">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t</w:t>
                  </w:r>
                </w:p>
              </w:tc>
              <w:tc>
                <w:tcPr>
                  <w:tcW w:w="987" w:type="pct"/>
                  <w:tcBorders>
                    <w:tl2br w:val="nil"/>
                    <w:tr2bl w:val="nil"/>
                  </w:tcBorders>
                  <w:shd w:val="clear" w:color="auto" w:fill="auto"/>
                  <w:noWrap w:val="0"/>
                  <w:vAlign w:val="center"/>
                </w:tcPr>
                <w:p w14:paraId="0E281F70">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w:t>
                  </w:r>
                </w:p>
              </w:tc>
            </w:tr>
            <w:tr w14:paraId="2F1E15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236" w:type="pct"/>
                  <w:vMerge w:val="restart"/>
                  <w:tcBorders>
                    <w:tl2br w:val="nil"/>
                    <w:tr2bl w:val="nil"/>
                  </w:tcBorders>
                  <w:noWrap w:val="0"/>
                  <w:vAlign w:val="center"/>
                </w:tcPr>
                <w:p w14:paraId="070A4A8B">
                  <w:pPr>
                    <w:jc w:val="center"/>
                    <w:textAlignment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取向硅钢</w:t>
                  </w:r>
                </w:p>
              </w:tc>
              <w:tc>
                <w:tcPr>
                  <w:tcW w:w="317" w:type="pct"/>
                  <w:tcBorders>
                    <w:tl2br w:val="nil"/>
                    <w:tr2bl w:val="nil"/>
                  </w:tcBorders>
                  <w:shd w:val="clear" w:color="auto" w:fill="auto"/>
                  <w:noWrap w:val="0"/>
                  <w:vAlign w:val="center"/>
                </w:tcPr>
                <w:p w14:paraId="5000A3CC">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0.18</w:t>
                  </w:r>
                </w:p>
              </w:tc>
              <w:tc>
                <w:tcPr>
                  <w:tcW w:w="517" w:type="pct"/>
                  <w:tcBorders>
                    <w:tl2br w:val="nil"/>
                    <w:tr2bl w:val="nil"/>
                  </w:tcBorders>
                  <w:noWrap w:val="0"/>
                  <w:vAlign w:val="center"/>
                </w:tcPr>
                <w:p w14:paraId="29C3C3CA">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2500</w:t>
                  </w:r>
                </w:p>
              </w:tc>
              <w:tc>
                <w:tcPr>
                  <w:tcW w:w="263" w:type="pct"/>
                  <w:tcBorders>
                    <w:tl2br w:val="nil"/>
                    <w:tr2bl w:val="nil"/>
                  </w:tcBorders>
                  <w:noWrap w:val="0"/>
                  <w:vAlign w:val="center"/>
                </w:tcPr>
                <w:p w14:paraId="68D4F75A">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2.5</w:t>
                  </w:r>
                </w:p>
              </w:tc>
              <w:tc>
                <w:tcPr>
                  <w:tcW w:w="575" w:type="pct"/>
                  <w:tcBorders>
                    <w:tl2br w:val="nil"/>
                    <w:tr2bl w:val="nil"/>
                  </w:tcBorders>
                  <w:noWrap w:val="0"/>
                  <w:vAlign w:val="center"/>
                </w:tcPr>
                <w:p w14:paraId="13BEC455">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5000</w:t>
                  </w:r>
                </w:p>
              </w:tc>
              <w:tc>
                <w:tcPr>
                  <w:tcW w:w="259" w:type="pct"/>
                  <w:tcBorders>
                    <w:tl2br w:val="nil"/>
                    <w:tr2bl w:val="nil"/>
                  </w:tcBorders>
                  <w:noWrap w:val="0"/>
                  <w:vAlign w:val="center"/>
                </w:tcPr>
                <w:p w14:paraId="7F2BA12E">
                  <w:pPr>
                    <w:jc w:val="center"/>
                    <w:textAlignment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w:t>
                  </w:r>
                </w:p>
              </w:tc>
              <w:tc>
                <w:tcPr>
                  <w:tcW w:w="575" w:type="pct"/>
                  <w:tcBorders>
                    <w:tl2br w:val="nil"/>
                    <w:tr2bl w:val="nil"/>
                  </w:tcBorders>
                  <w:noWrap w:val="0"/>
                  <w:vAlign w:val="center"/>
                </w:tcPr>
                <w:p w14:paraId="35823D9B">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2000</w:t>
                  </w:r>
                </w:p>
              </w:tc>
              <w:tc>
                <w:tcPr>
                  <w:tcW w:w="280" w:type="pct"/>
                  <w:tcBorders>
                    <w:tl2br w:val="nil"/>
                    <w:tr2bl w:val="nil"/>
                  </w:tcBorders>
                  <w:noWrap w:val="0"/>
                  <w:vAlign w:val="center"/>
                </w:tcPr>
                <w:p w14:paraId="234B9350">
                  <w:pPr>
                    <w:jc w:val="center"/>
                    <w:textAlignment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986" w:type="pct"/>
                  <w:tcBorders>
                    <w:tl2br w:val="nil"/>
                    <w:tr2bl w:val="nil"/>
                  </w:tcBorders>
                  <w:noWrap w:val="0"/>
                  <w:vAlign w:val="center"/>
                </w:tcPr>
                <w:p w14:paraId="3C659394">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9500</w:t>
                  </w:r>
                </w:p>
              </w:tc>
              <w:tc>
                <w:tcPr>
                  <w:tcW w:w="987" w:type="pct"/>
                  <w:tcBorders>
                    <w:tl2br w:val="nil"/>
                    <w:tr2bl w:val="nil"/>
                  </w:tcBorders>
                  <w:noWrap w:val="0"/>
                  <w:vAlign w:val="center"/>
                </w:tcPr>
                <w:p w14:paraId="45428D28">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9.5</w:t>
                  </w:r>
                </w:p>
              </w:tc>
            </w:tr>
            <w:tr w14:paraId="735420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236" w:type="pct"/>
                  <w:vMerge w:val="continue"/>
                  <w:tcBorders>
                    <w:tl2br w:val="nil"/>
                    <w:tr2bl w:val="nil"/>
                  </w:tcBorders>
                  <w:noWrap w:val="0"/>
                  <w:vAlign w:val="center"/>
                </w:tcPr>
                <w:p w14:paraId="101E8CB9">
                  <w:pPr>
                    <w:jc w:val="center"/>
                    <w:textAlignment w:val="center"/>
                    <w:rPr>
                      <w:rFonts w:hint="default" w:ascii="Times New Roman" w:hAnsi="Times New Roman" w:cs="Times New Roman"/>
                      <w:color w:val="auto"/>
                      <w:sz w:val="18"/>
                      <w:szCs w:val="18"/>
                      <w:highlight w:val="none"/>
                    </w:rPr>
                  </w:pPr>
                </w:p>
              </w:tc>
              <w:tc>
                <w:tcPr>
                  <w:tcW w:w="317" w:type="pct"/>
                  <w:tcBorders>
                    <w:tl2br w:val="nil"/>
                    <w:tr2bl w:val="nil"/>
                  </w:tcBorders>
                  <w:shd w:val="clear" w:color="auto" w:fill="auto"/>
                  <w:noWrap w:val="0"/>
                  <w:vAlign w:val="center"/>
                </w:tcPr>
                <w:p w14:paraId="5EA279F3">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0.20</w:t>
                  </w:r>
                </w:p>
              </w:tc>
              <w:tc>
                <w:tcPr>
                  <w:tcW w:w="517" w:type="pct"/>
                  <w:tcBorders>
                    <w:tl2br w:val="nil"/>
                    <w:tr2bl w:val="nil"/>
                  </w:tcBorders>
                  <w:noWrap w:val="0"/>
                  <w:vAlign w:val="center"/>
                </w:tcPr>
                <w:p w14:paraId="76FD191E">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5000</w:t>
                  </w:r>
                </w:p>
              </w:tc>
              <w:tc>
                <w:tcPr>
                  <w:tcW w:w="263" w:type="pct"/>
                  <w:tcBorders>
                    <w:tl2br w:val="nil"/>
                    <w:tr2bl w:val="nil"/>
                  </w:tcBorders>
                  <w:noWrap w:val="0"/>
                  <w:vAlign w:val="center"/>
                </w:tcPr>
                <w:p w14:paraId="237A1FC4">
                  <w:pPr>
                    <w:jc w:val="center"/>
                    <w:textAlignment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w:t>
                  </w:r>
                </w:p>
              </w:tc>
              <w:tc>
                <w:tcPr>
                  <w:tcW w:w="575" w:type="pct"/>
                  <w:tcBorders>
                    <w:tl2br w:val="nil"/>
                    <w:tr2bl w:val="nil"/>
                  </w:tcBorders>
                  <w:noWrap w:val="0"/>
                  <w:vAlign w:val="center"/>
                </w:tcPr>
                <w:p w14:paraId="358B82AC">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25000</w:t>
                  </w:r>
                </w:p>
              </w:tc>
              <w:tc>
                <w:tcPr>
                  <w:tcW w:w="259" w:type="pct"/>
                  <w:tcBorders>
                    <w:tl2br w:val="nil"/>
                    <w:tr2bl w:val="nil"/>
                  </w:tcBorders>
                  <w:noWrap w:val="0"/>
                  <w:vAlign w:val="center"/>
                </w:tcPr>
                <w:p w14:paraId="49162C4A">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25</w:t>
                  </w:r>
                </w:p>
              </w:tc>
              <w:tc>
                <w:tcPr>
                  <w:tcW w:w="575" w:type="pct"/>
                  <w:tcBorders>
                    <w:tl2br w:val="nil"/>
                    <w:tr2bl w:val="nil"/>
                  </w:tcBorders>
                  <w:noWrap w:val="0"/>
                  <w:vAlign w:val="center"/>
                </w:tcPr>
                <w:p w14:paraId="0E3FBEA5">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8000</w:t>
                  </w:r>
                </w:p>
              </w:tc>
              <w:tc>
                <w:tcPr>
                  <w:tcW w:w="280" w:type="pct"/>
                  <w:tcBorders>
                    <w:tl2br w:val="nil"/>
                    <w:tr2bl w:val="nil"/>
                  </w:tcBorders>
                  <w:noWrap w:val="0"/>
                  <w:vAlign w:val="center"/>
                </w:tcPr>
                <w:p w14:paraId="1D924F59">
                  <w:pPr>
                    <w:jc w:val="center"/>
                    <w:textAlignment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w:t>
                  </w:r>
                </w:p>
              </w:tc>
              <w:tc>
                <w:tcPr>
                  <w:tcW w:w="986" w:type="pct"/>
                  <w:tcBorders>
                    <w:tl2br w:val="nil"/>
                    <w:tr2bl w:val="nil"/>
                  </w:tcBorders>
                  <w:noWrap w:val="0"/>
                  <w:vAlign w:val="center"/>
                </w:tcPr>
                <w:p w14:paraId="16D102B2">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38000</w:t>
                  </w:r>
                </w:p>
              </w:tc>
              <w:tc>
                <w:tcPr>
                  <w:tcW w:w="987" w:type="pct"/>
                  <w:tcBorders>
                    <w:tl2br w:val="nil"/>
                    <w:tr2bl w:val="nil"/>
                  </w:tcBorders>
                  <w:noWrap w:val="0"/>
                  <w:vAlign w:val="center"/>
                </w:tcPr>
                <w:p w14:paraId="58E428EF">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38</w:t>
                  </w:r>
                </w:p>
              </w:tc>
            </w:tr>
            <w:tr w14:paraId="056F0F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236" w:type="pct"/>
                  <w:vMerge w:val="continue"/>
                  <w:tcBorders>
                    <w:tl2br w:val="nil"/>
                    <w:tr2bl w:val="nil"/>
                  </w:tcBorders>
                  <w:noWrap w:val="0"/>
                  <w:vAlign w:val="center"/>
                </w:tcPr>
                <w:p w14:paraId="6513FF2F">
                  <w:pPr>
                    <w:jc w:val="center"/>
                    <w:textAlignment w:val="center"/>
                    <w:rPr>
                      <w:rFonts w:hint="default" w:ascii="Times New Roman" w:hAnsi="Times New Roman" w:cs="Times New Roman"/>
                      <w:color w:val="auto"/>
                      <w:sz w:val="18"/>
                      <w:szCs w:val="18"/>
                      <w:highlight w:val="none"/>
                    </w:rPr>
                  </w:pPr>
                </w:p>
              </w:tc>
              <w:tc>
                <w:tcPr>
                  <w:tcW w:w="317" w:type="pct"/>
                  <w:tcBorders>
                    <w:tl2br w:val="nil"/>
                    <w:tr2bl w:val="nil"/>
                  </w:tcBorders>
                  <w:shd w:val="clear" w:color="auto" w:fill="auto"/>
                  <w:noWrap w:val="0"/>
                  <w:vAlign w:val="center"/>
                </w:tcPr>
                <w:p w14:paraId="160B7948">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0.23</w:t>
                  </w:r>
                </w:p>
              </w:tc>
              <w:tc>
                <w:tcPr>
                  <w:tcW w:w="517" w:type="pct"/>
                  <w:tcBorders>
                    <w:tl2br w:val="nil"/>
                    <w:tr2bl w:val="nil"/>
                  </w:tcBorders>
                  <w:noWrap w:val="0"/>
                  <w:vAlign w:val="center"/>
                </w:tcPr>
                <w:p w14:paraId="3F817795">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5000</w:t>
                  </w:r>
                </w:p>
              </w:tc>
              <w:tc>
                <w:tcPr>
                  <w:tcW w:w="263" w:type="pct"/>
                  <w:tcBorders>
                    <w:tl2br w:val="nil"/>
                    <w:tr2bl w:val="nil"/>
                  </w:tcBorders>
                  <w:noWrap w:val="0"/>
                  <w:vAlign w:val="center"/>
                </w:tcPr>
                <w:p w14:paraId="21BBE506">
                  <w:pPr>
                    <w:jc w:val="center"/>
                    <w:textAlignment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w:t>
                  </w:r>
                </w:p>
              </w:tc>
              <w:tc>
                <w:tcPr>
                  <w:tcW w:w="575" w:type="pct"/>
                  <w:tcBorders>
                    <w:tl2br w:val="nil"/>
                    <w:tr2bl w:val="nil"/>
                  </w:tcBorders>
                  <w:noWrap w:val="0"/>
                  <w:vAlign w:val="center"/>
                </w:tcPr>
                <w:p w14:paraId="0B857E25">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28000</w:t>
                  </w:r>
                </w:p>
              </w:tc>
              <w:tc>
                <w:tcPr>
                  <w:tcW w:w="259" w:type="pct"/>
                  <w:tcBorders>
                    <w:tl2br w:val="nil"/>
                    <w:tr2bl w:val="nil"/>
                  </w:tcBorders>
                  <w:noWrap w:val="0"/>
                  <w:vAlign w:val="center"/>
                </w:tcPr>
                <w:p w14:paraId="0498F95A">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28</w:t>
                  </w:r>
                </w:p>
              </w:tc>
              <w:tc>
                <w:tcPr>
                  <w:tcW w:w="575" w:type="pct"/>
                  <w:tcBorders>
                    <w:tl2br w:val="nil"/>
                    <w:tr2bl w:val="nil"/>
                  </w:tcBorders>
                  <w:noWrap w:val="0"/>
                  <w:vAlign w:val="center"/>
                </w:tcPr>
                <w:p w14:paraId="0710C36B">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8000</w:t>
                  </w:r>
                </w:p>
              </w:tc>
              <w:tc>
                <w:tcPr>
                  <w:tcW w:w="280" w:type="pct"/>
                  <w:tcBorders>
                    <w:tl2br w:val="nil"/>
                    <w:tr2bl w:val="nil"/>
                  </w:tcBorders>
                  <w:noWrap w:val="0"/>
                  <w:vAlign w:val="center"/>
                </w:tcPr>
                <w:p w14:paraId="315FD5CC">
                  <w:pPr>
                    <w:jc w:val="center"/>
                    <w:textAlignment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w:t>
                  </w:r>
                </w:p>
              </w:tc>
              <w:tc>
                <w:tcPr>
                  <w:tcW w:w="986" w:type="pct"/>
                  <w:tcBorders>
                    <w:tl2br w:val="nil"/>
                    <w:tr2bl w:val="nil"/>
                  </w:tcBorders>
                  <w:noWrap w:val="0"/>
                  <w:vAlign w:val="center"/>
                </w:tcPr>
                <w:p w14:paraId="2347D5F0">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41000</w:t>
                  </w:r>
                </w:p>
              </w:tc>
              <w:tc>
                <w:tcPr>
                  <w:tcW w:w="987" w:type="pct"/>
                  <w:tcBorders>
                    <w:tl2br w:val="nil"/>
                    <w:tr2bl w:val="nil"/>
                  </w:tcBorders>
                  <w:noWrap w:val="0"/>
                  <w:vAlign w:val="center"/>
                </w:tcPr>
                <w:p w14:paraId="4A4B616E">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41</w:t>
                  </w:r>
                </w:p>
              </w:tc>
            </w:tr>
            <w:tr w14:paraId="169EA1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236" w:type="pct"/>
                  <w:vMerge w:val="continue"/>
                  <w:tcBorders>
                    <w:tl2br w:val="nil"/>
                    <w:tr2bl w:val="nil"/>
                  </w:tcBorders>
                  <w:noWrap w:val="0"/>
                  <w:vAlign w:val="center"/>
                </w:tcPr>
                <w:p w14:paraId="33A12160">
                  <w:pPr>
                    <w:jc w:val="center"/>
                    <w:textAlignment w:val="center"/>
                    <w:rPr>
                      <w:rFonts w:hint="default" w:ascii="Times New Roman" w:hAnsi="Times New Roman" w:cs="Times New Roman"/>
                      <w:color w:val="auto"/>
                      <w:sz w:val="18"/>
                      <w:szCs w:val="18"/>
                      <w:highlight w:val="none"/>
                    </w:rPr>
                  </w:pPr>
                </w:p>
              </w:tc>
              <w:tc>
                <w:tcPr>
                  <w:tcW w:w="317" w:type="pct"/>
                  <w:tcBorders>
                    <w:tl2br w:val="nil"/>
                    <w:tr2bl w:val="nil"/>
                  </w:tcBorders>
                  <w:shd w:val="clear" w:color="auto" w:fill="auto"/>
                  <w:noWrap w:val="0"/>
                  <w:vAlign w:val="center"/>
                </w:tcPr>
                <w:p w14:paraId="62A715B9">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0.27</w:t>
                  </w:r>
                </w:p>
              </w:tc>
              <w:tc>
                <w:tcPr>
                  <w:tcW w:w="517" w:type="pct"/>
                  <w:tcBorders>
                    <w:tl2br w:val="nil"/>
                    <w:tr2bl w:val="nil"/>
                  </w:tcBorders>
                  <w:noWrap w:val="0"/>
                  <w:vAlign w:val="center"/>
                </w:tcPr>
                <w:p w14:paraId="20DCF277">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2500</w:t>
                  </w:r>
                </w:p>
              </w:tc>
              <w:tc>
                <w:tcPr>
                  <w:tcW w:w="263" w:type="pct"/>
                  <w:tcBorders>
                    <w:tl2br w:val="nil"/>
                    <w:tr2bl w:val="nil"/>
                  </w:tcBorders>
                  <w:noWrap w:val="0"/>
                  <w:vAlign w:val="center"/>
                </w:tcPr>
                <w:p w14:paraId="1FB519CC">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2.5</w:t>
                  </w:r>
                </w:p>
              </w:tc>
              <w:tc>
                <w:tcPr>
                  <w:tcW w:w="575" w:type="pct"/>
                  <w:tcBorders>
                    <w:tl2br w:val="nil"/>
                    <w:tr2bl w:val="nil"/>
                  </w:tcBorders>
                  <w:noWrap w:val="0"/>
                  <w:vAlign w:val="center"/>
                </w:tcPr>
                <w:p w14:paraId="6716771E">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4000</w:t>
                  </w:r>
                </w:p>
              </w:tc>
              <w:tc>
                <w:tcPr>
                  <w:tcW w:w="259" w:type="pct"/>
                  <w:tcBorders>
                    <w:tl2br w:val="nil"/>
                    <w:tr2bl w:val="nil"/>
                  </w:tcBorders>
                  <w:noWrap w:val="0"/>
                  <w:vAlign w:val="center"/>
                </w:tcPr>
                <w:p w14:paraId="238F91FF">
                  <w:pPr>
                    <w:jc w:val="center"/>
                    <w:textAlignment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w:t>
                  </w:r>
                </w:p>
              </w:tc>
              <w:tc>
                <w:tcPr>
                  <w:tcW w:w="575" w:type="pct"/>
                  <w:tcBorders>
                    <w:tl2br w:val="nil"/>
                    <w:tr2bl w:val="nil"/>
                  </w:tcBorders>
                  <w:noWrap w:val="0"/>
                  <w:vAlign w:val="center"/>
                </w:tcPr>
                <w:p w14:paraId="3E5ABC17">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5000</w:t>
                  </w:r>
                </w:p>
              </w:tc>
              <w:tc>
                <w:tcPr>
                  <w:tcW w:w="280" w:type="pct"/>
                  <w:tcBorders>
                    <w:tl2br w:val="nil"/>
                    <w:tr2bl w:val="nil"/>
                  </w:tcBorders>
                  <w:noWrap w:val="0"/>
                  <w:vAlign w:val="center"/>
                </w:tcPr>
                <w:p w14:paraId="33735697">
                  <w:pPr>
                    <w:jc w:val="center"/>
                    <w:textAlignment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w:t>
                  </w:r>
                </w:p>
              </w:tc>
              <w:tc>
                <w:tcPr>
                  <w:tcW w:w="986" w:type="pct"/>
                  <w:tcBorders>
                    <w:tl2br w:val="nil"/>
                    <w:tr2bl w:val="nil"/>
                  </w:tcBorders>
                  <w:noWrap w:val="0"/>
                  <w:vAlign w:val="center"/>
                </w:tcPr>
                <w:p w14:paraId="3D890E2D">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11500</w:t>
                  </w:r>
                </w:p>
              </w:tc>
              <w:tc>
                <w:tcPr>
                  <w:tcW w:w="987" w:type="pct"/>
                  <w:tcBorders>
                    <w:tl2br w:val="nil"/>
                    <w:tr2bl w:val="nil"/>
                  </w:tcBorders>
                  <w:noWrap w:val="0"/>
                  <w:vAlign w:val="center"/>
                </w:tcPr>
                <w:p w14:paraId="69B2E746">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11.5</w:t>
                  </w:r>
                </w:p>
              </w:tc>
            </w:tr>
            <w:tr w14:paraId="581CF9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553" w:type="pct"/>
                  <w:gridSpan w:val="2"/>
                  <w:tcBorders>
                    <w:tl2br w:val="nil"/>
                    <w:tr2bl w:val="nil"/>
                  </w:tcBorders>
                  <w:noWrap w:val="0"/>
                  <w:vAlign w:val="center"/>
                </w:tcPr>
                <w:p w14:paraId="39778BFB">
                  <w:pPr>
                    <w:jc w:val="center"/>
                    <w:textAlignment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合计</w:t>
                  </w:r>
                </w:p>
              </w:tc>
              <w:tc>
                <w:tcPr>
                  <w:tcW w:w="517" w:type="pct"/>
                  <w:tcBorders>
                    <w:tl2br w:val="nil"/>
                    <w:tr2bl w:val="nil"/>
                  </w:tcBorders>
                  <w:noWrap w:val="0"/>
                  <w:vAlign w:val="center"/>
                </w:tcPr>
                <w:p w14:paraId="39DFBD3B">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15000</w:t>
                  </w:r>
                </w:p>
              </w:tc>
              <w:tc>
                <w:tcPr>
                  <w:tcW w:w="263" w:type="pct"/>
                  <w:tcBorders>
                    <w:tl2br w:val="nil"/>
                    <w:tr2bl w:val="nil"/>
                  </w:tcBorders>
                  <w:noWrap w:val="0"/>
                  <w:vAlign w:val="center"/>
                </w:tcPr>
                <w:p w14:paraId="4DD77DE0">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575" w:type="pct"/>
                  <w:tcBorders>
                    <w:tl2br w:val="nil"/>
                    <w:tr2bl w:val="nil"/>
                  </w:tcBorders>
                  <w:noWrap w:val="0"/>
                  <w:vAlign w:val="center"/>
                </w:tcPr>
                <w:p w14:paraId="0249D8A1">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62000</w:t>
                  </w:r>
                </w:p>
              </w:tc>
              <w:tc>
                <w:tcPr>
                  <w:tcW w:w="259" w:type="pct"/>
                  <w:tcBorders>
                    <w:tl2br w:val="nil"/>
                    <w:tr2bl w:val="nil"/>
                  </w:tcBorders>
                  <w:noWrap w:val="0"/>
                  <w:vAlign w:val="center"/>
                </w:tcPr>
                <w:p w14:paraId="5D58FF24">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62</w:t>
                  </w:r>
                </w:p>
              </w:tc>
              <w:tc>
                <w:tcPr>
                  <w:tcW w:w="575" w:type="pct"/>
                  <w:tcBorders>
                    <w:tl2br w:val="nil"/>
                    <w:tr2bl w:val="nil"/>
                  </w:tcBorders>
                  <w:noWrap w:val="0"/>
                  <w:vAlign w:val="center"/>
                </w:tcPr>
                <w:p w14:paraId="77E0D112">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23000</w:t>
                  </w:r>
                </w:p>
              </w:tc>
              <w:tc>
                <w:tcPr>
                  <w:tcW w:w="280" w:type="pct"/>
                  <w:tcBorders>
                    <w:tl2br w:val="nil"/>
                    <w:tr2bl w:val="nil"/>
                  </w:tcBorders>
                  <w:noWrap w:val="0"/>
                  <w:vAlign w:val="center"/>
                </w:tcPr>
                <w:p w14:paraId="59E5F2E0">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23</w:t>
                  </w:r>
                </w:p>
              </w:tc>
              <w:tc>
                <w:tcPr>
                  <w:tcW w:w="986" w:type="pct"/>
                  <w:tcBorders>
                    <w:tl2br w:val="nil"/>
                    <w:tr2bl w:val="nil"/>
                  </w:tcBorders>
                  <w:noWrap w:val="0"/>
                  <w:vAlign w:val="center"/>
                </w:tcPr>
                <w:p w14:paraId="7763C222">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100000</w:t>
                  </w:r>
                </w:p>
              </w:tc>
              <w:tc>
                <w:tcPr>
                  <w:tcW w:w="987" w:type="pct"/>
                  <w:tcBorders>
                    <w:tl2br w:val="nil"/>
                    <w:tr2bl w:val="nil"/>
                  </w:tcBorders>
                  <w:noWrap w:val="0"/>
                  <w:vAlign w:val="center"/>
                </w:tcPr>
                <w:p w14:paraId="77DC8EF4">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100</w:t>
                  </w:r>
                </w:p>
              </w:tc>
            </w:tr>
          </w:tbl>
          <w:p w14:paraId="1866B22C">
            <w:pPr>
              <w:spacing w:line="360" w:lineRule="auto"/>
              <w:jc w:val="center"/>
              <w:rPr>
                <w:rFonts w:ascii="Times New Roman" w:hAnsi="Times New Roman" w:eastAsia="黑体" w:cs="Times New Roman"/>
                <w:bCs/>
                <w:color w:val="auto"/>
                <w:spacing w:val="2"/>
                <w:sz w:val="21"/>
                <w:szCs w:val="21"/>
                <w:lang w:eastAsia="zh-CN"/>
              </w:rPr>
            </w:pPr>
            <w:bookmarkStart w:id="3" w:name="_Toc8716"/>
          </w:p>
          <w:p w14:paraId="1A20B3B3">
            <w:pPr>
              <w:spacing w:line="360" w:lineRule="auto"/>
              <w:jc w:val="center"/>
              <w:rPr>
                <w:rFonts w:hint="default" w:ascii="Times New Roman" w:hAnsi="Times New Roman" w:eastAsia="黑体" w:cs="Times New Roman"/>
                <w:bCs/>
                <w:color w:val="auto"/>
                <w:spacing w:val="2"/>
                <w:sz w:val="21"/>
                <w:szCs w:val="21"/>
                <w:lang w:val="en-US" w:eastAsia="zh-CN"/>
              </w:rPr>
            </w:pPr>
            <w:r>
              <w:rPr>
                <w:rFonts w:ascii="Times New Roman" w:hAnsi="Times New Roman" w:eastAsia="黑体" w:cs="Times New Roman"/>
                <w:bCs/>
                <w:color w:val="auto"/>
                <w:spacing w:val="2"/>
                <w:sz w:val="21"/>
                <w:szCs w:val="21"/>
                <w:lang w:eastAsia="zh-CN"/>
              </w:rPr>
              <w:t>表</w:t>
            </w:r>
            <w:r>
              <w:rPr>
                <w:rFonts w:hint="eastAsia" w:eastAsia="黑体" w:cs="Times New Roman"/>
                <w:bCs/>
                <w:color w:val="auto"/>
                <w:spacing w:val="2"/>
                <w:sz w:val="21"/>
                <w:szCs w:val="21"/>
                <w:lang w:val="en-US" w:eastAsia="zh-CN"/>
              </w:rPr>
              <w:t>2-3按硅钢牌号及规格产品分配</w:t>
            </w:r>
          </w:p>
          <w:tbl>
            <w:tblPr>
              <w:tblStyle w:val="33"/>
              <w:tblW w:w="499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093"/>
              <w:gridCol w:w="1447"/>
              <w:gridCol w:w="1468"/>
              <w:gridCol w:w="1468"/>
              <w:gridCol w:w="1468"/>
              <w:gridCol w:w="1468"/>
            </w:tblGrid>
            <w:tr w14:paraId="37828F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650" w:type="pct"/>
                  <w:tcBorders>
                    <w:tl2br w:val="nil"/>
                    <w:tr2bl w:val="nil"/>
                  </w:tcBorders>
                  <w:noWrap w:val="0"/>
                  <w:vAlign w:val="center"/>
                </w:tcPr>
                <w:p w14:paraId="36CD81B6">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牌号</w:t>
                  </w:r>
                </w:p>
              </w:tc>
              <w:tc>
                <w:tcPr>
                  <w:tcW w:w="860" w:type="pct"/>
                  <w:tcBorders>
                    <w:tl2br w:val="nil"/>
                    <w:tr2bl w:val="nil"/>
                  </w:tcBorders>
                  <w:noWrap w:val="0"/>
                  <w:vAlign w:val="center"/>
                </w:tcPr>
                <w:p w14:paraId="544953DE">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等级</w:t>
                  </w:r>
                </w:p>
              </w:tc>
              <w:tc>
                <w:tcPr>
                  <w:tcW w:w="872" w:type="pct"/>
                  <w:tcBorders>
                    <w:tl2br w:val="nil"/>
                    <w:tr2bl w:val="nil"/>
                  </w:tcBorders>
                  <w:noWrap w:val="0"/>
                  <w:vAlign w:val="center"/>
                </w:tcPr>
                <w:p w14:paraId="130D4DDA">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产品厚度（mm）</w:t>
                  </w:r>
                </w:p>
              </w:tc>
              <w:tc>
                <w:tcPr>
                  <w:tcW w:w="872" w:type="pct"/>
                  <w:tcBorders>
                    <w:tl2br w:val="nil"/>
                    <w:tr2bl w:val="nil"/>
                  </w:tcBorders>
                  <w:noWrap w:val="0"/>
                  <w:vAlign w:val="center"/>
                </w:tcPr>
                <w:p w14:paraId="3880195E">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铁损（w/kg）</w:t>
                  </w:r>
                </w:p>
              </w:tc>
              <w:tc>
                <w:tcPr>
                  <w:tcW w:w="872" w:type="pct"/>
                  <w:tcBorders>
                    <w:tl2br w:val="nil"/>
                    <w:tr2bl w:val="nil"/>
                  </w:tcBorders>
                  <w:noWrap w:val="0"/>
                  <w:vAlign w:val="center"/>
                </w:tcPr>
                <w:p w14:paraId="21D4FCBF">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产品宽度（mm）</w:t>
                  </w:r>
                </w:p>
              </w:tc>
              <w:tc>
                <w:tcPr>
                  <w:tcW w:w="872" w:type="pct"/>
                  <w:tcBorders>
                    <w:tl2br w:val="nil"/>
                    <w:tr2bl w:val="nil"/>
                  </w:tcBorders>
                  <w:noWrap w:val="0"/>
                  <w:vAlign w:val="center"/>
                </w:tcPr>
                <w:p w14:paraId="71C242DA">
                  <w:pPr>
                    <w:jc w:val="center"/>
                    <w:textAlignment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产量</w:t>
                  </w:r>
                </w:p>
                <w:p w14:paraId="7407D202">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（万吨/年）</w:t>
                  </w:r>
                </w:p>
              </w:tc>
            </w:tr>
            <w:tr w14:paraId="25D074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650" w:type="pct"/>
                  <w:vMerge w:val="restart"/>
                  <w:tcBorders>
                    <w:tl2br w:val="nil"/>
                    <w:tr2bl w:val="nil"/>
                  </w:tcBorders>
                  <w:noWrap w:val="0"/>
                  <w:vAlign w:val="center"/>
                </w:tcPr>
                <w:p w14:paraId="57DE2E43">
                  <w:pPr>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18GO070</w:t>
                  </w:r>
                </w:p>
                <w:p w14:paraId="51872F4A">
                  <w:pPr>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20G0075</w:t>
                  </w:r>
                </w:p>
                <w:p w14:paraId="4A628A5E">
                  <w:pPr>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20G0080</w:t>
                  </w:r>
                </w:p>
                <w:p w14:paraId="556BCAC0">
                  <w:pPr>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23G0085</w:t>
                  </w:r>
                </w:p>
                <w:p w14:paraId="0AB108D9">
                  <w:pPr>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27G0095等</w:t>
                  </w:r>
                </w:p>
              </w:tc>
              <w:tc>
                <w:tcPr>
                  <w:tcW w:w="860" w:type="pct"/>
                  <w:vMerge w:val="restart"/>
                  <w:tcBorders>
                    <w:tl2br w:val="nil"/>
                    <w:tr2bl w:val="nil"/>
                  </w:tcBorders>
                  <w:shd w:val="clear" w:color="auto" w:fill="auto"/>
                  <w:noWrap w:val="0"/>
                  <w:vAlign w:val="center"/>
                </w:tcPr>
                <w:p w14:paraId="26E34297">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HiB</w:t>
                  </w:r>
                </w:p>
              </w:tc>
              <w:tc>
                <w:tcPr>
                  <w:tcW w:w="872" w:type="pct"/>
                  <w:tcBorders>
                    <w:tl2br w:val="nil"/>
                    <w:tr2bl w:val="nil"/>
                  </w:tcBorders>
                  <w:shd w:val="clear" w:color="auto" w:fill="auto"/>
                  <w:noWrap w:val="0"/>
                  <w:vAlign w:val="center"/>
                </w:tcPr>
                <w:p w14:paraId="38EE1FAF">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0.27</w:t>
                  </w:r>
                </w:p>
              </w:tc>
              <w:tc>
                <w:tcPr>
                  <w:tcW w:w="872" w:type="pct"/>
                  <w:vMerge w:val="restart"/>
                  <w:tcBorders>
                    <w:tl2br w:val="nil"/>
                    <w:tr2bl w:val="nil"/>
                  </w:tcBorders>
                  <w:shd w:val="clear" w:color="auto" w:fill="auto"/>
                  <w:noWrap w:val="0"/>
                  <w:vAlign w:val="center"/>
                </w:tcPr>
                <w:p w14:paraId="2C8157C3">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70-100</w:t>
                  </w:r>
                </w:p>
              </w:tc>
              <w:tc>
                <w:tcPr>
                  <w:tcW w:w="872" w:type="pct"/>
                  <w:vMerge w:val="restart"/>
                  <w:tcBorders>
                    <w:tl2br w:val="nil"/>
                    <w:tr2bl w:val="nil"/>
                  </w:tcBorders>
                  <w:shd w:val="clear" w:color="auto" w:fill="auto"/>
                  <w:noWrap w:val="0"/>
                  <w:vAlign w:val="center"/>
                </w:tcPr>
                <w:p w14:paraId="3A0E73B2">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900-1250</w:t>
                  </w:r>
                </w:p>
              </w:tc>
              <w:tc>
                <w:tcPr>
                  <w:tcW w:w="872" w:type="pct"/>
                  <w:vMerge w:val="restart"/>
                  <w:tcBorders>
                    <w:tl2br w:val="nil"/>
                    <w:tr2bl w:val="nil"/>
                  </w:tcBorders>
                  <w:shd w:val="clear" w:color="auto" w:fill="auto"/>
                  <w:noWrap w:val="0"/>
                  <w:vAlign w:val="center"/>
                </w:tcPr>
                <w:p w14:paraId="38ED347B">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10</w:t>
                  </w:r>
                </w:p>
              </w:tc>
            </w:tr>
            <w:tr w14:paraId="0604CF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650" w:type="pct"/>
                  <w:vMerge w:val="continue"/>
                  <w:tcBorders>
                    <w:tl2br w:val="nil"/>
                    <w:tr2bl w:val="nil"/>
                  </w:tcBorders>
                  <w:noWrap w:val="0"/>
                  <w:vAlign w:val="center"/>
                </w:tcPr>
                <w:p w14:paraId="0ED45036">
                  <w:pPr>
                    <w:jc w:val="center"/>
                    <w:textAlignment w:val="center"/>
                    <w:rPr>
                      <w:rFonts w:hint="default" w:ascii="Times New Roman" w:hAnsi="Times New Roman" w:cs="Times New Roman"/>
                      <w:color w:val="auto"/>
                      <w:sz w:val="18"/>
                      <w:szCs w:val="18"/>
                      <w:highlight w:val="none"/>
                    </w:rPr>
                  </w:pPr>
                </w:p>
              </w:tc>
              <w:tc>
                <w:tcPr>
                  <w:tcW w:w="860" w:type="pct"/>
                  <w:vMerge w:val="continue"/>
                  <w:tcBorders>
                    <w:tl2br w:val="nil"/>
                    <w:tr2bl w:val="nil"/>
                  </w:tcBorders>
                  <w:shd w:val="clear" w:color="auto" w:fill="auto"/>
                  <w:noWrap w:val="0"/>
                  <w:vAlign w:val="center"/>
                </w:tcPr>
                <w:p w14:paraId="02739F8B">
                  <w:pPr>
                    <w:jc w:val="center"/>
                    <w:textAlignment w:val="center"/>
                    <w:rPr>
                      <w:rFonts w:hint="default" w:ascii="Times New Roman" w:hAnsi="Times New Roman" w:eastAsia="宋体" w:cs="Times New Roman"/>
                      <w:color w:val="auto"/>
                      <w:kern w:val="2"/>
                      <w:sz w:val="18"/>
                      <w:szCs w:val="18"/>
                      <w:highlight w:val="none"/>
                      <w:lang w:val="en-US" w:eastAsia="zh-CN" w:bidi="ar-SA"/>
                    </w:rPr>
                  </w:pPr>
                </w:p>
              </w:tc>
              <w:tc>
                <w:tcPr>
                  <w:tcW w:w="872" w:type="pct"/>
                  <w:tcBorders>
                    <w:tl2br w:val="nil"/>
                    <w:tr2bl w:val="nil"/>
                  </w:tcBorders>
                  <w:shd w:val="clear" w:color="auto" w:fill="auto"/>
                  <w:noWrap w:val="0"/>
                  <w:vAlign w:val="center"/>
                </w:tcPr>
                <w:p w14:paraId="4162BF58">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0.23</w:t>
                  </w:r>
                </w:p>
              </w:tc>
              <w:tc>
                <w:tcPr>
                  <w:tcW w:w="872" w:type="pct"/>
                  <w:vMerge w:val="continue"/>
                  <w:tcBorders>
                    <w:tl2br w:val="nil"/>
                    <w:tr2bl w:val="nil"/>
                  </w:tcBorders>
                  <w:shd w:val="clear" w:color="auto" w:fill="auto"/>
                  <w:noWrap w:val="0"/>
                  <w:vAlign w:val="center"/>
                </w:tcPr>
                <w:p w14:paraId="5DFAFC0C">
                  <w:pPr>
                    <w:jc w:val="center"/>
                    <w:textAlignment w:val="center"/>
                    <w:rPr>
                      <w:rFonts w:hint="default" w:ascii="Times New Roman" w:hAnsi="Times New Roman" w:eastAsia="宋体" w:cs="Times New Roman"/>
                      <w:color w:val="auto"/>
                      <w:kern w:val="2"/>
                      <w:sz w:val="18"/>
                      <w:szCs w:val="18"/>
                      <w:highlight w:val="none"/>
                      <w:lang w:val="en-US" w:eastAsia="zh-CN" w:bidi="ar-SA"/>
                    </w:rPr>
                  </w:pPr>
                </w:p>
              </w:tc>
              <w:tc>
                <w:tcPr>
                  <w:tcW w:w="872" w:type="pct"/>
                  <w:vMerge w:val="continue"/>
                  <w:tcBorders>
                    <w:tl2br w:val="nil"/>
                    <w:tr2bl w:val="nil"/>
                  </w:tcBorders>
                  <w:shd w:val="clear" w:color="auto" w:fill="auto"/>
                  <w:noWrap w:val="0"/>
                  <w:vAlign w:val="center"/>
                </w:tcPr>
                <w:p w14:paraId="6D5102AE">
                  <w:pPr>
                    <w:jc w:val="center"/>
                    <w:textAlignment w:val="center"/>
                    <w:rPr>
                      <w:rFonts w:hint="default" w:ascii="Times New Roman" w:hAnsi="Times New Roman" w:eastAsia="宋体" w:cs="Times New Roman"/>
                      <w:color w:val="auto"/>
                      <w:kern w:val="2"/>
                      <w:sz w:val="18"/>
                      <w:szCs w:val="18"/>
                      <w:highlight w:val="none"/>
                      <w:lang w:val="en-US" w:eastAsia="zh-CN" w:bidi="ar-SA"/>
                    </w:rPr>
                  </w:pPr>
                </w:p>
              </w:tc>
              <w:tc>
                <w:tcPr>
                  <w:tcW w:w="872" w:type="pct"/>
                  <w:vMerge w:val="continue"/>
                  <w:tcBorders>
                    <w:tl2br w:val="nil"/>
                    <w:tr2bl w:val="nil"/>
                  </w:tcBorders>
                  <w:shd w:val="clear" w:color="auto" w:fill="auto"/>
                  <w:noWrap w:val="0"/>
                  <w:vAlign w:val="center"/>
                </w:tcPr>
                <w:p w14:paraId="6BEDD213">
                  <w:pPr>
                    <w:jc w:val="center"/>
                    <w:textAlignment w:val="center"/>
                    <w:rPr>
                      <w:rFonts w:hint="default" w:ascii="Times New Roman" w:hAnsi="Times New Roman" w:eastAsia="宋体" w:cs="Times New Roman"/>
                      <w:color w:val="auto"/>
                      <w:kern w:val="2"/>
                      <w:sz w:val="18"/>
                      <w:szCs w:val="18"/>
                      <w:highlight w:val="none"/>
                      <w:lang w:val="en-US" w:eastAsia="zh-CN" w:bidi="ar-SA"/>
                    </w:rPr>
                  </w:pPr>
                </w:p>
              </w:tc>
            </w:tr>
            <w:tr w14:paraId="2D6ADC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650" w:type="pct"/>
                  <w:vMerge w:val="continue"/>
                  <w:tcBorders>
                    <w:tl2br w:val="nil"/>
                    <w:tr2bl w:val="nil"/>
                  </w:tcBorders>
                  <w:noWrap w:val="0"/>
                  <w:vAlign w:val="center"/>
                </w:tcPr>
                <w:p w14:paraId="792377B0">
                  <w:pPr>
                    <w:jc w:val="center"/>
                    <w:textAlignment w:val="center"/>
                    <w:rPr>
                      <w:rFonts w:hint="default" w:ascii="Times New Roman" w:hAnsi="Times New Roman" w:cs="Times New Roman"/>
                      <w:color w:val="auto"/>
                      <w:sz w:val="18"/>
                      <w:szCs w:val="18"/>
                      <w:highlight w:val="none"/>
                    </w:rPr>
                  </w:pPr>
                </w:p>
              </w:tc>
              <w:tc>
                <w:tcPr>
                  <w:tcW w:w="860" w:type="pct"/>
                  <w:vMerge w:val="continue"/>
                  <w:tcBorders>
                    <w:tl2br w:val="nil"/>
                    <w:tr2bl w:val="nil"/>
                  </w:tcBorders>
                  <w:shd w:val="clear" w:color="auto" w:fill="auto"/>
                  <w:noWrap w:val="0"/>
                  <w:vAlign w:val="center"/>
                </w:tcPr>
                <w:p w14:paraId="0D7B897B">
                  <w:pPr>
                    <w:jc w:val="center"/>
                    <w:textAlignment w:val="center"/>
                    <w:rPr>
                      <w:rFonts w:hint="default" w:ascii="Times New Roman" w:hAnsi="Times New Roman" w:eastAsia="宋体" w:cs="Times New Roman"/>
                      <w:color w:val="auto"/>
                      <w:kern w:val="2"/>
                      <w:sz w:val="18"/>
                      <w:szCs w:val="18"/>
                      <w:highlight w:val="none"/>
                      <w:lang w:val="en-US" w:eastAsia="zh-CN" w:bidi="ar-SA"/>
                    </w:rPr>
                  </w:pPr>
                </w:p>
              </w:tc>
              <w:tc>
                <w:tcPr>
                  <w:tcW w:w="872" w:type="pct"/>
                  <w:tcBorders>
                    <w:tl2br w:val="nil"/>
                    <w:tr2bl w:val="nil"/>
                  </w:tcBorders>
                  <w:shd w:val="clear" w:color="auto" w:fill="auto"/>
                  <w:noWrap w:val="0"/>
                  <w:vAlign w:val="center"/>
                </w:tcPr>
                <w:p w14:paraId="2E2A4684">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0.20</w:t>
                  </w:r>
                </w:p>
              </w:tc>
              <w:tc>
                <w:tcPr>
                  <w:tcW w:w="872" w:type="pct"/>
                  <w:vMerge w:val="continue"/>
                  <w:tcBorders>
                    <w:tl2br w:val="nil"/>
                    <w:tr2bl w:val="nil"/>
                  </w:tcBorders>
                  <w:shd w:val="clear" w:color="auto" w:fill="auto"/>
                  <w:noWrap w:val="0"/>
                  <w:vAlign w:val="center"/>
                </w:tcPr>
                <w:p w14:paraId="4187F82C">
                  <w:pPr>
                    <w:jc w:val="center"/>
                    <w:textAlignment w:val="center"/>
                    <w:rPr>
                      <w:rFonts w:hint="default" w:ascii="Times New Roman" w:hAnsi="Times New Roman" w:eastAsia="宋体" w:cs="Times New Roman"/>
                      <w:color w:val="auto"/>
                      <w:kern w:val="2"/>
                      <w:sz w:val="18"/>
                      <w:szCs w:val="18"/>
                      <w:highlight w:val="none"/>
                      <w:lang w:val="en-US" w:eastAsia="zh-CN" w:bidi="ar-SA"/>
                    </w:rPr>
                  </w:pPr>
                </w:p>
              </w:tc>
              <w:tc>
                <w:tcPr>
                  <w:tcW w:w="872" w:type="pct"/>
                  <w:vMerge w:val="continue"/>
                  <w:tcBorders>
                    <w:tl2br w:val="nil"/>
                    <w:tr2bl w:val="nil"/>
                  </w:tcBorders>
                  <w:shd w:val="clear" w:color="auto" w:fill="auto"/>
                  <w:noWrap w:val="0"/>
                  <w:vAlign w:val="center"/>
                </w:tcPr>
                <w:p w14:paraId="25E0B4B3">
                  <w:pPr>
                    <w:jc w:val="center"/>
                    <w:textAlignment w:val="center"/>
                    <w:rPr>
                      <w:rFonts w:hint="default" w:ascii="Times New Roman" w:hAnsi="Times New Roman" w:eastAsia="宋体" w:cs="Times New Roman"/>
                      <w:color w:val="auto"/>
                      <w:kern w:val="2"/>
                      <w:sz w:val="18"/>
                      <w:szCs w:val="18"/>
                      <w:highlight w:val="none"/>
                      <w:lang w:val="en-US" w:eastAsia="zh-CN" w:bidi="ar-SA"/>
                    </w:rPr>
                  </w:pPr>
                </w:p>
              </w:tc>
              <w:tc>
                <w:tcPr>
                  <w:tcW w:w="872" w:type="pct"/>
                  <w:vMerge w:val="continue"/>
                  <w:tcBorders>
                    <w:tl2br w:val="nil"/>
                    <w:tr2bl w:val="nil"/>
                  </w:tcBorders>
                  <w:shd w:val="clear" w:color="auto" w:fill="auto"/>
                  <w:noWrap w:val="0"/>
                  <w:vAlign w:val="center"/>
                </w:tcPr>
                <w:p w14:paraId="530CD693">
                  <w:pPr>
                    <w:jc w:val="center"/>
                    <w:textAlignment w:val="center"/>
                    <w:rPr>
                      <w:rFonts w:hint="default" w:ascii="Times New Roman" w:hAnsi="Times New Roman" w:eastAsia="宋体" w:cs="Times New Roman"/>
                      <w:color w:val="auto"/>
                      <w:kern w:val="2"/>
                      <w:sz w:val="18"/>
                      <w:szCs w:val="18"/>
                      <w:highlight w:val="none"/>
                      <w:lang w:val="en-US" w:eastAsia="zh-CN" w:bidi="ar-SA"/>
                    </w:rPr>
                  </w:pPr>
                </w:p>
              </w:tc>
            </w:tr>
            <w:tr w14:paraId="7701C1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650" w:type="pct"/>
                  <w:vMerge w:val="continue"/>
                  <w:tcBorders>
                    <w:tl2br w:val="nil"/>
                    <w:tr2bl w:val="nil"/>
                  </w:tcBorders>
                  <w:noWrap w:val="0"/>
                  <w:vAlign w:val="center"/>
                </w:tcPr>
                <w:p w14:paraId="686C064F">
                  <w:pPr>
                    <w:jc w:val="center"/>
                    <w:textAlignment w:val="center"/>
                    <w:rPr>
                      <w:rFonts w:hint="default" w:ascii="Times New Roman" w:hAnsi="Times New Roman" w:cs="Times New Roman"/>
                      <w:color w:val="auto"/>
                      <w:sz w:val="18"/>
                      <w:szCs w:val="18"/>
                      <w:highlight w:val="none"/>
                    </w:rPr>
                  </w:pPr>
                </w:p>
              </w:tc>
              <w:tc>
                <w:tcPr>
                  <w:tcW w:w="860" w:type="pct"/>
                  <w:vMerge w:val="continue"/>
                  <w:tcBorders>
                    <w:tl2br w:val="nil"/>
                    <w:tr2bl w:val="nil"/>
                  </w:tcBorders>
                  <w:shd w:val="clear" w:color="auto" w:fill="auto"/>
                  <w:noWrap w:val="0"/>
                  <w:vAlign w:val="center"/>
                </w:tcPr>
                <w:p w14:paraId="2ECA6085">
                  <w:pPr>
                    <w:jc w:val="center"/>
                    <w:textAlignment w:val="center"/>
                    <w:rPr>
                      <w:rFonts w:hint="default" w:ascii="Times New Roman" w:hAnsi="Times New Roman" w:eastAsia="宋体" w:cs="Times New Roman"/>
                      <w:color w:val="auto"/>
                      <w:kern w:val="2"/>
                      <w:sz w:val="18"/>
                      <w:szCs w:val="18"/>
                      <w:highlight w:val="none"/>
                      <w:lang w:val="en-US" w:eastAsia="zh-CN" w:bidi="ar-SA"/>
                    </w:rPr>
                  </w:pPr>
                </w:p>
              </w:tc>
              <w:tc>
                <w:tcPr>
                  <w:tcW w:w="872" w:type="pct"/>
                  <w:tcBorders>
                    <w:tl2br w:val="nil"/>
                    <w:tr2bl w:val="nil"/>
                  </w:tcBorders>
                  <w:shd w:val="clear" w:color="auto" w:fill="auto"/>
                  <w:noWrap w:val="0"/>
                  <w:vAlign w:val="center"/>
                </w:tcPr>
                <w:p w14:paraId="4E07353E">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0.18</w:t>
                  </w:r>
                </w:p>
              </w:tc>
              <w:tc>
                <w:tcPr>
                  <w:tcW w:w="872" w:type="pct"/>
                  <w:vMerge w:val="continue"/>
                  <w:tcBorders>
                    <w:tl2br w:val="nil"/>
                    <w:tr2bl w:val="nil"/>
                  </w:tcBorders>
                  <w:shd w:val="clear" w:color="auto" w:fill="auto"/>
                  <w:noWrap w:val="0"/>
                  <w:vAlign w:val="center"/>
                </w:tcPr>
                <w:p w14:paraId="2C2E7447">
                  <w:pPr>
                    <w:jc w:val="center"/>
                    <w:textAlignment w:val="center"/>
                    <w:rPr>
                      <w:rFonts w:hint="default" w:ascii="Times New Roman" w:hAnsi="Times New Roman" w:eastAsia="宋体" w:cs="Times New Roman"/>
                      <w:color w:val="auto"/>
                      <w:kern w:val="2"/>
                      <w:sz w:val="18"/>
                      <w:szCs w:val="18"/>
                      <w:highlight w:val="none"/>
                      <w:lang w:val="en-US" w:eastAsia="zh-CN" w:bidi="ar-SA"/>
                    </w:rPr>
                  </w:pPr>
                </w:p>
              </w:tc>
              <w:tc>
                <w:tcPr>
                  <w:tcW w:w="872" w:type="pct"/>
                  <w:vMerge w:val="continue"/>
                  <w:tcBorders>
                    <w:tl2br w:val="nil"/>
                    <w:tr2bl w:val="nil"/>
                  </w:tcBorders>
                  <w:shd w:val="clear" w:color="auto" w:fill="auto"/>
                  <w:noWrap w:val="0"/>
                  <w:vAlign w:val="center"/>
                </w:tcPr>
                <w:p w14:paraId="2F981202">
                  <w:pPr>
                    <w:jc w:val="center"/>
                    <w:textAlignment w:val="center"/>
                    <w:rPr>
                      <w:rFonts w:hint="default" w:ascii="Times New Roman" w:hAnsi="Times New Roman" w:eastAsia="宋体" w:cs="Times New Roman"/>
                      <w:color w:val="auto"/>
                      <w:kern w:val="2"/>
                      <w:sz w:val="18"/>
                      <w:szCs w:val="18"/>
                      <w:highlight w:val="none"/>
                      <w:lang w:val="en-US" w:eastAsia="zh-CN" w:bidi="ar-SA"/>
                    </w:rPr>
                  </w:pPr>
                </w:p>
              </w:tc>
              <w:tc>
                <w:tcPr>
                  <w:tcW w:w="872" w:type="pct"/>
                  <w:vMerge w:val="continue"/>
                  <w:tcBorders>
                    <w:tl2br w:val="nil"/>
                    <w:tr2bl w:val="nil"/>
                  </w:tcBorders>
                  <w:shd w:val="clear" w:color="auto" w:fill="auto"/>
                  <w:noWrap w:val="0"/>
                  <w:vAlign w:val="center"/>
                </w:tcPr>
                <w:p w14:paraId="43E3F89A">
                  <w:pPr>
                    <w:jc w:val="center"/>
                    <w:textAlignment w:val="center"/>
                    <w:rPr>
                      <w:rFonts w:hint="default" w:ascii="Times New Roman" w:hAnsi="Times New Roman" w:eastAsia="宋体" w:cs="Times New Roman"/>
                      <w:color w:val="auto"/>
                      <w:kern w:val="2"/>
                      <w:sz w:val="18"/>
                      <w:szCs w:val="18"/>
                      <w:highlight w:val="none"/>
                      <w:lang w:val="en-US" w:eastAsia="zh-CN" w:bidi="ar-SA"/>
                    </w:rPr>
                  </w:pPr>
                </w:p>
              </w:tc>
            </w:tr>
          </w:tbl>
          <w:p w14:paraId="6E3B7CF5">
            <w:pPr>
              <w:widowControl w:val="0"/>
              <w:snapToGrid w:val="0"/>
              <w:spacing w:line="348" w:lineRule="auto"/>
              <w:ind w:firstLine="420" w:firstLineChars="200"/>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eastAsia="zh-CN"/>
              </w:rPr>
              <w:t>（</w:t>
            </w:r>
            <w:r>
              <w:rPr>
                <w:rFonts w:hint="eastAsia" w:cs="Times New Roman"/>
                <w:snapToGrid w:val="0"/>
                <w:color w:val="auto"/>
                <w:sz w:val="21"/>
                <w:szCs w:val="21"/>
                <w:highlight w:val="none"/>
                <w:lang w:val="en-US" w:eastAsia="zh-CN"/>
              </w:rPr>
              <w:t>2</w:t>
            </w:r>
            <w:r>
              <w:rPr>
                <w:rFonts w:hint="eastAsia" w:cs="Times New Roman"/>
                <w:snapToGrid w:val="0"/>
                <w:color w:val="auto"/>
                <w:sz w:val="21"/>
                <w:szCs w:val="21"/>
                <w:highlight w:val="none"/>
                <w:lang w:eastAsia="zh-CN"/>
              </w:rPr>
              <w:t>）</w:t>
            </w:r>
            <w:r>
              <w:rPr>
                <w:rFonts w:hint="eastAsia" w:cs="Times New Roman"/>
                <w:snapToGrid w:val="0"/>
                <w:color w:val="auto"/>
                <w:sz w:val="21"/>
                <w:szCs w:val="21"/>
                <w:highlight w:val="none"/>
                <w:lang w:val="en-US" w:eastAsia="zh-CN"/>
              </w:rPr>
              <w:t>产品质量标准</w:t>
            </w:r>
          </w:p>
          <w:p w14:paraId="7892E8CE">
            <w:pPr>
              <w:widowControl w:val="0"/>
              <w:snapToGrid w:val="0"/>
              <w:spacing w:line="348" w:lineRule="auto"/>
              <w:ind w:firstLine="420" w:firstLineChars="200"/>
              <w:rPr>
                <w:rFonts w:hint="eastAsia" w:cs="Times New Roman"/>
                <w:snapToGrid w:val="0"/>
                <w:color w:val="auto"/>
                <w:sz w:val="21"/>
                <w:szCs w:val="21"/>
                <w:highlight w:val="none"/>
                <w:lang w:eastAsia="zh-CN"/>
              </w:rPr>
            </w:pPr>
            <w:r>
              <w:rPr>
                <w:rFonts w:hint="eastAsia" w:cs="Times New Roman"/>
                <w:snapToGrid w:val="0"/>
                <w:color w:val="auto"/>
                <w:sz w:val="21"/>
                <w:szCs w:val="21"/>
                <w:highlight w:val="none"/>
                <w:lang w:eastAsia="zh-CN"/>
              </w:rPr>
              <w:t>Hi-B硅钢产品全部以卷状交货，最大卷重25t，最小卷重3t，平均单位：卷重5t。产品执行标准：《全工艺冷轧电工钢第2部分：晶粒取向钢带(片)》（GB/T2521.2-2016）；《冷轧晶粒取向电工钢和钢板的全加工状态》（JISC2553-2019）。</w:t>
            </w:r>
          </w:p>
          <w:p w14:paraId="75C47898">
            <w:pPr>
              <w:widowControl w:val="0"/>
              <w:snapToGrid w:val="0"/>
              <w:spacing w:line="348" w:lineRule="auto"/>
              <w:ind w:firstLine="420" w:firstLineChars="200"/>
              <w:rPr>
                <w:rFonts w:hint="default"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铁芯执行标准：《电力变压器用电工钢铁心》（GB/T 32288-2020）。</w:t>
            </w:r>
          </w:p>
          <w:p w14:paraId="518BAE43">
            <w:pPr>
              <w:widowControl w:val="0"/>
              <w:snapToGrid w:val="0"/>
              <w:spacing w:line="348" w:lineRule="auto"/>
              <w:ind w:firstLine="420" w:firstLineChars="200"/>
              <w:rPr>
                <w:rFonts w:ascii="Times New Roman" w:hAnsi="Times New Roman" w:eastAsia="宋体" w:cs="Times New Roman"/>
                <w:snapToGrid w:val="0"/>
                <w:color w:val="auto"/>
                <w:sz w:val="21"/>
                <w:szCs w:val="21"/>
                <w:highlight w:val="none"/>
                <w:lang w:eastAsia="zh-CN"/>
              </w:rPr>
            </w:pPr>
            <w:r>
              <w:rPr>
                <w:rFonts w:hint="eastAsia" w:ascii="Times New Roman" w:hAnsi="Times New Roman" w:eastAsia="宋体" w:cs="Times New Roman"/>
                <w:snapToGrid w:val="0"/>
                <w:color w:val="auto"/>
                <w:sz w:val="21"/>
                <w:szCs w:val="21"/>
                <w:highlight w:val="none"/>
                <w:lang w:eastAsia="zh-CN"/>
              </w:rPr>
              <w:t>（</w:t>
            </w:r>
            <w:r>
              <w:rPr>
                <w:rFonts w:hint="eastAsia" w:cs="Times New Roman"/>
                <w:snapToGrid w:val="0"/>
                <w:color w:val="auto"/>
                <w:sz w:val="21"/>
                <w:szCs w:val="21"/>
                <w:highlight w:val="none"/>
                <w:lang w:val="en-US" w:eastAsia="zh-CN"/>
              </w:rPr>
              <w:t>3</w:t>
            </w:r>
            <w:r>
              <w:rPr>
                <w:rFonts w:hint="eastAsia" w:ascii="Times New Roman" w:hAnsi="Times New Roman" w:eastAsia="宋体" w:cs="Times New Roman"/>
                <w:snapToGrid w:val="0"/>
                <w:color w:val="auto"/>
                <w:sz w:val="21"/>
                <w:szCs w:val="21"/>
                <w:highlight w:val="none"/>
                <w:lang w:eastAsia="zh-CN"/>
              </w:rPr>
              <w:t>）</w:t>
            </w:r>
            <w:r>
              <w:rPr>
                <w:rFonts w:ascii="Times New Roman" w:hAnsi="Times New Roman" w:eastAsia="宋体" w:cs="Times New Roman"/>
                <w:snapToGrid w:val="0"/>
                <w:color w:val="auto"/>
                <w:sz w:val="21"/>
                <w:szCs w:val="21"/>
                <w:highlight w:val="none"/>
                <w:lang w:eastAsia="zh-CN"/>
              </w:rPr>
              <w:t>金属平衡</w:t>
            </w:r>
            <w:bookmarkEnd w:id="3"/>
          </w:p>
          <w:p w14:paraId="79BFD019">
            <w:pPr>
              <w:widowControl w:val="0"/>
              <w:snapToGrid w:val="0"/>
              <w:spacing w:line="348" w:lineRule="auto"/>
              <w:ind w:firstLine="420" w:firstLineChars="200"/>
              <w:rPr>
                <w:rFonts w:cs="Times New Roman"/>
                <w:snapToGrid w:val="0"/>
                <w:color w:val="auto"/>
                <w:sz w:val="21"/>
                <w:szCs w:val="21"/>
                <w:highlight w:val="none"/>
                <w:lang w:eastAsia="zh-CN"/>
              </w:rPr>
            </w:pPr>
            <w:r>
              <w:rPr>
                <w:rFonts w:hint="eastAsia" w:cs="Times New Roman"/>
                <w:snapToGrid w:val="0"/>
                <w:color w:val="auto"/>
                <w:sz w:val="21"/>
                <w:szCs w:val="21"/>
                <w:highlight w:val="none"/>
                <w:lang w:eastAsia="zh-CN"/>
              </w:rPr>
              <w:t>车间年产10万吨Hi</w:t>
            </w:r>
            <w:r>
              <w:rPr>
                <w:rFonts w:hint="eastAsia" w:cs="Times New Roman"/>
                <w:snapToGrid w:val="0"/>
                <w:color w:val="auto"/>
                <w:sz w:val="21"/>
                <w:szCs w:val="21"/>
                <w:highlight w:val="none"/>
                <w:lang w:val="en-US" w:eastAsia="zh-CN"/>
              </w:rPr>
              <w:t>-</w:t>
            </w:r>
            <w:r>
              <w:rPr>
                <w:rFonts w:hint="eastAsia" w:cs="Times New Roman"/>
                <w:snapToGrid w:val="0"/>
                <w:color w:val="auto"/>
                <w:sz w:val="21"/>
                <w:szCs w:val="21"/>
                <w:highlight w:val="none"/>
                <w:lang w:eastAsia="zh-CN"/>
              </w:rPr>
              <w:t>B钢，年需原料卷约10.9445万t。</w:t>
            </w:r>
            <w:r>
              <w:rPr>
                <w:rFonts w:hint="eastAsia" w:cs="Times New Roman"/>
                <w:snapToGrid w:val="0"/>
                <w:color w:val="auto"/>
                <w:sz w:val="21"/>
                <w:szCs w:val="21"/>
                <w:highlight w:val="none"/>
                <w:lang w:val="en-US" w:eastAsia="zh-CN"/>
              </w:rPr>
              <w:t>金属平衡表见下表，</w:t>
            </w:r>
            <w:r>
              <w:rPr>
                <w:rFonts w:cs="Times New Roman"/>
                <w:snapToGrid w:val="0"/>
                <w:color w:val="auto"/>
                <w:sz w:val="21"/>
                <w:szCs w:val="21"/>
                <w:highlight w:val="none"/>
                <w:lang w:eastAsia="zh-CN"/>
              </w:rPr>
              <w:t>金属平衡见图</w:t>
            </w:r>
            <w:r>
              <w:rPr>
                <w:rFonts w:hint="eastAsia" w:cs="Times New Roman"/>
                <w:snapToGrid w:val="0"/>
                <w:color w:val="auto"/>
                <w:sz w:val="21"/>
                <w:szCs w:val="21"/>
                <w:highlight w:val="none"/>
                <w:lang w:val="en-US" w:eastAsia="zh-CN"/>
              </w:rPr>
              <w:t>2-1</w:t>
            </w:r>
            <w:r>
              <w:rPr>
                <w:rFonts w:cs="Times New Roman"/>
                <w:snapToGrid w:val="0"/>
                <w:color w:val="auto"/>
                <w:sz w:val="21"/>
                <w:szCs w:val="21"/>
                <w:highlight w:val="none"/>
                <w:lang w:eastAsia="zh-CN"/>
              </w:rPr>
              <w:t>。</w:t>
            </w:r>
          </w:p>
          <w:p w14:paraId="7ECA1855">
            <w:pPr>
              <w:spacing w:line="360" w:lineRule="auto"/>
              <w:jc w:val="center"/>
              <w:rPr>
                <w:rFonts w:hint="default" w:ascii="Times New Roman" w:hAnsi="Times New Roman" w:eastAsia="黑体" w:cs="Times New Roman"/>
                <w:bCs/>
                <w:color w:val="auto"/>
                <w:spacing w:val="2"/>
                <w:sz w:val="21"/>
                <w:szCs w:val="21"/>
                <w:lang w:val="en-US" w:eastAsia="zh-CN"/>
              </w:rPr>
            </w:pPr>
            <w:r>
              <w:rPr>
                <w:rFonts w:ascii="Times New Roman" w:hAnsi="Times New Roman" w:eastAsia="黑体" w:cs="Times New Roman"/>
                <w:bCs/>
                <w:color w:val="auto"/>
                <w:spacing w:val="2"/>
                <w:sz w:val="21"/>
                <w:szCs w:val="21"/>
                <w:lang w:eastAsia="zh-CN"/>
              </w:rPr>
              <w:t>表</w:t>
            </w:r>
            <w:r>
              <w:rPr>
                <w:rFonts w:hint="eastAsia" w:eastAsia="黑体" w:cs="Times New Roman"/>
                <w:bCs/>
                <w:color w:val="auto"/>
                <w:spacing w:val="2"/>
                <w:sz w:val="21"/>
                <w:szCs w:val="21"/>
                <w:lang w:val="en-US" w:eastAsia="zh-CN"/>
              </w:rPr>
              <w:t>2-4  金属平衡示意</w:t>
            </w:r>
          </w:p>
          <w:tbl>
            <w:tblPr>
              <w:tblStyle w:val="33"/>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950"/>
              <w:gridCol w:w="1552"/>
              <w:gridCol w:w="1252"/>
              <w:gridCol w:w="1252"/>
              <w:gridCol w:w="1116"/>
              <w:gridCol w:w="1033"/>
              <w:gridCol w:w="1259"/>
            </w:tblGrid>
            <w:tr w14:paraId="7A3DFF9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565" w:type="pct"/>
                  <w:vMerge w:val="restart"/>
                  <w:tcBorders>
                    <w:tl2br w:val="nil"/>
                    <w:tr2bl w:val="nil"/>
                  </w:tcBorders>
                  <w:noWrap w:val="0"/>
                  <w:vAlign w:val="center"/>
                </w:tcPr>
                <w:p w14:paraId="75758007">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序号</w:t>
                  </w:r>
                </w:p>
              </w:tc>
              <w:tc>
                <w:tcPr>
                  <w:tcW w:w="922" w:type="pct"/>
                  <w:vMerge w:val="restart"/>
                  <w:tcBorders>
                    <w:tl2br w:val="nil"/>
                    <w:tr2bl w:val="nil"/>
                  </w:tcBorders>
                  <w:noWrap w:val="0"/>
                  <w:vAlign w:val="center"/>
                </w:tcPr>
                <w:p w14:paraId="44CC13B5">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产品等级</w:t>
                  </w:r>
                </w:p>
              </w:tc>
              <w:tc>
                <w:tcPr>
                  <w:tcW w:w="744" w:type="pct"/>
                  <w:tcBorders>
                    <w:tl2br w:val="nil"/>
                    <w:tr2bl w:val="nil"/>
                  </w:tcBorders>
                  <w:noWrap w:val="0"/>
                  <w:vAlign w:val="center"/>
                </w:tcPr>
                <w:p w14:paraId="708A962F">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原料</w:t>
                  </w:r>
                </w:p>
              </w:tc>
              <w:tc>
                <w:tcPr>
                  <w:tcW w:w="744" w:type="pct"/>
                  <w:tcBorders>
                    <w:tl2br w:val="nil"/>
                    <w:tr2bl w:val="nil"/>
                  </w:tcBorders>
                  <w:noWrap w:val="0"/>
                  <w:vAlign w:val="center"/>
                </w:tcPr>
                <w:p w14:paraId="0FE80486">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产品</w:t>
                  </w:r>
                </w:p>
              </w:tc>
              <w:tc>
                <w:tcPr>
                  <w:tcW w:w="1277" w:type="pct"/>
                  <w:gridSpan w:val="2"/>
                  <w:tcBorders>
                    <w:tl2br w:val="nil"/>
                    <w:tr2bl w:val="nil"/>
                  </w:tcBorders>
                  <w:noWrap w:val="0"/>
                  <w:vAlign w:val="center"/>
                </w:tcPr>
                <w:p w14:paraId="4A750DB1">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切头、切边等损失（固废）</w:t>
                  </w:r>
                </w:p>
              </w:tc>
              <w:tc>
                <w:tcPr>
                  <w:tcW w:w="744" w:type="pct"/>
                  <w:tcBorders>
                    <w:tl2br w:val="nil"/>
                    <w:tr2bl w:val="nil"/>
                  </w:tcBorders>
                  <w:noWrap w:val="0"/>
                  <w:vAlign w:val="center"/>
                </w:tcPr>
                <w:p w14:paraId="0E1B4257">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成材率</w:t>
                  </w:r>
                </w:p>
              </w:tc>
            </w:tr>
            <w:tr w14:paraId="4E97D3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565" w:type="pct"/>
                  <w:vMerge w:val="continue"/>
                  <w:tcBorders>
                    <w:tl2br w:val="nil"/>
                    <w:tr2bl w:val="nil"/>
                  </w:tcBorders>
                  <w:noWrap w:val="0"/>
                  <w:vAlign w:val="center"/>
                </w:tcPr>
                <w:p w14:paraId="456F167A">
                  <w:pPr>
                    <w:jc w:val="center"/>
                    <w:textAlignment w:val="center"/>
                    <w:rPr>
                      <w:rFonts w:hint="eastAsia" w:cs="Times New Roman"/>
                      <w:color w:val="auto"/>
                      <w:sz w:val="18"/>
                      <w:szCs w:val="18"/>
                      <w:highlight w:val="none"/>
                      <w:lang w:val="en-US" w:eastAsia="zh-CN"/>
                    </w:rPr>
                  </w:pPr>
                </w:p>
              </w:tc>
              <w:tc>
                <w:tcPr>
                  <w:tcW w:w="922" w:type="pct"/>
                  <w:vMerge w:val="continue"/>
                  <w:tcBorders>
                    <w:tl2br w:val="nil"/>
                    <w:tr2bl w:val="nil"/>
                  </w:tcBorders>
                  <w:noWrap w:val="0"/>
                  <w:vAlign w:val="center"/>
                </w:tcPr>
                <w:p w14:paraId="03529155">
                  <w:pPr>
                    <w:jc w:val="center"/>
                    <w:textAlignment w:val="center"/>
                    <w:rPr>
                      <w:rFonts w:hint="eastAsia" w:cs="Times New Roman"/>
                      <w:color w:val="auto"/>
                      <w:sz w:val="18"/>
                      <w:szCs w:val="18"/>
                      <w:highlight w:val="none"/>
                      <w:lang w:val="en-US" w:eastAsia="zh-CN"/>
                    </w:rPr>
                  </w:pPr>
                </w:p>
              </w:tc>
              <w:tc>
                <w:tcPr>
                  <w:tcW w:w="744" w:type="pct"/>
                  <w:tcBorders>
                    <w:tl2br w:val="nil"/>
                    <w:tr2bl w:val="nil"/>
                  </w:tcBorders>
                  <w:noWrap w:val="0"/>
                  <w:vAlign w:val="center"/>
                </w:tcPr>
                <w:p w14:paraId="636D21A0">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t/a</w:t>
                  </w:r>
                </w:p>
              </w:tc>
              <w:tc>
                <w:tcPr>
                  <w:tcW w:w="744" w:type="pct"/>
                  <w:tcBorders>
                    <w:tl2br w:val="nil"/>
                    <w:tr2bl w:val="nil"/>
                  </w:tcBorders>
                  <w:noWrap w:val="0"/>
                  <w:vAlign w:val="center"/>
                </w:tcPr>
                <w:p w14:paraId="041B86F9">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t/a</w:t>
                  </w:r>
                </w:p>
              </w:tc>
              <w:tc>
                <w:tcPr>
                  <w:tcW w:w="663" w:type="pct"/>
                  <w:tcBorders>
                    <w:tl2br w:val="nil"/>
                    <w:tr2bl w:val="nil"/>
                  </w:tcBorders>
                  <w:noWrap w:val="0"/>
                  <w:vAlign w:val="center"/>
                </w:tcPr>
                <w:p w14:paraId="6593674F">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t/a</w:t>
                  </w:r>
                </w:p>
              </w:tc>
              <w:tc>
                <w:tcPr>
                  <w:tcW w:w="613" w:type="pct"/>
                  <w:tcBorders>
                    <w:tl2br w:val="nil"/>
                    <w:tr2bl w:val="nil"/>
                  </w:tcBorders>
                  <w:noWrap w:val="0"/>
                  <w:vAlign w:val="center"/>
                </w:tcPr>
                <w:p w14:paraId="0A913957">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744" w:type="pct"/>
                  <w:tcBorders>
                    <w:tl2br w:val="nil"/>
                    <w:tr2bl w:val="nil"/>
                  </w:tcBorders>
                  <w:noWrap w:val="0"/>
                  <w:vAlign w:val="center"/>
                </w:tcPr>
                <w:p w14:paraId="3AFB3D68">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w:t>
                  </w:r>
                </w:p>
              </w:tc>
            </w:tr>
            <w:tr w14:paraId="2DC850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0" w:hRule="atLeast"/>
              </w:trPr>
              <w:tc>
                <w:tcPr>
                  <w:tcW w:w="565" w:type="pct"/>
                  <w:tcBorders>
                    <w:tl2br w:val="nil"/>
                    <w:tr2bl w:val="nil"/>
                  </w:tcBorders>
                  <w:noWrap w:val="0"/>
                  <w:vAlign w:val="center"/>
                </w:tcPr>
                <w:p w14:paraId="4D42D8A1">
                  <w:pPr>
                    <w:jc w:val="center"/>
                    <w:textAlignment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922" w:type="pct"/>
                  <w:tcBorders>
                    <w:tl2br w:val="nil"/>
                    <w:tr2bl w:val="nil"/>
                  </w:tcBorders>
                  <w:shd w:val="clear" w:color="auto" w:fill="auto"/>
                  <w:noWrap w:val="0"/>
                  <w:vAlign w:val="center"/>
                </w:tcPr>
                <w:p w14:paraId="0003EAF5">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Hi-B</w:t>
                  </w:r>
                </w:p>
              </w:tc>
              <w:tc>
                <w:tcPr>
                  <w:tcW w:w="744" w:type="pct"/>
                  <w:tcBorders>
                    <w:tl2br w:val="nil"/>
                    <w:tr2bl w:val="nil"/>
                  </w:tcBorders>
                  <w:shd w:val="clear" w:color="auto" w:fill="auto"/>
                  <w:noWrap w:val="0"/>
                  <w:vAlign w:val="center"/>
                </w:tcPr>
                <w:p w14:paraId="569F92BF">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109445</w:t>
                  </w:r>
                </w:p>
              </w:tc>
              <w:tc>
                <w:tcPr>
                  <w:tcW w:w="744" w:type="pct"/>
                  <w:tcBorders>
                    <w:tl2br w:val="nil"/>
                    <w:tr2bl w:val="nil"/>
                  </w:tcBorders>
                  <w:shd w:val="clear" w:color="auto" w:fill="auto"/>
                  <w:noWrap w:val="0"/>
                  <w:vAlign w:val="center"/>
                </w:tcPr>
                <w:p w14:paraId="04B6A948">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100000</w:t>
                  </w:r>
                </w:p>
              </w:tc>
              <w:tc>
                <w:tcPr>
                  <w:tcW w:w="663" w:type="pct"/>
                  <w:tcBorders>
                    <w:tl2br w:val="nil"/>
                    <w:tr2bl w:val="nil"/>
                  </w:tcBorders>
                  <w:shd w:val="clear" w:color="auto" w:fill="auto"/>
                  <w:noWrap w:val="0"/>
                  <w:vAlign w:val="center"/>
                </w:tcPr>
                <w:p w14:paraId="2A098D7D">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9445</w:t>
                  </w:r>
                </w:p>
              </w:tc>
              <w:tc>
                <w:tcPr>
                  <w:tcW w:w="613" w:type="pct"/>
                  <w:tcBorders>
                    <w:tl2br w:val="nil"/>
                    <w:tr2bl w:val="nil"/>
                  </w:tcBorders>
                  <w:shd w:val="clear" w:color="auto" w:fill="auto"/>
                  <w:noWrap w:val="0"/>
                  <w:vAlign w:val="center"/>
                </w:tcPr>
                <w:p w14:paraId="4891BF16">
                  <w:pPr>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8.63</w:t>
                  </w:r>
                </w:p>
              </w:tc>
              <w:tc>
                <w:tcPr>
                  <w:tcW w:w="744" w:type="pct"/>
                  <w:tcBorders>
                    <w:tl2br w:val="nil"/>
                    <w:tr2bl w:val="nil"/>
                  </w:tcBorders>
                  <w:shd w:val="clear" w:color="auto" w:fill="auto"/>
                  <w:noWrap w:val="0"/>
                  <w:vAlign w:val="center"/>
                </w:tcPr>
                <w:p w14:paraId="3BD723EA">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91.37</w:t>
                  </w:r>
                </w:p>
              </w:tc>
            </w:tr>
            <w:tr w14:paraId="34C64C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5000" w:type="pct"/>
                  <w:gridSpan w:val="7"/>
                  <w:tcBorders>
                    <w:tl2br w:val="nil"/>
                    <w:tr2bl w:val="nil"/>
                  </w:tcBorders>
                  <w:noWrap w:val="0"/>
                  <w:vAlign w:val="center"/>
                </w:tcPr>
                <w:p w14:paraId="717010CE">
                  <w:pPr>
                    <w:jc w:val="both"/>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注：本平衡仅体现切头切尾过程硅钢卷本身的损失，不体现在热处理、酸洗过程中产生及去除的氧化铁皮的量</w:t>
                  </w:r>
                </w:p>
              </w:tc>
            </w:tr>
          </w:tbl>
          <w:p w14:paraId="42B7E1D5">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cs="Times New Roman"/>
                <w:b/>
                <w:snapToGrid w:val="0"/>
                <w:color w:val="auto"/>
                <w:sz w:val="21"/>
                <w:szCs w:val="21"/>
                <w:highlight w:val="none"/>
              </w:rPr>
            </w:pPr>
            <w:r>
              <w:rPr>
                <w:rFonts w:eastAsia="宋体"/>
                <w:snapToGrid w:val="0"/>
                <w:color w:val="auto"/>
                <w:szCs w:val="28"/>
              </w:rPr>
              <w:object>
                <v:shape id="_x0000_i1025" o:spt="75" type="#_x0000_t75" style="height:268.15pt;width:203pt;" o:ole="t" filled="f" o:preferrelative="t" stroked="f" coordsize="21600,21600">
                  <v:path/>
                  <v:fill on="f" focussize="0,0"/>
                  <v:stroke on="f"/>
                  <v:imagedata r:id="rId14" cropleft="7092f" croptop="840f" cropright="14203f" cropbottom="12867f" o:title=""/>
                  <o:lock v:ext="edit" aspectratio="t"/>
                  <w10:wrap type="none"/>
                  <w10:anchorlock/>
                </v:shape>
                <o:OLEObject Type="Embed" ProgID="Excel.Sheet.8" ShapeID="_x0000_i1025" DrawAspect="Content" ObjectID="_1468075725" r:id="rId13">
                  <o:LockedField>false</o:LockedField>
                </o:OLEObject>
              </w:object>
            </w:r>
          </w:p>
          <w:p w14:paraId="4F0C86CB">
            <w:pPr>
              <w:spacing w:line="360" w:lineRule="auto"/>
              <w:jc w:val="center"/>
              <w:rPr>
                <w:rFonts w:hint="eastAsia" w:ascii="Times New Roman" w:hAnsi="Times New Roman" w:eastAsia="黑体" w:cs="Times New Roman"/>
                <w:bCs/>
                <w:color w:val="auto"/>
                <w:spacing w:val="2"/>
                <w:sz w:val="21"/>
                <w:szCs w:val="21"/>
                <w:lang w:val="en-US" w:eastAsia="zh-CN"/>
              </w:rPr>
            </w:pPr>
            <w:r>
              <w:rPr>
                <w:rFonts w:hint="eastAsia" w:ascii="Times New Roman" w:hAnsi="Times New Roman" w:eastAsia="黑体" w:cs="Times New Roman"/>
                <w:bCs/>
                <w:color w:val="auto"/>
                <w:spacing w:val="2"/>
                <w:sz w:val="21"/>
                <w:szCs w:val="21"/>
                <w:lang w:val="en-US" w:eastAsia="zh-CN"/>
              </w:rPr>
              <w:t>图2-</w:t>
            </w:r>
            <w:r>
              <w:rPr>
                <w:rFonts w:hint="eastAsia" w:eastAsia="黑体" w:cs="Times New Roman"/>
                <w:bCs/>
                <w:color w:val="auto"/>
                <w:spacing w:val="2"/>
                <w:sz w:val="21"/>
                <w:szCs w:val="21"/>
                <w:lang w:val="en-US" w:eastAsia="zh-CN"/>
              </w:rPr>
              <w:t>1硅钢卷</w:t>
            </w:r>
            <w:r>
              <w:rPr>
                <w:rFonts w:hint="eastAsia" w:ascii="Times New Roman" w:hAnsi="Times New Roman" w:eastAsia="黑体" w:cs="Times New Roman"/>
                <w:bCs/>
                <w:color w:val="auto"/>
                <w:spacing w:val="2"/>
                <w:sz w:val="21"/>
                <w:szCs w:val="21"/>
                <w:lang w:val="en-US" w:eastAsia="zh-CN"/>
              </w:rPr>
              <w:t>金属平衡图</w:t>
            </w:r>
          </w:p>
          <w:p w14:paraId="61540ED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jc w:val="both"/>
              <w:textAlignment w:val="auto"/>
              <w:rPr>
                <w:rFonts w:hint="default" w:cs="Times New Roman"/>
                <w:b/>
                <w:bCs w:val="0"/>
                <w:color w:val="auto"/>
                <w:sz w:val="21"/>
                <w:szCs w:val="21"/>
                <w:lang w:val="en-US" w:eastAsia="zh-CN"/>
              </w:rPr>
            </w:pPr>
            <w:r>
              <w:rPr>
                <w:rFonts w:hint="eastAsia" w:cs="Times New Roman"/>
                <w:b/>
                <w:bCs w:val="0"/>
                <w:color w:val="auto"/>
                <w:sz w:val="21"/>
                <w:szCs w:val="21"/>
                <w:lang w:val="en-US" w:eastAsia="zh-CN"/>
              </w:rPr>
              <w:t>4、</w:t>
            </w:r>
            <w:r>
              <w:rPr>
                <w:rFonts w:hint="default" w:cs="Times New Roman"/>
                <w:b/>
                <w:bCs w:val="0"/>
                <w:color w:val="auto"/>
                <w:sz w:val="21"/>
                <w:szCs w:val="21"/>
                <w:lang w:val="en-US" w:eastAsia="zh-CN"/>
              </w:rPr>
              <w:t>主要生产</w:t>
            </w:r>
            <w:r>
              <w:rPr>
                <w:rFonts w:hint="eastAsia" w:cs="Times New Roman"/>
                <w:b/>
                <w:bCs w:val="0"/>
                <w:color w:val="auto"/>
                <w:sz w:val="21"/>
                <w:szCs w:val="21"/>
                <w:lang w:val="en-US" w:eastAsia="zh-CN"/>
              </w:rPr>
              <w:t>设备</w:t>
            </w:r>
          </w:p>
          <w:p w14:paraId="0668C85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both"/>
              <w:textAlignment w:val="auto"/>
              <w:rPr>
                <w:rFonts w:hint="default" w:cs="Times New Roman"/>
                <w:bCs/>
                <w:color w:val="auto"/>
                <w:sz w:val="21"/>
                <w:szCs w:val="21"/>
                <w:lang w:val="en-US" w:eastAsia="zh-CN"/>
              </w:rPr>
            </w:pPr>
            <w:r>
              <w:rPr>
                <w:rFonts w:hint="eastAsia" w:cs="Times New Roman"/>
                <w:bCs/>
                <w:color w:val="auto"/>
                <w:sz w:val="21"/>
                <w:szCs w:val="21"/>
                <w:lang w:val="en-US" w:eastAsia="zh-CN"/>
              </w:rPr>
              <w:t>本项目</w:t>
            </w:r>
            <w:r>
              <w:rPr>
                <w:rFonts w:hint="default" w:cs="Times New Roman"/>
                <w:bCs/>
                <w:color w:val="auto"/>
                <w:sz w:val="21"/>
                <w:szCs w:val="21"/>
                <w:lang w:val="en-US" w:eastAsia="zh-CN"/>
              </w:rPr>
              <w:t>主要</w:t>
            </w:r>
            <w:r>
              <w:rPr>
                <w:rFonts w:hint="eastAsia" w:cs="Times New Roman"/>
                <w:bCs/>
                <w:color w:val="auto"/>
                <w:sz w:val="21"/>
                <w:szCs w:val="21"/>
                <w:lang w:val="en-US" w:eastAsia="zh-CN"/>
              </w:rPr>
              <w:t>设备</w:t>
            </w:r>
            <w:r>
              <w:rPr>
                <w:rFonts w:hint="default" w:cs="Times New Roman"/>
                <w:bCs/>
                <w:color w:val="auto"/>
                <w:sz w:val="21"/>
                <w:szCs w:val="21"/>
                <w:lang w:val="en-US" w:eastAsia="zh-CN"/>
              </w:rPr>
              <w:t>见下表。</w:t>
            </w:r>
          </w:p>
          <w:p w14:paraId="4772012F">
            <w:pPr>
              <w:spacing w:line="360" w:lineRule="auto"/>
              <w:jc w:val="center"/>
              <w:rPr>
                <w:rFonts w:hint="default" w:ascii="Times New Roman" w:hAnsi="Times New Roman" w:eastAsia="黑体" w:cs="Times New Roman"/>
                <w:bCs/>
                <w:color w:val="auto"/>
                <w:spacing w:val="2"/>
                <w:sz w:val="21"/>
                <w:szCs w:val="21"/>
                <w:lang w:eastAsia="zh-CN"/>
              </w:rPr>
            </w:pPr>
            <w:r>
              <w:rPr>
                <w:rFonts w:hint="default" w:ascii="Times New Roman" w:hAnsi="Times New Roman" w:eastAsia="黑体" w:cs="Times New Roman"/>
                <w:bCs/>
                <w:color w:val="auto"/>
                <w:spacing w:val="2"/>
                <w:sz w:val="21"/>
                <w:szCs w:val="21"/>
                <w:lang w:eastAsia="zh-CN"/>
              </w:rPr>
              <w:t>表</w:t>
            </w:r>
            <w:r>
              <w:rPr>
                <w:rFonts w:hint="default" w:ascii="Times New Roman" w:hAnsi="Times New Roman" w:eastAsia="黑体" w:cs="Times New Roman"/>
                <w:bCs/>
                <w:color w:val="auto"/>
                <w:spacing w:val="2"/>
                <w:sz w:val="21"/>
                <w:szCs w:val="21"/>
                <w:lang w:val="en-US" w:eastAsia="zh-CN"/>
              </w:rPr>
              <w:t>2-</w:t>
            </w:r>
            <w:r>
              <w:rPr>
                <w:rFonts w:hint="eastAsia" w:eastAsia="黑体" w:cs="Times New Roman"/>
                <w:bCs/>
                <w:color w:val="auto"/>
                <w:spacing w:val="2"/>
                <w:sz w:val="21"/>
                <w:szCs w:val="21"/>
                <w:lang w:val="en-US" w:eastAsia="zh-CN"/>
              </w:rPr>
              <w:t xml:space="preserve">5  </w:t>
            </w:r>
            <w:r>
              <w:rPr>
                <w:rFonts w:hint="default" w:ascii="Times New Roman" w:hAnsi="Times New Roman" w:eastAsia="黑体" w:cs="Times New Roman"/>
                <w:bCs/>
                <w:color w:val="auto"/>
                <w:spacing w:val="2"/>
                <w:sz w:val="21"/>
                <w:szCs w:val="21"/>
                <w:lang w:eastAsia="zh-CN"/>
              </w:rPr>
              <w:t>本项目</w:t>
            </w:r>
            <w:r>
              <w:rPr>
                <w:rFonts w:hint="eastAsia" w:eastAsia="黑体" w:cs="Times New Roman"/>
                <w:bCs/>
                <w:color w:val="auto"/>
                <w:spacing w:val="2"/>
                <w:sz w:val="21"/>
                <w:szCs w:val="21"/>
                <w:lang w:val="en-US" w:eastAsia="zh-CN"/>
              </w:rPr>
              <w:t>主要</w:t>
            </w:r>
            <w:r>
              <w:rPr>
                <w:rFonts w:hint="default" w:ascii="Times New Roman" w:hAnsi="Times New Roman" w:eastAsia="黑体" w:cs="Times New Roman"/>
                <w:bCs/>
                <w:color w:val="auto"/>
                <w:spacing w:val="2"/>
                <w:sz w:val="21"/>
                <w:szCs w:val="21"/>
                <w:lang w:eastAsia="zh-CN"/>
              </w:rPr>
              <w:t>生产设施一览表</w:t>
            </w:r>
          </w:p>
          <w:tbl>
            <w:tblPr>
              <w:tblStyle w:val="3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28" w:type="dxa"/>
                <w:left w:w="57" w:type="dxa"/>
                <w:bottom w:w="28" w:type="dxa"/>
                <w:right w:w="57" w:type="dxa"/>
              </w:tblCellMar>
            </w:tblPr>
            <w:tblGrid>
              <w:gridCol w:w="308"/>
              <w:gridCol w:w="2041"/>
              <w:gridCol w:w="4353"/>
              <w:gridCol w:w="877"/>
              <w:gridCol w:w="835"/>
            </w:tblGrid>
            <w:tr w14:paraId="0DA730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69" w:hRule="atLeast"/>
                <w:tblHeader/>
                <w:jc w:val="center"/>
              </w:trPr>
              <w:tc>
                <w:tcPr>
                  <w:tcW w:w="183" w:type="pct"/>
                  <w:tcBorders>
                    <w:tl2br w:val="nil"/>
                    <w:tr2bl w:val="nil"/>
                  </w:tcBorders>
                  <w:noWrap w:val="0"/>
                  <w:vAlign w:val="center"/>
                </w:tcPr>
                <w:p w14:paraId="6434312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Times New Roman"/>
                      <w:b/>
                      <w:bCs/>
                      <w:snapToGrid w:val="0"/>
                      <w:color w:val="auto"/>
                      <w:sz w:val="18"/>
                      <w:szCs w:val="18"/>
                      <w:highlight w:val="none"/>
                    </w:rPr>
                  </w:pPr>
                  <w:r>
                    <w:rPr>
                      <w:rFonts w:cs="Times New Roman"/>
                      <w:b/>
                      <w:bCs/>
                      <w:snapToGrid w:val="0"/>
                      <w:color w:val="auto"/>
                      <w:sz w:val="18"/>
                      <w:szCs w:val="18"/>
                      <w:highlight w:val="none"/>
                    </w:rPr>
                    <w:t>序号</w:t>
                  </w:r>
                </w:p>
              </w:tc>
              <w:tc>
                <w:tcPr>
                  <w:tcW w:w="1213" w:type="pct"/>
                  <w:tcBorders>
                    <w:tl2br w:val="nil"/>
                    <w:tr2bl w:val="nil"/>
                  </w:tcBorders>
                  <w:noWrap w:val="0"/>
                  <w:vAlign w:val="center"/>
                </w:tcPr>
                <w:p w14:paraId="301000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s="Times New Roman"/>
                      <w:b/>
                      <w:bCs/>
                      <w:snapToGrid w:val="0"/>
                      <w:color w:val="auto"/>
                      <w:sz w:val="18"/>
                      <w:szCs w:val="18"/>
                      <w:highlight w:val="none"/>
                      <w:lang w:val="en-US" w:eastAsia="zh-CN"/>
                    </w:rPr>
                  </w:pPr>
                  <w:r>
                    <w:rPr>
                      <w:rFonts w:hint="eastAsia" w:cs="Times New Roman"/>
                      <w:b/>
                      <w:bCs/>
                      <w:snapToGrid w:val="0"/>
                      <w:color w:val="auto"/>
                      <w:sz w:val="18"/>
                      <w:szCs w:val="18"/>
                      <w:highlight w:val="none"/>
                      <w:lang w:val="en-US" w:eastAsia="zh-CN"/>
                    </w:rPr>
                    <w:t>设备名称</w:t>
                  </w:r>
                </w:p>
              </w:tc>
              <w:tc>
                <w:tcPr>
                  <w:tcW w:w="2587" w:type="pct"/>
                  <w:tcBorders>
                    <w:tl2br w:val="nil"/>
                    <w:tr2bl w:val="nil"/>
                  </w:tcBorders>
                  <w:noWrap w:val="0"/>
                  <w:vAlign w:val="center"/>
                </w:tcPr>
                <w:p w14:paraId="1130640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s="Times New Roman"/>
                      <w:b/>
                      <w:bCs/>
                      <w:snapToGrid w:val="0"/>
                      <w:color w:val="auto"/>
                      <w:sz w:val="18"/>
                      <w:szCs w:val="18"/>
                      <w:highlight w:val="none"/>
                      <w:lang w:val="en-US" w:eastAsia="zh-CN"/>
                    </w:rPr>
                  </w:pPr>
                  <w:r>
                    <w:rPr>
                      <w:rFonts w:hint="eastAsia" w:cs="Times New Roman"/>
                      <w:b/>
                      <w:bCs/>
                      <w:snapToGrid w:val="0"/>
                      <w:color w:val="auto"/>
                      <w:sz w:val="18"/>
                      <w:szCs w:val="18"/>
                      <w:highlight w:val="none"/>
                      <w:lang w:val="en-US" w:eastAsia="zh-CN"/>
                    </w:rPr>
                    <w:t>组成或规格型号</w:t>
                  </w:r>
                </w:p>
              </w:tc>
              <w:tc>
                <w:tcPr>
                  <w:tcW w:w="521" w:type="pct"/>
                  <w:tcBorders>
                    <w:tl2br w:val="nil"/>
                    <w:tr2bl w:val="nil"/>
                  </w:tcBorders>
                  <w:noWrap w:val="0"/>
                  <w:vAlign w:val="center"/>
                </w:tcPr>
                <w:p w14:paraId="746537F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bCs/>
                      <w:snapToGrid w:val="0"/>
                      <w:color w:val="auto"/>
                      <w:sz w:val="18"/>
                      <w:szCs w:val="18"/>
                      <w:highlight w:val="none"/>
                      <w:lang w:val="en-US" w:eastAsia="zh-CN"/>
                    </w:rPr>
                  </w:pPr>
                  <w:r>
                    <w:rPr>
                      <w:rFonts w:hint="eastAsia" w:cs="Times New Roman"/>
                      <w:b/>
                      <w:bCs/>
                      <w:snapToGrid w:val="0"/>
                      <w:color w:val="auto"/>
                      <w:sz w:val="18"/>
                      <w:szCs w:val="18"/>
                      <w:highlight w:val="none"/>
                      <w:lang w:val="en-US" w:eastAsia="zh-CN"/>
                    </w:rPr>
                    <w:t>数量</w:t>
                  </w:r>
                </w:p>
              </w:tc>
              <w:tc>
                <w:tcPr>
                  <w:tcW w:w="494" w:type="pct"/>
                  <w:tcBorders>
                    <w:tl2br w:val="nil"/>
                    <w:tr2bl w:val="nil"/>
                  </w:tcBorders>
                  <w:noWrap w:val="0"/>
                  <w:vAlign w:val="center"/>
                </w:tcPr>
                <w:p w14:paraId="67D8E7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s="Times New Roman"/>
                      <w:b/>
                      <w:bCs/>
                      <w:snapToGrid w:val="0"/>
                      <w:color w:val="auto"/>
                      <w:sz w:val="18"/>
                      <w:szCs w:val="18"/>
                      <w:highlight w:val="none"/>
                      <w:lang w:eastAsia="zh-CN"/>
                    </w:rPr>
                  </w:pPr>
                  <w:r>
                    <w:rPr>
                      <w:rFonts w:hint="eastAsia" w:cs="Times New Roman"/>
                      <w:b/>
                      <w:bCs/>
                      <w:snapToGrid w:val="0"/>
                      <w:color w:val="auto"/>
                      <w:sz w:val="18"/>
                      <w:szCs w:val="18"/>
                      <w:highlight w:val="none"/>
                      <w:lang w:val="en-US" w:eastAsia="zh-CN"/>
                    </w:rPr>
                    <w:t>单位</w:t>
                  </w:r>
                </w:p>
              </w:tc>
            </w:tr>
            <w:tr w14:paraId="1B1DC7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69" w:hRule="atLeast"/>
                <w:tblHeader/>
                <w:jc w:val="center"/>
              </w:trPr>
              <w:tc>
                <w:tcPr>
                  <w:tcW w:w="5000" w:type="pct"/>
                  <w:gridSpan w:val="5"/>
                  <w:tcBorders>
                    <w:tl2br w:val="nil"/>
                    <w:tr2bl w:val="nil"/>
                  </w:tcBorders>
                  <w:noWrap w:val="0"/>
                  <w:vAlign w:val="center"/>
                </w:tcPr>
                <w:p w14:paraId="7503FB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bCs/>
                      <w:snapToGrid w:val="0"/>
                      <w:color w:val="auto"/>
                      <w:sz w:val="18"/>
                      <w:szCs w:val="18"/>
                      <w:highlight w:val="none"/>
                      <w:lang w:val="en-US" w:eastAsia="zh-CN"/>
                    </w:rPr>
                  </w:pPr>
                  <w:r>
                    <w:rPr>
                      <w:rFonts w:hint="eastAsia" w:cs="Times New Roman"/>
                      <w:snapToGrid w:val="0"/>
                      <w:color w:val="auto"/>
                      <w:sz w:val="18"/>
                      <w:szCs w:val="18"/>
                      <w:highlight w:val="none"/>
                      <w:lang w:eastAsia="zh-CN"/>
                    </w:rPr>
                    <w:t>高磁感取向硅钢</w:t>
                  </w:r>
                  <w:r>
                    <w:rPr>
                      <w:rFonts w:hint="eastAsia" w:cs="Times New Roman"/>
                      <w:snapToGrid w:val="0"/>
                      <w:color w:val="auto"/>
                      <w:sz w:val="18"/>
                      <w:szCs w:val="18"/>
                      <w:highlight w:val="none"/>
                      <w:lang w:val="en-US" w:eastAsia="zh-CN"/>
                    </w:rPr>
                    <w:t>产品</w:t>
                  </w:r>
                </w:p>
              </w:tc>
            </w:tr>
            <w:tr w14:paraId="5DFE2B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69" w:hRule="atLeast"/>
                <w:tblHeader/>
                <w:jc w:val="center"/>
              </w:trPr>
              <w:tc>
                <w:tcPr>
                  <w:tcW w:w="183" w:type="pct"/>
                  <w:tcBorders>
                    <w:tl2br w:val="nil"/>
                    <w:tr2bl w:val="nil"/>
                  </w:tcBorders>
                  <w:noWrap w:val="0"/>
                  <w:vAlign w:val="center"/>
                </w:tcPr>
                <w:p w14:paraId="67882FC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cs="Times New Roman"/>
                      <w:b/>
                      <w:bCs/>
                      <w:snapToGrid w:val="0"/>
                      <w:color w:val="auto"/>
                      <w:sz w:val="18"/>
                      <w:szCs w:val="18"/>
                      <w:highlight w:val="none"/>
                    </w:rPr>
                  </w:pPr>
                  <w:r>
                    <w:rPr>
                      <w:rFonts w:cs="Times New Roman"/>
                      <w:snapToGrid w:val="0"/>
                      <w:color w:val="auto"/>
                      <w:sz w:val="18"/>
                      <w:szCs w:val="18"/>
                      <w:highlight w:val="none"/>
                    </w:rPr>
                    <w:t>1</w:t>
                  </w:r>
                </w:p>
              </w:tc>
              <w:tc>
                <w:tcPr>
                  <w:tcW w:w="1213" w:type="pct"/>
                  <w:tcBorders>
                    <w:tl2br w:val="nil"/>
                    <w:tr2bl w:val="nil"/>
                  </w:tcBorders>
                  <w:noWrap w:val="0"/>
                  <w:vAlign w:val="center"/>
                </w:tcPr>
                <w:p w14:paraId="5A9F022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snapToGrid w:val="0"/>
                      <w:color w:val="auto"/>
                      <w:sz w:val="18"/>
                      <w:szCs w:val="18"/>
                      <w:highlight w:val="none"/>
                      <w:lang w:val="en-US" w:eastAsia="zh-CN"/>
                    </w:rPr>
                  </w:pPr>
                  <w:r>
                    <w:rPr>
                      <w:rFonts w:hint="eastAsia" w:cs="Times New Roman"/>
                      <w:b w:val="0"/>
                      <w:bCs w:val="0"/>
                      <w:snapToGrid w:val="0"/>
                      <w:color w:val="auto"/>
                      <w:sz w:val="18"/>
                      <w:szCs w:val="18"/>
                      <w:highlight w:val="none"/>
                      <w:lang w:val="en-US" w:eastAsia="zh-CN"/>
                    </w:rPr>
                    <w:t>常规酸化机组（APL）</w:t>
                  </w:r>
                </w:p>
              </w:tc>
              <w:tc>
                <w:tcPr>
                  <w:tcW w:w="2587" w:type="pct"/>
                  <w:tcBorders>
                    <w:tl2br w:val="nil"/>
                    <w:tr2bl w:val="nil"/>
                  </w:tcBorders>
                  <w:noWrap w:val="0"/>
                  <w:vAlign w:val="center"/>
                </w:tcPr>
                <w:p w14:paraId="6D6C5F1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 w:val="0"/>
                      <w:bCs w:val="0"/>
                      <w:snapToGrid w:val="0"/>
                      <w:color w:val="auto"/>
                      <w:sz w:val="18"/>
                      <w:szCs w:val="18"/>
                      <w:highlight w:val="none"/>
                      <w:lang w:val="en-US" w:eastAsia="zh-CN"/>
                    </w:rPr>
                  </w:pPr>
                  <w:r>
                    <w:rPr>
                      <w:rFonts w:hint="eastAsia" w:cs="Times New Roman"/>
                      <w:b w:val="0"/>
                      <w:bCs w:val="0"/>
                      <w:snapToGrid w:val="0"/>
                      <w:color w:val="auto"/>
                      <w:sz w:val="18"/>
                      <w:szCs w:val="18"/>
                      <w:highlight w:val="none"/>
                      <w:lang w:val="en-US" w:eastAsia="zh-CN"/>
                    </w:rPr>
                    <w:t>机组速度:工艺段:Max.30/min</w:t>
                  </w:r>
                </w:p>
                <w:p w14:paraId="0BC589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 w:val="0"/>
                      <w:bCs w:val="0"/>
                      <w:snapToGrid w:val="0"/>
                      <w:color w:val="auto"/>
                      <w:sz w:val="18"/>
                      <w:szCs w:val="18"/>
                      <w:highlight w:val="none"/>
                      <w:lang w:val="en-US" w:eastAsia="zh-CN"/>
                    </w:rPr>
                  </w:pPr>
                  <w:r>
                    <w:rPr>
                      <w:rFonts w:hint="eastAsia" w:cs="Times New Roman"/>
                      <w:b w:val="0"/>
                      <w:bCs w:val="0"/>
                      <w:snapToGrid w:val="0"/>
                      <w:color w:val="auto"/>
                      <w:sz w:val="18"/>
                      <w:szCs w:val="18"/>
                      <w:highlight w:val="none"/>
                      <w:lang w:val="en-US" w:eastAsia="zh-CN"/>
                    </w:rPr>
                    <w:t>处理能力:约28万t/a(出口)</w:t>
                  </w:r>
                </w:p>
                <w:p w14:paraId="2C9C3F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 w:val="0"/>
                      <w:bCs w:val="0"/>
                      <w:snapToGrid w:val="0"/>
                      <w:color w:val="auto"/>
                      <w:sz w:val="18"/>
                      <w:szCs w:val="18"/>
                      <w:highlight w:val="none"/>
                      <w:lang w:val="en-US" w:eastAsia="zh-CN"/>
                    </w:rPr>
                  </w:pPr>
                  <w:r>
                    <w:rPr>
                      <w:rFonts w:hint="eastAsia" w:cs="Times New Roman"/>
                      <w:b w:val="0"/>
                      <w:bCs w:val="0"/>
                      <w:snapToGrid w:val="0"/>
                      <w:color w:val="auto"/>
                      <w:sz w:val="18"/>
                      <w:szCs w:val="18"/>
                      <w:highlight w:val="none"/>
                      <w:lang w:val="en-US" w:eastAsia="zh-CN"/>
                    </w:rPr>
                    <w:t>主要设备组成：开卷机、焊机、圆盘剪、入口活套、退火炉、抛丸机、酸洗段、出口活套、卷取机等</w:t>
                  </w:r>
                </w:p>
              </w:tc>
              <w:tc>
                <w:tcPr>
                  <w:tcW w:w="521" w:type="pct"/>
                  <w:tcBorders>
                    <w:tl2br w:val="nil"/>
                    <w:tr2bl w:val="nil"/>
                  </w:tcBorders>
                  <w:noWrap w:val="0"/>
                  <w:vAlign w:val="center"/>
                </w:tcPr>
                <w:p w14:paraId="212744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snapToGrid w:val="0"/>
                      <w:color w:val="auto"/>
                      <w:sz w:val="18"/>
                      <w:szCs w:val="18"/>
                      <w:highlight w:val="none"/>
                      <w:lang w:val="en-US" w:eastAsia="zh-CN"/>
                    </w:rPr>
                  </w:pPr>
                  <w:r>
                    <w:rPr>
                      <w:rFonts w:hint="eastAsia" w:cs="Times New Roman"/>
                      <w:b w:val="0"/>
                      <w:bCs w:val="0"/>
                      <w:snapToGrid w:val="0"/>
                      <w:color w:val="auto"/>
                      <w:sz w:val="18"/>
                      <w:szCs w:val="18"/>
                      <w:highlight w:val="none"/>
                      <w:lang w:val="en-US" w:eastAsia="zh-CN"/>
                    </w:rPr>
                    <w:t>1</w:t>
                  </w:r>
                </w:p>
              </w:tc>
              <w:tc>
                <w:tcPr>
                  <w:tcW w:w="494" w:type="pct"/>
                  <w:tcBorders>
                    <w:tl2br w:val="nil"/>
                    <w:tr2bl w:val="nil"/>
                  </w:tcBorders>
                  <w:noWrap w:val="0"/>
                  <w:vAlign w:val="center"/>
                </w:tcPr>
                <w:p w14:paraId="4E59889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s="Times New Roman"/>
                      <w:b w:val="0"/>
                      <w:bCs w:val="0"/>
                      <w:snapToGrid w:val="0"/>
                      <w:color w:val="auto"/>
                      <w:sz w:val="18"/>
                      <w:szCs w:val="18"/>
                      <w:highlight w:val="none"/>
                      <w:lang w:val="en-US" w:eastAsia="zh-CN"/>
                    </w:rPr>
                  </w:pPr>
                  <w:r>
                    <w:rPr>
                      <w:rFonts w:hint="eastAsia" w:cs="Times New Roman"/>
                      <w:b w:val="0"/>
                      <w:bCs w:val="0"/>
                      <w:snapToGrid w:val="0"/>
                      <w:color w:val="auto"/>
                      <w:sz w:val="18"/>
                      <w:szCs w:val="18"/>
                      <w:highlight w:val="none"/>
                      <w:lang w:val="en-US" w:eastAsia="zh-CN"/>
                    </w:rPr>
                    <w:t>条</w:t>
                  </w:r>
                </w:p>
              </w:tc>
            </w:tr>
            <w:tr w14:paraId="23C443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90" w:hRule="atLeast"/>
                <w:jc w:val="center"/>
              </w:trPr>
              <w:tc>
                <w:tcPr>
                  <w:tcW w:w="183" w:type="pct"/>
                  <w:tcBorders>
                    <w:tl2br w:val="nil"/>
                    <w:tr2bl w:val="nil"/>
                  </w:tcBorders>
                  <w:shd w:val="clear" w:color="auto" w:fill="auto"/>
                  <w:noWrap w:val="0"/>
                  <w:vAlign w:val="center"/>
                </w:tcPr>
                <w:p w14:paraId="5ADF72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2</w:t>
                  </w:r>
                </w:p>
              </w:tc>
              <w:tc>
                <w:tcPr>
                  <w:tcW w:w="1213" w:type="pct"/>
                  <w:tcBorders>
                    <w:tl2br w:val="nil"/>
                    <w:tr2bl w:val="nil"/>
                  </w:tcBorders>
                  <w:noWrap w:val="0"/>
                  <w:vAlign w:val="center"/>
                </w:tcPr>
                <w:p w14:paraId="28206C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轧前准备机组（CPL）</w:t>
                  </w:r>
                </w:p>
              </w:tc>
              <w:tc>
                <w:tcPr>
                  <w:tcW w:w="2587" w:type="pct"/>
                  <w:tcBorders>
                    <w:tl2br w:val="nil"/>
                    <w:tr2bl w:val="nil"/>
                  </w:tcBorders>
                  <w:noWrap w:val="0"/>
                  <w:vAlign w:val="center"/>
                </w:tcPr>
                <w:p w14:paraId="64A43C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kern w:val="2"/>
                      <w:sz w:val="18"/>
                      <w:szCs w:val="18"/>
                      <w:highlight w:val="none"/>
                      <w:lang w:eastAsia="zh-CN"/>
                    </w:rPr>
                  </w:pPr>
                  <w:r>
                    <w:rPr>
                      <w:rFonts w:hint="eastAsia" w:cs="Times New Roman"/>
                      <w:color w:val="auto"/>
                      <w:kern w:val="2"/>
                      <w:sz w:val="18"/>
                      <w:szCs w:val="18"/>
                      <w:highlight w:val="none"/>
                      <w:lang w:eastAsia="zh-CN"/>
                    </w:rPr>
                    <w:t>工艺速度:Max120m/min(温度0-100</w:t>
                  </w:r>
                  <w:r>
                    <w:rPr>
                      <w:rFonts w:hint="eastAsia" w:cs="Times New Roman"/>
                      <w:color w:val="auto"/>
                      <w:kern w:val="2"/>
                      <w:sz w:val="18"/>
                      <w:szCs w:val="18"/>
                      <w:highlight w:val="none"/>
                      <w:lang w:val="en-US" w:eastAsia="zh-CN"/>
                    </w:rPr>
                    <w:t>℃</w:t>
                  </w:r>
                  <w:r>
                    <w:rPr>
                      <w:rFonts w:hint="eastAsia" w:cs="Times New Roman"/>
                      <w:color w:val="auto"/>
                      <w:kern w:val="2"/>
                      <w:sz w:val="18"/>
                      <w:szCs w:val="18"/>
                      <w:highlight w:val="none"/>
                      <w:lang w:eastAsia="zh-CN"/>
                    </w:rPr>
                    <w:t>)处理能力:约10.8万t/a(出口)</w:t>
                  </w:r>
                </w:p>
                <w:p w14:paraId="60372A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kern w:val="2"/>
                      <w:sz w:val="18"/>
                      <w:szCs w:val="18"/>
                      <w:highlight w:val="none"/>
                      <w:lang w:eastAsia="zh-CN"/>
                    </w:rPr>
                  </w:pPr>
                  <w:r>
                    <w:rPr>
                      <w:rFonts w:hint="eastAsia" w:cs="Times New Roman"/>
                      <w:color w:val="auto"/>
                      <w:kern w:val="2"/>
                      <w:sz w:val="18"/>
                      <w:szCs w:val="18"/>
                      <w:highlight w:val="none"/>
                      <w:lang w:eastAsia="zh-CN"/>
                    </w:rPr>
                    <w:t>主要设备组成：入口鞍座、夹送辊直头机、开卷机、张力辊、激光焊机、电磁感应加热、纠偏系统、出口卷取机等。</w:t>
                  </w:r>
                </w:p>
              </w:tc>
              <w:tc>
                <w:tcPr>
                  <w:tcW w:w="521" w:type="pct"/>
                  <w:tcBorders>
                    <w:tl2br w:val="nil"/>
                    <w:tr2bl w:val="nil"/>
                  </w:tcBorders>
                  <w:noWrap w:val="0"/>
                  <w:vAlign w:val="center"/>
                </w:tcPr>
                <w:p w14:paraId="2A74AD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1</w:t>
                  </w:r>
                </w:p>
              </w:tc>
              <w:tc>
                <w:tcPr>
                  <w:tcW w:w="494" w:type="pct"/>
                  <w:tcBorders>
                    <w:tl2br w:val="nil"/>
                    <w:tr2bl w:val="nil"/>
                  </w:tcBorders>
                  <w:noWrap w:val="0"/>
                  <w:vAlign w:val="center"/>
                </w:tcPr>
                <w:p w14:paraId="222620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条</w:t>
                  </w:r>
                </w:p>
              </w:tc>
            </w:tr>
            <w:tr w14:paraId="2C819B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69" w:hRule="atLeast"/>
                <w:jc w:val="center"/>
              </w:trPr>
              <w:tc>
                <w:tcPr>
                  <w:tcW w:w="183" w:type="pct"/>
                  <w:tcBorders>
                    <w:tl2br w:val="nil"/>
                    <w:tr2bl w:val="nil"/>
                  </w:tcBorders>
                  <w:shd w:val="clear" w:color="auto" w:fill="auto"/>
                  <w:noWrap w:val="0"/>
                  <w:vAlign w:val="center"/>
                </w:tcPr>
                <w:p w14:paraId="7966B6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3</w:t>
                  </w:r>
                </w:p>
              </w:tc>
              <w:tc>
                <w:tcPr>
                  <w:tcW w:w="1213" w:type="pct"/>
                  <w:tcBorders>
                    <w:tl2br w:val="nil"/>
                    <w:tr2bl w:val="nil"/>
                  </w:tcBorders>
                  <w:noWrap w:val="0"/>
                  <w:vAlign w:val="center"/>
                </w:tcPr>
                <w:p w14:paraId="0A1395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二十辊单机架轧机机组（RCM）</w:t>
                  </w:r>
                </w:p>
              </w:tc>
              <w:tc>
                <w:tcPr>
                  <w:tcW w:w="2587" w:type="pct"/>
                  <w:tcBorders>
                    <w:tl2br w:val="nil"/>
                    <w:tr2bl w:val="nil"/>
                  </w:tcBorders>
                  <w:noWrap w:val="0"/>
                  <w:vAlign w:val="center"/>
                </w:tcPr>
                <w:p w14:paraId="0E48F6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kern w:val="2"/>
                      <w:sz w:val="18"/>
                      <w:szCs w:val="18"/>
                      <w:highlight w:val="none"/>
                      <w:lang w:eastAsia="zh-CN"/>
                    </w:rPr>
                  </w:pPr>
                  <w:r>
                    <w:rPr>
                      <w:rFonts w:hint="eastAsia" w:cs="Times New Roman"/>
                      <w:color w:val="auto"/>
                      <w:kern w:val="2"/>
                      <w:sz w:val="18"/>
                      <w:szCs w:val="18"/>
                      <w:highlight w:val="none"/>
                      <w:lang w:eastAsia="zh-CN"/>
                    </w:rPr>
                    <w:t>工艺速度:Max.800m/min</w:t>
                  </w:r>
                </w:p>
                <w:p w14:paraId="6E1736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kern w:val="2"/>
                      <w:sz w:val="18"/>
                      <w:szCs w:val="18"/>
                      <w:highlight w:val="none"/>
                      <w:lang w:eastAsia="zh-CN"/>
                    </w:rPr>
                  </w:pPr>
                  <w:r>
                    <w:rPr>
                      <w:rFonts w:hint="eastAsia" w:cs="Times New Roman"/>
                      <w:color w:val="auto"/>
                      <w:kern w:val="2"/>
                      <w:sz w:val="18"/>
                      <w:szCs w:val="18"/>
                      <w:highlight w:val="none"/>
                      <w:lang w:eastAsia="zh-CN"/>
                    </w:rPr>
                    <w:t>处理能力:约10.6万t/a(出口)</w:t>
                  </w:r>
                </w:p>
                <w:p w14:paraId="38A82A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kern w:val="2"/>
                      <w:sz w:val="18"/>
                      <w:szCs w:val="18"/>
                      <w:highlight w:val="none"/>
                      <w:lang w:eastAsia="zh-CN"/>
                    </w:rPr>
                  </w:pPr>
                  <w:r>
                    <w:rPr>
                      <w:rFonts w:hint="eastAsia" w:cs="Times New Roman"/>
                      <w:color w:val="auto"/>
                      <w:kern w:val="2"/>
                      <w:sz w:val="18"/>
                      <w:szCs w:val="18"/>
                      <w:highlight w:val="none"/>
                      <w:lang w:eastAsia="zh-CN"/>
                    </w:rPr>
                    <w:t>主要设备组成：开卷机、钢卷小车、入口卷取机、入口工艺平台、二十辊主机、出口工艺平台、出口卷取机等。</w:t>
                  </w:r>
                </w:p>
              </w:tc>
              <w:tc>
                <w:tcPr>
                  <w:tcW w:w="521" w:type="pct"/>
                  <w:tcBorders>
                    <w:tl2br w:val="nil"/>
                    <w:tr2bl w:val="nil"/>
                  </w:tcBorders>
                  <w:noWrap w:val="0"/>
                  <w:vAlign w:val="center"/>
                </w:tcPr>
                <w:p w14:paraId="0EFAF1A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1</w:t>
                  </w:r>
                </w:p>
              </w:tc>
              <w:tc>
                <w:tcPr>
                  <w:tcW w:w="494" w:type="pct"/>
                  <w:tcBorders>
                    <w:tl2br w:val="nil"/>
                    <w:tr2bl w:val="nil"/>
                  </w:tcBorders>
                  <w:noWrap w:val="0"/>
                  <w:vAlign w:val="center"/>
                </w:tcPr>
                <w:p w14:paraId="04E669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台</w:t>
                  </w:r>
                </w:p>
              </w:tc>
            </w:tr>
            <w:tr w14:paraId="6B122E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69" w:hRule="atLeast"/>
                <w:jc w:val="center"/>
              </w:trPr>
              <w:tc>
                <w:tcPr>
                  <w:tcW w:w="183" w:type="pct"/>
                  <w:tcBorders>
                    <w:tl2br w:val="nil"/>
                    <w:tr2bl w:val="nil"/>
                  </w:tcBorders>
                  <w:shd w:val="clear" w:color="auto" w:fill="auto"/>
                  <w:noWrap w:val="0"/>
                  <w:vAlign w:val="center"/>
                </w:tcPr>
                <w:p w14:paraId="3802A67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4</w:t>
                  </w:r>
                </w:p>
              </w:tc>
              <w:tc>
                <w:tcPr>
                  <w:tcW w:w="1213" w:type="pct"/>
                  <w:tcBorders>
                    <w:tl2br w:val="nil"/>
                    <w:tr2bl w:val="nil"/>
                  </w:tcBorders>
                  <w:noWrap w:val="0"/>
                  <w:vAlign w:val="center"/>
                </w:tcPr>
                <w:p w14:paraId="0E7F55F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取向硅钢脱碳退火涂层机组（DCL）</w:t>
                  </w:r>
                </w:p>
              </w:tc>
              <w:tc>
                <w:tcPr>
                  <w:tcW w:w="2587" w:type="pct"/>
                  <w:tcBorders>
                    <w:tl2br w:val="nil"/>
                    <w:tr2bl w:val="nil"/>
                  </w:tcBorders>
                  <w:noWrap w:val="0"/>
                  <w:vAlign w:val="center"/>
                </w:tcPr>
                <w:p w14:paraId="6A681E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default" w:cs="Times New Roman"/>
                      <w:color w:val="auto"/>
                      <w:kern w:val="2"/>
                      <w:sz w:val="18"/>
                      <w:szCs w:val="18"/>
                      <w:highlight w:val="none"/>
                      <w:lang w:val="en-US" w:eastAsia="zh-CN"/>
                    </w:rPr>
                    <w:t>机组速度:</w:t>
                  </w:r>
                </w:p>
                <w:p w14:paraId="065BDC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default" w:cs="Times New Roman"/>
                      <w:color w:val="auto"/>
                      <w:kern w:val="2"/>
                      <w:sz w:val="18"/>
                      <w:szCs w:val="18"/>
                      <w:highlight w:val="none"/>
                      <w:lang w:val="en-US" w:eastAsia="zh-CN"/>
                    </w:rPr>
                    <w:t>工艺段:Max.120/min</w:t>
                  </w:r>
                </w:p>
                <w:p w14:paraId="168185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default" w:cs="Times New Roman"/>
                      <w:color w:val="auto"/>
                      <w:kern w:val="2"/>
                      <w:sz w:val="18"/>
                      <w:szCs w:val="18"/>
                      <w:highlight w:val="none"/>
                      <w:lang w:val="en-US" w:eastAsia="zh-CN"/>
                    </w:rPr>
                    <w:t>入口段:Max.150/min</w:t>
                  </w:r>
                </w:p>
                <w:p w14:paraId="5374258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default" w:cs="Times New Roman"/>
                      <w:color w:val="auto"/>
                      <w:kern w:val="2"/>
                      <w:sz w:val="18"/>
                      <w:szCs w:val="18"/>
                      <w:highlight w:val="none"/>
                      <w:lang w:val="en-US" w:eastAsia="zh-CN"/>
                    </w:rPr>
                    <w:t>出口段:Max.150/min</w:t>
                  </w:r>
                </w:p>
                <w:p w14:paraId="7F42FA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default" w:cs="Times New Roman"/>
                      <w:color w:val="auto"/>
                      <w:kern w:val="2"/>
                      <w:sz w:val="18"/>
                      <w:szCs w:val="18"/>
                      <w:highlight w:val="none"/>
                      <w:lang w:val="en-US" w:eastAsia="zh-CN"/>
                    </w:rPr>
                    <w:t>处理能力:约10.6万tha(出口)</w:t>
                  </w:r>
                </w:p>
                <w:p w14:paraId="130812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default" w:cs="Times New Roman"/>
                      <w:color w:val="auto"/>
                      <w:kern w:val="2"/>
                      <w:sz w:val="18"/>
                      <w:szCs w:val="18"/>
                      <w:highlight w:val="none"/>
                      <w:lang w:val="en-US" w:eastAsia="zh-CN"/>
                    </w:rPr>
                    <w:t>主要设备组成</w:t>
                  </w:r>
                  <w:r>
                    <w:rPr>
                      <w:rFonts w:hint="eastAsia" w:cs="Times New Roman"/>
                      <w:color w:val="auto"/>
                      <w:kern w:val="2"/>
                      <w:sz w:val="18"/>
                      <w:szCs w:val="18"/>
                      <w:highlight w:val="none"/>
                      <w:lang w:val="en-US" w:eastAsia="zh-CN"/>
                    </w:rPr>
                    <w:t>：</w:t>
                  </w:r>
                  <w:r>
                    <w:rPr>
                      <w:rFonts w:hint="default" w:cs="Times New Roman"/>
                      <w:color w:val="auto"/>
                      <w:kern w:val="2"/>
                      <w:sz w:val="18"/>
                      <w:szCs w:val="18"/>
                      <w:highlight w:val="none"/>
                      <w:lang w:val="en-US" w:eastAsia="zh-CN"/>
                    </w:rPr>
                    <w:t>开卷机</w:t>
                  </w:r>
                  <w:r>
                    <w:rPr>
                      <w:rFonts w:hint="eastAsia" w:cs="Times New Roman"/>
                      <w:color w:val="auto"/>
                      <w:kern w:val="2"/>
                      <w:sz w:val="18"/>
                      <w:szCs w:val="18"/>
                      <w:highlight w:val="none"/>
                      <w:lang w:val="en-US" w:eastAsia="zh-CN"/>
                    </w:rPr>
                    <w:t>2套，</w:t>
                  </w:r>
                  <w:r>
                    <w:rPr>
                      <w:rFonts w:hint="default" w:cs="Times New Roman"/>
                      <w:color w:val="auto"/>
                      <w:kern w:val="2"/>
                      <w:sz w:val="18"/>
                      <w:szCs w:val="18"/>
                      <w:highlight w:val="none"/>
                      <w:lang w:val="en-US" w:eastAsia="zh-CN"/>
                    </w:rPr>
                    <w:t>张力机</w:t>
                  </w:r>
                  <w:r>
                    <w:rPr>
                      <w:rFonts w:hint="eastAsia" w:cs="Times New Roman"/>
                      <w:color w:val="auto"/>
                      <w:kern w:val="2"/>
                      <w:sz w:val="18"/>
                      <w:szCs w:val="18"/>
                      <w:highlight w:val="none"/>
                      <w:lang w:val="en-US" w:eastAsia="zh-CN"/>
                    </w:rPr>
                    <w:t>8台，</w:t>
                  </w:r>
                  <w:r>
                    <w:rPr>
                      <w:rFonts w:hint="default" w:cs="Times New Roman"/>
                      <w:color w:val="auto"/>
                      <w:kern w:val="2"/>
                      <w:sz w:val="18"/>
                      <w:szCs w:val="18"/>
                      <w:highlight w:val="none"/>
                      <w:lang w:val="en-US" w:eastAsia="zh-CN"/>
                    </w:rPr>
                    <w:t>脱脂刷洗清洗段</w:t>
                  </w:r>
                  <w:r>
                    <w:rPr>
                      <w:rFonts w:hint="eastAsia" w:cs="Times New Roman"/>
                      <w:color w:val="auto"/>
                      <w:kern w:val="2"/>
                      <w:sz w:val="18"/>
                      <w:szCs w:val="18"/>
                      <w:highlight w:val="none"/>
                      <w:lang w:val="en-US" w:eastAsia="zh-CN"/>
                    </w:rPr>
                    <w:t>1套，</w:t>
                  </w:r>
                  <w:r>
                    <w:rPr>
                      <w:rFonts w:hint="default" w:cs="Times New Roman"/>
                      <w:color w:val="auto"/>
                      <w:kern w:val="2"/>
                      <w:sz w:val="18"/>
                      <w:szCs w:val="18"/>
                      <w:highlight w:val="none"/>
                      <w:lang w:val="en-US" w:eastAsia="zh-CN"/>
                    </w:rPr>
                    <w:t>入口活套</w:t>
                  </w:r>
                  <w:r>
                    <w:rPr>
                      <w:rFonts w:hint="eastAsia" w:cs="Times New Roman"/>
                      <w:color w:val="auto"/>
                      <w:kern w:val="2"/>
                      <w:sz w:val="18"/>
                      <w:szCs w:val="18"/>
                      <w:highlight w:val="none"/>
                      <w:lang w:val="en-US" w:eastAsia="zh-CN"/>
                    </w:rPr>
                    <w:t>1套，</w:t>
                  </w:r>
                  <w:r>
                    <w:rPr>
                      <w:rFonts w:hint="default" w:cs="Times New Roman"/>
                      <w:color w:val="auto"/>
                      <w:kern w:val="2"/>
                      <w:sz w:val="18"/>
                      <w:szCs w:val="18"/>
                      <w:highlight w:val="none"/>
                      <w:lang w:val="en-US" w:eastAsia="zh-CN"/>
                    </w:rPr>
                    <w:t>脱碳渗氮退火工艺段</w:t>
                  </w:r>
                  <w:r>
                    <w:rPr>
                      <w:rFonts w:hint="eastAsia" w:cs="Times New Roman"/>
                      <w:color w:val="auto"/>
                      <w:kern w:val="2"/>
                      <w:sz w:val="18"/>
                      <w:szCs w:val="18"/>
                      <w:highlight w:val="none"/>
                      <w:lang w:val="en-US" w:eastAsia="zh-CN"/>
                    </w:rPr>
                    <w:t>1套，</w:t>
                  </w:r>
                  <w:r>
                    <w:rPr>
                      <w:rFonts w:hint="default" w:cs="Times New Roman"/>
                      <w:color w:val="auto"/>
                      <w:kern w:val="2"/>
                      <w:sz w:val="18"/>
                      <w:szCs w:val="18"/>
                      <w:highlight w:val="none"/>
                      <w:lang w:val="en-US" w:eastAsia="zh-CN"/>
                    </w:rPr>
                    <w:t>出口活套</w:t>
                  </w:r>
                  <w:r>
                    <w:rPr>
                      <w:rFonts w:hint="eastAsia" w:cs="Times New Roman"/>
                      <w:color w:val="auto"/>
                      <w:kern w:val="2"/>
                      <w:sz w:val="18"/>
                      <w:szCs w:val="18"/>
                      <w:highlight w:val="none"/>
                      <w:lang w:val="en-US" w:eastAsia="zh-CN"/>
                    </w:rPr>
                    <w:t>1套，</w:t>
                  </w:r>
                  <w:r>
                    <w:rPr>
                      <w:rFonts w:hint="default" w:cs="Times New Roman"/>
                      <w:color w:val="auto"/>
                      <w:kern w:val="2"/>
                      <w:sz w:val="18"/>
                      <w:szCs w:val="18"/>
                      <w:highlight w:val="none"/>
                      <w:lang w:val="en-US" w:eastAsia="zh-CN"/>
                    </w:rPr>
                    <w:t>后洗清洗段</w:t>
                  </w:r>
                  <w:r>
                    <w:rPr>
                      <w:rFonts w:hint="eastAsia" w:cs="Times New Roman"/>
                      <w:color w:val="auto"/>
                      <w:kern w:val="2"/>
                      <w:sz w:val="18"/>
                      <w:szCs w:val="18"/>
                      <w:highlight w:val="none"/>
                      <w:lang w:val="en-US" w:eastAsia="zh-CN"/>
                    </w:rPr>
                    <w:t>1套，</w:t>
                  </w:r>
                  <w:r>
                    <w:rPr>
                      <w:rFonts w:hint="default" w:cs="Times New Roman"/>
                      <w:color w:val="auto"/>
                      <w:kern w:val="2"/>
                      <w:sz w:val="18"/>
                      <w:szCs w:val="18"/>
                      <w:highlight w:val="none"/>
                      <w:lang w:val="en-US" w:eastAsia="zh-CN"/>
                    </w:rPr>
                    <w:t>涂层机</w:t>
                  </w:r>
                  <w:r>
                    <w:rPr>
                      <w:rFonts w:hint="eastAsia" w:cs="Times New Roman"/>
                      <w:color w:val="auto"/>
                      <w:kern w:val="2"/>
                      <w:sz w:val="18"/>
                      <w:szCs w:val="18"/>
                      <w:highlight w:val="none"/>
                      <w:lang w:val="en-US" w:eastAsia="zh-CN"/>
                    </w:rPr>
                    <w:t>2套，</w:t>
                  </w:r>
                  <w:r>
                    <w:rPr>
                      <w:rFonts w:hint="default" w:cs="Times New Roman"/>
                      <w:color w:val="auto"/>
                      <w:kern w:val="2"/>
                      <w:sz w:val="18"/>
                      <w:szCs w:val="18"/>
                      <w:highlight w:val="none"/>
                      <w:lang w:val="en-US" w:eastAsia="zh-CN"/>
                    </w:rPr>
                    <w:t>烘干工艺段</w:t>
                  </w:r>
                  <w:r>
                    <w:rPr>
                      <w:rFonts w:hint="eastAsia" w:cs="Times New Roman"/>
                      <w:color w:val="auto"/>
                      <w:kern w:val="2"/>
                      <w:sz w:val="18"/>
                      <w:szCs w:val="18"/>
                      <w:highlight w:val="none"/>
                      <w:lang w:val="en-US" w:eastAsia="zh-CN"/>
                    </w:rPr>
                    <w:t>1套，</w:t>
                  </w:r>
                  <w:r>
                    <w:rPr>
                      <w:rFonts w:hint="default" w:cs="Times New Roman"/>
                      <w:color w:val="auto"/>
                      <w:kern w:val="2"/>
                      <w:sz w:val="18"/>
                      <w:szCs w:val="18"/>
                      <w:highlight w:val="none"/>
                      <w:lang w:val="en-US" w:eastAsia="zh-CN"/>
                    </w:rPr>
                    <w:t>卷取机</w:t>
                  </w:r>
                  <w:r>
                    <w:rPr>
                      <w:rFonts w:hint="eastAsia" w:cs="Times New Roman"/>
                      <w:color w:val="auto"/>
                      <w:kern w:val="2"/>
                      <w:sz w:val="18"/>
                      <w:szCs w:val="18"/>
                      <w:highlight w:val="none"/>
                      <w:lang w:val="en-US" w:eastAsia="zh-CN"/>
                    </w:rPr>
                    <w:t>2套</w:t>
                  </w:r>
                </w:p>
              </w:tc>
              <w:tc>
                <w:tcPr>
                  <w:tcW w:w="521" w:type="pct"/>
                  <w:tcBorders>
                    <w:tl2br w:val="nil"/>
                    <w:tr2bl w:val="nil"/>
                  </w:tcBorders>
                  <w:noWrap w:val="0"/>
                  <w:vAlign w:val="center"/>
                </w:tcPr>
                <w:p w14:paraId="4D8423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1</w:t>
                  </w:r>
                </w:p>
              </w:tc>
              <w:tc>
                <w:tcPr>
                  <w:tcW w:w="494" w:type="pct"/>
                  <w:tcBorders>
                    <w:tl2br w:val="nil"/>
                    <w:tr2bl w:val="nil"/>
                  </w:tcBorders>
                  <w:noWrap w:val="0"/>
                  <w:vAlign w:val="center"/>
                </w:tcPr>
                <w:p w14:paraId="2A8D95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条</w:t>
                  </w:r>
                </w:p>
              </w:tc>
            </w:tr>
            <w:tr w14:paraId="7C6AC1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69" w:hRule="atLeast"/>
                <w:jc w:val="center"/>
              </w:trPr>
              <w:tc>
                <w:tcPr>
                  <w:tcW w:w="183" w:type="pct"/>
                  <w:tcBorders>
                    <w:tl2br w:val="nil"/>
                    <w:tr2bl w:val="nil"/>
                  </w:tcBorders>
                  <w:shd w:val="clear" w:color="auto" w:fill="auto"/>
                  <w:noWrap w:val="0"/>
                  <w:vAlign w:val="center"/>
                </w:tcPr>
                <w:p w14:paraId="3060A3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5</w:t>
                  </w:r>
                </w:p>
              </w:tc>
              <w:tc>
                <w:tcPr>
                  <w:tcW w:w="1213" w:type="pct"/>
                  <w:tcBorders>
                    <w:tl2br w:val="nil"/>
                    <w:tr2bl w:val="nil"/>
                  </w:tcBorders>
                  <w:noWrap w:val="0"/>
                  <w:vAlign w:val="center"/>
                </w:tcPr>
                <w:p w14:paraId="05A277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取向硅钢高温罩式炉（BAF）</w:t>
                  </w:r>
                </w:p>
              </w:tc>
              <w:tc>
                <w:tcPr>
                  <w:tcW w:w="2587" w:type="pct"/>
                  <w:tcBorders>
                    <w:tl2br w:val="nil"/>
                    <w:tr2bl w:val="nil"/>
                  </w:tcBorders>
                  <w:noWrap w:val="0"/>
                  <w:vAlign w:val="center"/>
                </w:tcPr>
                <w:p w14:paraId="4B4D9F3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default" w:cs="Times New Roman"/>
                      <w:color w:val="auto"/>
                      <w:kern w:val="2"/>
                      <w:sz w:val="18"/>
                      <w:szCs w:val="18"/>
                      <w:highlight w:val="none"/>
                      <w:lang w:val="en-US" w:eastAsia="zh-CN"/>
                    </w:rPr>
                    <w:t>处理能力</w:t>
                  </w:r>
                  <w:r>
                    <w:rPr>
                      <w:rFonts w:hint="eastAsia" w:cs="Times New Roman"/>
                      <w:color w:val="auto"/>
                      <w:kern w:val="2"/>
                      <w:sz w:val="18"/>
                      <w:szCs w:val="18"/>
                      <w:highlight w:val="none"/>
                      <w:lang w:val="en-US" w:eastAsia="zh-CN"/>
                    </w:rPr>
                    <w:t>：</w:t>
                  </w:r>
                  <w:r>
                    <w:rPr>
                      <w:rFonts w:hint="default" w:cs="Times New Roman"/>
                      <w:color w:val="auto"/>
                      <w:kern w:val="2"/>
                      <w:sz w:val="18"/>
                      <w:szCs w:val="18"/>
                      <w:highlight w:val="none"/>
                      <w:lang w:val="en-US" w:eastAsia="zh-CN"/>
                    </w:rPr>
                    <w:t>10.58万t/a(出口)</w:t>
                  </w:r>
                  <w:r>
                    <w:rPr>
                      <w:rFonts w:hint="eastAsia" w:cs="Times New Roman"/>
                      <w:color w:val="auto"/>
                      <w:kern w:val="2"/>
                      <w:sz w:val="18"/>
                      <w:szCs w:val="18"/>
                      <w:highlight w:val="none"/>
                      <w:lang w:val="en-US" w:eastAsia="zh-CN"/>
                    </w:rPr>
                    <w:t>，主要设备组成：加热罩，炉台，内罩，调压站，控制系统，炉台控制系统，公辅控制系统，计算机</w:t>
                  </w:r>
                </w:p>
              </w:tc>
              <w:tc>
                <w:tcPr>
                  <w:tcW w:w="521" w:type="pct"/>
                  <w:tcBorders>
                    <w:tl2br w:val="nil"/>
                    <w:tr2bl w:val="nil"/>
                  </w:tcBorders>
                  <w:noWrap w:val="0"/>
                  <w:vAlign w:val="center"/>
                </w:tcPr>
                <w:p w14:paraId="0E5FB4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52</w:t>
                  </w:r>
                </w:p>
              </w:tc>
              <w:tc>
                <w:tcPr>
                  <w:tcW w:w="494" w:type="pct"/>
                  <w:tcBorders>
                    <w:tl2br w:val="nil"/>
                    <w:tr2bl w:val="nil"/>
                  </w:tcBorders>
                  <w:noWrap w:val="0"/>
                  <w:vAlign w:val="center"/>
                </w:tcPr>
                <w:p w14:paraId="2FC1CB5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组</w:t>
                  </w:r>
                </w:p>
              </w:tc>
            </w:tr>
            <w:tr w14:paraId="53E7C4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69" w:hRule="atLeast"/>
                <w:jc w:val="center"/>
              </w:trPr>
              <w:tc>
                <w:tcPr>
                  <w:tcW w:w="183" w:type="pct"/>
                  <w:tcBorders>
                    <w:tl2br w:val="nil"/>
                    <w:tr2bl w:val="nil"/>
                  </w:tcBorders>
                  <w:shd w:val="clear" w:color="auto" w:fill="auto"/>
                  <w:noWrap w:val="0"/>
                  <w:vAlign w:val="center"/>
                </w:tcPr>
                <w:p w14:paraId="6A65F6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6</w:t>
                  </w:r>
                </w:p>
              </w:tc>
              <w:tc>
                <w:tcPr>
                  <w:tcW w:w="1213" w:type="pct"/>
                  <w:tcBorders>
                    <w:tl2br w:val="nil"/>
                    <w:tr2bl w:val="nil"/>
                  </w:tcBorders>
                  <w:noWrap w:val="0"/>
                  <w:vAlign w:val="center"/>
                </w:tcPr>
                <w:p w14:paraId="1A6720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取向硅钢热拉伸平整机组（FCL）</w:t>
                  </w:r>
                </w:p>
              </w:tc>
              <w:tc>
                <w:tcPr>
                  <w:tcW w:w="2587" w:type="pct"/>
                  <w:tcBorders>
                    <w:tl2br w:val="nil"/>
                    <w:tr2bl w:val="nil"/>
                  </w:tcBorders>
                  <w:noWrap w:val="0"/>
                  <w:vAlign w:val="center"/>
                </w:tcPr>
                <w:p w14:paraId="433D23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default" w:cs="Times New Roman"/>
                      <w:color w:val="auto"/>
                      <w:kern w:val="2"/>
                      <w:sz w:val="18"/>
                      <w:szCs w:val="18"/>
                      <w:highlight w:val="none"/>
                      <w:lang w:val="en-US" w:eastAsia="zh-CN"/>
                    </w:rPr>
                    <w:t>机组速度</w:t>
                  </w:r>
                  <w:r>
                    <w:rPr>
                      <w:rFonts w:hint="eastAsia" w:cs="Times New Roman"/>
                      <w:color w:val="auto"/>
                      <w:kern w:val="2"/>
                      <w:sz w:val="18"/>
                      <w:szCs w:val="18"/>
                      <w:highlight w:val="none"/>
                      <w:lang w:val="en-US" w:eastAsia="zh-CN"/>
                    </w:rPr>
                    <w:t>：</w:t>
                  </w:r>
                  <w:r>
                    <w:rPr>
                      <w:rFonts w:hint="default" w:cs="Times New Roman"/>
                      <w:color w:val="auto"/>
                      <w:kern w:val="2"/>
                      <w:sz w:val="18"/>
                      <w:szCs w:val="18"/>
                      <w:highlight w:val="none"/>
                      <w:lang w:val="en-US" w:eastAsia="zh-CN"/>
                    </w:rPr>
                    <w:t>工艺段</w:t>
                  </w:r>
                  <w:r>
                    <w:rPr>
                      <w:rFonts w:hint="eastAsia" w:cs="Times New Roman"/>
                      <w:color w:val="auto"/>
                      <w:kern w:val="2"/>
                      <w:sz w:val="18"/>
                      <w:szCs w:val="18"/>
                      <w:highlight w:val="none"/>
                      <w:lang w:val="en-US" w:eastAsia="zh-CN"/>
                    </w:rPr>
                    <w:t>：</w:t>
                  </w:r>
                  <w:r>
                    <w:rPr>
                      <w:rFonts w:hint="default" w:cs="Times New Roman"/>
                      <w:color w:val="auto"/>
                      <w:kern w:val="2"/>
                      <w:sz w:val="18"/>
                      <w:szCs w:val="18"/>
                      <w:highlight w:val="none"/>
                      <w:lang w:val="en-US" w:eastAsia="zh-CN"/>
                    </w:rPr>
                    <w:t>Max.130/min</w:t>
                  </w:r>
                </w:p>
                <w:p w14:paraId="2DAE134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default" w:cs="Times New Roman"/>
                      <w:color w:val="auto"/>
                      <w:kern w:val="2"/>
                      <w:sz w:val="18"/>
                      <w:szCs w:val="18"/>
                      <w:highlight w:val="none"/>
                      <w:lang w:val="en-US" w:eastAsia="zh-CN"/>
                    </w:rPr>
                    <w:t>入口段</w:t>
                  </w:r>
                  <w:r>
                    <w:rPr>
                      <w:rFonts w:hint="eastAsia" w:cs="Times New Roman"/>
                      <w:color w:val="auto"/>
                      <w:kern w:val="2"/>
                      <w:sz w:val="18"/>
                      <w:szCs w:val="18"/>
                      <w:highlight w:val="none"/>
                      <w:lang w:val="en-US" w:eastAsia="zh-CN"/>
                    </w:rPr>
                    <w:t>：</w:t>
                  </w:r>
                  <w:r>
                    <w:rPr>
                      <w:rFonts w:hint="default" w:cs="Times New Roman"/>
                      <w:color w:val="auto"/>
                      <w:kern w:val="2"/>
                      <w:sz w:val="18"/>
                      <w:szCs w:val="18"/>
                      <w:highlight w:val="none"/>
                      <w:lang w:val="en-US" w:eastAsia="zh-CN"/>
                    </w:rPr>
                    <w:t>Max.170/min</w:t>
                  </w:r>
                </w:p>
                <w:p w14:paraId="6D72CF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default" w:cs="Times New Roman"/>
                      <w:color w:val="auto"/>
                      <w:kern w:val="2"/>
                      <w:sz w:val="18"/>
                      <w:szCs w:val="18"/>
                      <w:highlight w:val="none"/>
                      <w:lang w:val="en-US" w:eastAsia="zh-CN"/>
                    </w:rPr>
                    <w:t>出口段:Max.170/min处理能力:10.5万t/a(出口)</w:t>
                  </w:r>
                </w:p>
                <w:p w14:paraId="345A99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default" w:cs="Times New Roman"/>
                      <w:color w:val="auto"/>
                      <w:kern w:val="2"/>
                      <w:sz w:val="18"/>
                      <w:szCs w:val="18"/>
                      <w:highlight w:val="none"/>
                      <w:lang w:val="en-US" w:eastAsia="zh-CN"/>
                    </w:rPr>
                    <w:t>主要设备组成</w:t>
                  </w:r>
                  <w:r>
                    <w:rPr>
                      <w:rFonts w:hint="eastAsia" w:cs="Times New Roman"/>
                      <w:color w:val="auto"/>
                      <w:kern w:val="2"/>
                      <w:sz w:val="18"/>
                      <w:szCs w:val="18"/>
                      <w:highlight w:val="none"/>
                      <w:lang w:val="en-US" w:eastAsia="zh-CN"/>
                    </w:rPr>
                    <w:t>：</w:t>
                  </w:r>
                  <w:r>
                    <w:rPr>
                      <w:rFonts w:hint="default" w:cs="Times New Roman"/>
                      <w:color w:val="auto"/>
                      <w:kern w:val="2"/>
                      <w:sz w:val="18"/>
                      <w:szCs w:val="18"/>
                      <w:highlight w:val="none"/>
                      <w:lang w:val="en-US" w:eastAsia="zh-CN"/>
                    </w:rPr>
                    <w:t>机组划分为入口段，中间工艺段和出口段。入口段主要包括开卷、剪切、缝合机、刷洗及热风干燥，为工艺段连续提供带材</w:t>
                  </w:r>
                  <w:r>
                    <w:rPr>
                      <w:rFonts w:hint="eastAsia" w:cs="Times New Roman"/>
                      <w:color w:val="auto"/>
                      <w:kern w:val="2"/>
                      <w:sz w:val="18"/>
                      <w:szCs w:val="18"/>
                      <w:highlight w:val="none"/>
                      <w:lang w:val="en-US" w:eastAsia="zh-CN"/>
                    </w:rPr>
                    <w:t>；</w:t>
                  </w:r>
                  <w:r>
                    <w:rPr>
                      <w:rFonts w:hint="default" w:cs="Times New Roman"/>
                      <w:color w:val="auto"/>
                      <w:kern w:val="2"/>
                      <w:sz w:val="18"/>
                      <w:szCs w:val="18"/>
                      <w:highlight w:val="none"/>
                      <w:lang w:val="en-US" w:eastAsia="zh-CN"/>
                    </w:rPr>
                    <w:t>工艺段主要包括酸洗刷洗工序、涂绝缘层、涂层干燥烧结并拉伸热平整、冷却等，完成对带钢的工艺处理</w:t>
                  </w:r>
                  <w:r>
                    <w:rPr>
                      <w:rFonts w:hint="eastAsia" w:cs="Times New Roman"/>
                      <w:color w:val="auto"/>
                      <w:kern w:val="2"/>
                      <w:sz w:val="18"/>
                      <w:szCs w:val="18"/>
                      <w:highlight w:val="none"/>
                      <w:lang w:val="en-US" w:eastAsia="zh-CN"/>
                    </w:rPr>
                    <w:t>；</w:t>
                  </w:r>
                  <w:r>
                    <w:rPr>
                      <w:rFonts w:hint="default" w:cs="Times New Roman"/>
                      <w:color w:val="auto"/>
                      <w:kern w:val="2"/>
                      <w:sz w:val="18"/>
                      <w:szCs w:val="18"/>
                      <w:highlight w:val="none"/>
                      <w:lang w:val="en-US" w:eastAsia="zh-CN"/>
                    </w:rPr>
                    <w:t>出口段完成对带材的分卷和卷取。</w:t>
                  </w:r>
                </w:p>
              </w:tc>
              <w:tc>
                <w:tcPr>
                  <w:tcW w:w="521" w:type="pct"/>
                  <w:tcBorders>
                    <w:tl2br w:val="nil"/>
                    <w:tr2bl w:val="nil"/>
                  </w:tcBorders>
                  <w:noWrap w:val="0"/>
                  <w:vAlign w:val="center"/>
                </w:tcPr>
                <w:p w14:paraId="16FD3A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1</w:t>
                  </w:r>
                </w:p>
              </w:tc>
              <w:tc>
                <w:tcPr>
                  <w:tcW w:w="494" w:type="pct"/>
                  <w:tcBorders>
                    <w:tl2br w:val="nil"/>
                    <w:tr2bl w:val="nil"/>
                  </w:tcBorders>
                  <w:noWrap w:val="0"/>
                  <w:vAlign w:val="center"/>
                </w:tcPr>
                <w:p w14:paraId="7EAEA9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条</w:t>
                  </w:r>
                </w:p>
              </w:tc>
            </w:tr>
            <w:tr w14:paraId="07FB2A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69" w:hRule="atLeast"/>
                <w:jc w:val="center"/>
              </w:trPr>
              <w:tc>
                <w:tcPr>
                  <w:tcW w:w="183" w:type="pct"/>
                  <w:tcBorders>
                    <w:tl2br w:val="nil"/>
                    <w:tr2bl w:val="nil"/>
                  </w:tcBorders>
                  <w:shd w:val="clear" w:color="auto" w:fill="auto"/>
                  <w:noWrap w:val="0"/>
                  <w:vAlign w:val="center"/>
                </w:tcPr>
                <w:p w14:paraId="30204F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7</w:t>
                  </w:r>
                </w:p>
              </w:tc>
              <w:tc>
                <w:tcPr>
                  <w:tcW w:w="1213" w:type="pct"/>
                  <w:tcBorders>
                    <w:tl2br w:val="nil"/>
                    <w:tr2bl w:val="nil"/>
                  </w:tcBorders>
                  <w:noWrap w:val="0"/>
                  <w:vAlign w:val="center"/>
                </w:tcPr>
                <w:p w14:paraId="57EB9BA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重卷剪切机组（CSL）</w:t>
                  </w:r>
                </w:p>
              </w:tc>
              <w:tc>
                <w:tcPr>
                  <w:tcW w:w="2587" w:type="pct"/>
                  <w:tcBorders>
                    <w:tl2br w:val="nil"/>
                    <w:tr2bl w:val="nil"/>
                  </w:tcBorders>
                  <w:noWrap w:val="0"/>
                  <w:vAlign w:val="center"/>
                </w:tcPr>
                <w:p w14:paraId="6FA002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default" w:cs="Times New Roman"/>
                      <w:color w:val="auto"/>
                      <w:kern w:val="2"/>
                      <w:sz w:val="18"/>
                      <w:szCs w:val="18"/>
                      <w:highlight w:val="none"/>
                      <w:lang w:val="en-US" w:eastAsia="zh-CN"/>
                    </w:rPr>
                    <w:t>处理能力</w:t>
                  </w:r>
                  <w:r>
                    <w:rPr>
                      <w:rFonts w:hint="eastAsia" w:cs="Times New Roman"/>
                      <w:color w:val="auto"/>
                      <w:kern w:val="2"/>
                      <w:sz w:val="18"/>
                      <w:szCs w:val="18"/>
                      <w:highlight w:val="none"/>
                      <w:lang w:val="en-US" w:eastAsia="zh-CN"/>
                    </w:rPr>
                    <w:t>：</w:t>
                  </w:r>
                  <w:r>
                    <w:rPr>
                      <w:rFonts w:hint="default" w:cs="Times New Roman"/>
                      <w:color w:val="auto"/>
                      <w:kern w:val="2"/>
                      <w:sz w:val="18"/>
                      <w:szCs w:val="18"/>
                      <w:highlight w:val="none"/>
                      <w:lang w:val="en-US" w:eastAsia="zh-CN"/>
                    </w:rPr>
                    <w:t>10万ta(出口两套)</w:t>
                  </w:r>
                </w:p>
                <w:p w14:paraId="7DB481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default" w:cs="Times New Roman"/>
                      <w:color w:val="auto"/>
                      <w:kern w:val="2"/>
                      <w:sz w:val="18"/>
                      <w:szCs w:val="18"/>
                      <w:highlight w:val="none"/>
                      <w:lang w:val="en-US" w:eastAsia="zh-CN"/>
                    </w:rPr>
                    <w:t>机组速度:Max250m/min</w:t>
                  </w:r>
                </w:p>
                <w:p w14:paraId="53737C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default" w:cs="Times New Roman"/>
                      <w:color w:val="auto"/>
                      <w:kern w:val="2"/>
                      <w:sz w:val="18"/>
                      <w:szCs w:val="18"/>
                      <w:highlight w:val="none"/>
                      <w:lang w:val="en-US" w:eastAsia="zh-CN"/>
                    </w:rPr>
                    <w:t>主要设备组成</w:t>
                  </w:r>
                  <w:r>
                    <w:rPr>
                      <w:rFonts w:hint="eastAsia" w:cs="Times New Roman"/>
                      <w:color w:val="auto"/>
                      <w:kern w:val="2"/>
                      <w:sz w:val="18"/>
                      <w:szCs w:val="18"/>
                      <w:highlight w:val="none"/>
                      <w:lang w:val="en-US" w:eastAsia="zh-CN"/>
                    </w:rPr>
                    <w:t>：</w:t>
                  </w:r>
                  <w:r>
                    <w:rPr>
                      <w:rFonts w:hint="default" w:cs="Times New Roman"/>
                      <w:color w:val="auto"/>
                      <w:kern w:val="2"/>
                      <w:sz w:val="18"/>
                      <w:szCs w:val="18"/>
                      <w:highlight w:val="none"/>
                      <w:lang w:val="en-US" w:eastAsia="zh-CN"/>
                    </w:rPr>
                    <w:t>开卷机、切头剪、圆盘剪、去毛刺辊、夹送辊、卷取机等。</w:t>
                  </w:r>
                </w:p>
              </w:tc>
              <w:tc>
                <w:tcPr>
                  <w:tcW w:w="521" w:type="pct"/>
                  <w:tcBorders>
                    <w:tl2br w:val="nil"/>
                    <w:tr2bl w:val="nil"/>
                  </w:tcBorders>
                  <w:noWrap w:val="0"/>
                  <w:vAlign w:val="center"/>
                </w:tcPr>
                <w:p w14:paraId="4FFE188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2</w:t>
                  </w:r>
                </w:p>
              </w:tc>
              <w:tc>
                <w:tcPr>
                  <w:tcW w:w="494" w:type="pct"/>
                  <w:tcBorders>
                    <w:tl2br w:val="nil"/>
                    <w:tr2bl w:val="nil"/>
                  </w:tcBorders>
                  <w:noWrap w:val="0"/>
                  <w:vAlign w:val="center"/>
                </w:tcPr>
                <w:p w14:paraId="42BE9A3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条</w:t>
                  </w:r>
                </w:p>
              </w:tc>
            </w:tr>
            <w:tr w14:paraId="072336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69" w:hRule="atLeast"/>
                <w:jc w:val="center"/>
              </w:trPr>
              <w:tc>
                <w:tcPr>
                  <w:tcW w:w="183" w:type="pct"/>
                  <w:tcBorders>
                    <w:tl2br w:val="nil"/>
                    <w:tr2bl w:val="nil"/>
                  </w:tcBorders>
                  <w:shd w:val="clear" w:color="auto" w:fill="auto"/>
                  <w:noWrap w:val="0"/>
                  <w:vAlign w:val="center"/>
                </w:tcPr>
                <w:p w14:paraId="4D1DDC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8</w:t>
                  </w:r>
                </w:p>
              </w:tc>
              <w:tc>
                <w:tcPr>
                  <w:tcW w:w="1213" w:type="pct"/>
                  <w:tcBorders>
                    <w:tl2br w:val="nil"/>
                    <w:tr2bl w:val="nil"/>
                  </w:tcBorders>
                  <w:noWrap w:val="0"/>
                  <w:vAlign w:val="center"/>
                </w:tcPr>
                <w:p w14:paraId="3E8C58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半自动包装机组（PL）</w:t>
                  </w:r>
                </w:p>
              </w:tc>
              <w:tc>
                <w:tcPr>
                  <w:tcW w:w="2587" w:type="pct"/>
                  <w:tcBorders>
                    <w:tl2br w:val="nil"/>
                    <w:tr2bl w:val="nil"/>
                  </w:tcBorders>
                  <w:noWrap w:val="0"/>
                  <w:vAlign w:val="center"/>
                </w:tcPr>
                <w:p w14:paraId="0C4F25F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default" w:cs="Times New Roman"/>
                      <w:color w:val="auto"/>
                      <w:kern w:val="2"/>
                      <w:sz w:val="18"/>
                      <w:szCs w:val="18"/>
                      <w:highlight w:val="none"/>
                      <w:lang w:val="en-US" w:eastAsia="zh-CN"/>
                    </w:rPr>
                    <w:t>处理能力</w:t>
                  </w:r>
                  <w:r>
                    <w:rPr>
                      <w:rFonts w:hint="eastAsia" w:cs="Times New Roman"/>
                      <w:color w:val="auto"/>
                      <w:kern w:val="2"/>
                      <w:sz w:val="18"/>
                      <w:szCs w:val="18"/>
                      <w:highlight w:val="none"/>
                      <w:lang w:val="en-US" w:eastAsia="zh-CN"/>
                    </w:rPr>
                    <w:t>：</w:t>
                  </w:r>
                  <w:r>
                    <w:rPr>
                      <w:rFonts w:hint="default" w:cs="Times New Roman"/>
                      <w:color w:val="auto"/>
                      <w:kern w:val="2"/>
                      <w:sz w:val="18"/>
                      <w:szCs w:val="18"/>
                      <w:highlight w:val="none"/>
                      <w:lang w:val="en-US" w:eastAsia="zh-CN"/>
                    </w:rPr>
                    <w:t>10万tha(出口)</w:t>
                  </w:r>
                </w:p>
                <w:p w14:paraId="52A165F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default" w:cs="Times New Roman"/>
                      <w:color w:val="auto"/>
                      <w:kern w:val="2"/>
                      <w:sz w:val="18"/>
                      <w:szCs w:val="18"/>
                      <w:highlight w:val="none"/>
                      <w:lang w:val="en-US" w:eastAsia="zh-CN"/>
                    </w:rPr>
                    <w:t>主要设备组成</w:t>
                  </w:r>
                  <w:r>
                    <w:rPr>
                      <w:rFonts w:hint="eastAsia" w:cs="Times New Roman"/>
                      <w:color w:val="auto"/>
                      <w:kern w:val="2"/>
                      <w:sz w:val="18"/>
                      <w:szCs w:val="18"/>
                      <w:highlight w:val="none"/>
                      <w:lang w:val="en-US" w:eastAsia="zh-CN"/>
                    </w:rPr>
                    <w:t>：</w:t>
                  </w:r>
                  <w:r>
                    <w:rPr>
                      <w:rFonts w:hint="default" w:cs="Times New Roman"/>
                      <w:color w:val="auto"/>
                      <w:kern w:val="2"/>
                      <w:sz w:val="18"/>
                      <w:szCs w:val="18"/>
                      <w:highlight w:val="none"/>
                      <w:lang w:val="en-US" w:eastAsia="zh-CN"/>
                    </w:rPr>
                    <w:t>多功能步进梁，钢卷提升机，报纸机，剪切机，周向打捆机，径向打捆机，自动贴标机等。</w:t>
                  </w:r>
                </w:p>
              </w:tc>
              <w:tc>
                <w:tcPr>
                  <w:tcW w:w="521" w:type="pct"/>
                  <w:tcBorders>
                    <w:tl2br w:val="nil"/>
                    <w:tr2bl w:val="nil"/>
                  </w:tcBorders>
                  <w:noWrap w:val="0"/>
                  <w:vAlign w:val="center"/>
                </w:tcPr>
                <w:p w14:paraId="270636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1</w:t>
                  </w:r>
                </w:p>
              </w:tc>
              <w:tc>
                <w:tcPr>
                  <w:tcW w:w="494" w:type="pct"/>
                  <w:tcBorders>
                    <w:tl2br w:val="nil"/>
                    <w:tr2bl w:val="nil"/>
                  </w:tcBorders>
                  <w:noWrap w:val="0"/>
                  <w:vAlign w:val="center"/>
                </w:tcPr>
                <w:p w14:paraId="65E39A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套</w:t>
                  </w:r>
                </w:p>
              </w:tc>
            </w:tr>
            <w:tr w14:paraId="28AE77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69" w:hRule="atLeast"/>
                <w:jc w:val="center"/>
              </w:trPr>
              <w:tc>
                <w:tcPr>
                  <w:tcW w:w="183" w:type="pct"/>
                  <w:tcBorders>
                    <w:tl2br w:val="nil"/>
                    <w:tr2bl w:val="nil"/>
                  </w:tcBorders>
                  <w:shd w:val="clear" w:color="auto" w:fill="auto"/>
                  <w:noWrap w:val="0"/>
                  <w:vAlign w:val="center"/>
                </w:tcPr>
                <w:p w14:paraId="1F56A7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9</w:t>
                  </w:r>
                </w:p>
              </w:tc>
              <w:tc>
                <w:tcPr>
                  <w:tcW w:w="1213" w:type="pct"/>
                  <w:tcBorders>
                    <w:tl2br w:val="nil"/>
                    <w:tr2bl w:val="nil"/>
                  </w:tcBorders>
                  <w:noWrap w:val="0"/>
                  <w:vAlign w:val="center"/>
                </w:tcPr>
                <w:p w14:paraId="6F31E0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制氮系统</w:t>
                  </w:r>
                </w:p>
              </w:tc>
              <w:tc>
                <w:tcPr>
                  <w:tcW w:w="2587" w:type="pct"/>
                  <w:tcBorders>
                    <w:tl2br w:val="nil"/>
                    <w:tr2bl w:val="nil"/>
                  </w:tcBorders>
                  <w:noWrap w:val="0"/>
                  <w:vAlign w:val="center"/>
                </w:tcPr>
                <w:p w14:paraId="5357E7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default" w:cs="Times New Roman"/>
                      <w:color w:val="auto"/>
                      <w:kern w:val="2"/>
                      <w:sz w:val="18"/>
                      <w:szCs w:val="18"/>
                      <w:highlight w:val="none"/>
                      <w:lang w:val="en-US" w:eastAsia="zh-CN"/>
                    </w:rPr>
                    <w:t>整套机组包括:空气过滤系统、空气预冷系统、分子筛纯化系统、透平膨胀机系统、分馏塔系统、仪电控系统及液氮储存汽化系统等。</w:t>
                  </w:r>
                </w:p>
              </w:tc>
              <w:tc>
                <w:tcPr>
                  <w:tcW w:w="521" w:type="pct"/>
                  <w:tcBorders>
                    <w:tl2br w:val="nil"/>
                    <w:tr2bl w:val="nil"/>
                  </w:tcBorders>
                  <w:noWrap w:val="0"/>
                  <w:vAlign w:val="center"/>
                </w:tcPr>
                <w:p w14:paraId="516CFB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1</w:t>
                  </w:r>
                </w:p>
              </w:tc>
              <w:tc>
                <w:tcPr>
                  <w:tcW w:w="494" w:type="pct"/>
                  <w:tcBorders>
                    <w:tl2br w:val="nil"/>
                    <w:tr2bl w:val="nil"/>
                  </w:tcBorders>
                  <w:noWrap w:val="0"/>
                  <w:vAlign w:val="center"/>
                </w:tcPr>
                <w:p w14:paraId="7861B7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套</w:t>
                  </w:r>
                </w:p>
              </w:tc>
            </w:tr>
            <w:tr w14:paraId="25285D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69" w:hRule="atLeast"/>
                <w:jc w:val="center"/>
              </w:trPr>
              <w:tc>
                <w:tcPr>
                  <w:tcW w:w="5000" w:type="pct"/>
                  <w:gridSpan w:val="5"/>
                  <w:tcBorders>
                    <w:tl2br w:val="nil"/>
                    <w:tr2bl w:val="nil"/>
                  </w:tcBorders>
                  <w:shd w:val="clear" w:color="auto" w:fill="auto"/>
                  <w:noWrap w:val="0"/>
                  <w:vAlign w:val="center"/>
                </w:tcPr>
                <w:p w14:paraId="00539D2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铁芯产品</w:t>
                  </w:r>
                </w:p>
              </w:tc>
            </w:tr>
            <w:tr w14:paraId="437B46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69" w:hRule="atLeast"/>
                <w:jc w:val="center"/>
              </w:trPr>
              <w:tc>
                <w:tcPr>
                  <w:tcW w:w="183" w:type="pct"/>
                  <w:tcBorders>
                    <w:tl2br w:val="nil"/>
                    <w:tr2bl w:val="nil"/>
                  </w:tcBorders>
                  <w:shd w:val="clear" w:color="auto" w:fill="auto"/>
                  <w:noWrap w:val="0"/>
                  <w:vAlign w:val="center"/>
                </w:tcPr>
                <w:p w14:paraId="5FF485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1</w:t>
                  </w:r>
                </w:p>
              </w:tc>
              <w:tc>
                <w:tcPr>
                  <w:tcW w:w="1213" w:type="pct"/>
                  <w:tcBorders>
                    <w:tl2br w:val="nil"/>
                    <w:tr2bl w:val="nil"/>
                  </w:tcBorders>
                  <w:noWrap w:val="0"/>
                  <w:vAlign w:val="center"/>
                </w:tcPr>
                <w:p w14:paraId="1653D8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纵剪</w:t>
                  </w:r>
                </w:p>
              </w:tc>
              <w:tc>
                <w:tcPr>
                  <w:tcW w:w="2587" w:type="pct"/>
                  <w:tcBorders>
                    <w:tl2br w:val="nil"/>
                    <w:tr2bl w:val="nil"/>
                  </w:tcBorders>
                  <w:noWrap w:val="0"/>
                  <w:vAlign w:val="center"/>
                </w:tcPr>
                <w:p w14:paraId="72138C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1400t</w:t>
                  </w:r>
                </w:p>
              </w:tc>
              <w:tc>
                <w:tcPr>
                  <w:tcW w:w="521" w:type="pct"/>
                  <w:tcBorders>
                    <w:tl2br w:val="nil"/>
                    <w:tr2bl w:val="nil"/>
                  </w:tcBorders>
                  <w:noWrap w:val="0"/>
                  <w:vAlign w:val="center"/>
                </w:tcPr>
                <w:p w14:paraId="186115D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2</w:t>
                  </w:r>
                </w:p>
              </w:tc>
              <w:tc>
                <w:tcPr>
                  <w:tcW w:w="494" w:type="pct"/>
                  <w:tcBorders>
                    <w:tl2br w:val="nil"/>
                    <w:tr2bl w:val="nil"/>
                  </w:tcBorders>
                  <w:noWrap w:val="0"/>
                  <w:vAlign w:val="center"/>
                </w:tcPr>
                <w:p w14:paraId="35A7D96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台</w:t>
                  </w:r>
                </w:p>
              </w:tc>
            </w:tr>
            <w:tr w14:paraId="4A50B2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69" w:hRule="atLeast"/>
                <w:jc w:val="center"/>
              </w:trPr>
              <w:tc>
                <w:tcPr>
                  <w:tcW w:w="183" w:type="pct"/>
                  <w:tcBorders>
                    <w:tl2br w:val="nil"/>
                    <w:tr2bl w:val="nil"/>
                  </w:tcBorders>
                  <w:shd w:val="clear" w:color="auto" w:fill="auto"/>
                  <w:noWrap w:val="0"/>
                  <w:vAlign w:val="center"/>
                </w:tcPr>
                <w:p w14:paraId="28AC01E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2</w:t>
                  </w:r>
                </w:p>
              </w:tc>
              <w:tc>
                <w:tcPr>
                  <w:tcW w:w="1213" w:type="pct"/>
                  <w:tcBorders>
                    <w:tl2br w:val="nil"/>
                    <w:tr2bl w:val="nil"/>
                  </w:tcBorders>
                  <w:noWrap w:val="0"/>
                  <w:vAlign w:val="center"/>
                </w:tcPr>
                <w:p w14:paraId="080E28E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横剪</w:t>
                  </w:r>
                </w:p>
              </w:tc>
              <w:tc>
                <w:tcPr>
                  <w:tcW w:w="2587" w:type="pct"/>
                  <w:tcBorders>
                    <w:tl2br w:val="nil"/>
                    <w:tr2bl w:val="nil"/>
                  </w:tcBorders>
                  <w:noWrap w:val="0"/>
                  <w:vAlign w:val="center"/>
                </w:tcPr>
                <w:p w14:paraId="0444E7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400t</w:t>
                  </w:r>
                </w:p>
              </w:tc>
              <w:tc>
                <w:tcPr>
                  <w:tcW w:w="521" w:type="pct"/>
                  <w:tcBorders>
                    <w:tl2br w:val="nil"/>
                    <w:tr2bl w:val="nil"/>
                  </w:tcBorders>
                  <w:noWrap w:val="0"/>
                  <w:vAlign w:val="center"/>
                </w:tcPr>
                <w:p w14:paraId="015C468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6</w:t>
                  </w:r>
                </w:p>
              </w:tc>
              <w:tc>
                <w:tcPr>
                  <w:tcW w:w="494" w:type="pct"/>
                  <w:tcBorders>
                    <w:tl2br w:val="nil"/>
                    <w:tr2bl w:val="nil"/>
                  </w:tcBorders>
                  <w:noWrap w:val="0"/>
                  <w:vAlign w:val="center"/>
                </w:tcPr>
                <w:p w14:paraId="3E95FF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台</w:t>
                  </w:r>
                </w:p>
              </w:tc>
            </w:tr>
            <w:tr w14:paraId="070F97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69" w:hRule="atLeast"/>
                <w:jc w:val="center"/>
              </w:trPr>
              <w:tc>
                <w:tcPr>
                  <w:tcW w:w="183" w:type="pct"/>
                  <w:tcBorders>
                    <w:tl2br w:val="nil"/>
                    <w:tr2bl w:val="nil"/>
                  </w:tcBorders>
                  <w:shd w:val="clear" w:color="auto" w:fill="auto"/>
                  <w:noWrap w:val="0"/>
                  <w:vAlign w:val="center"/>
                </w:tcPr>
                <w:p w14:paraId="50C43D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3</w:t>
                  </w:r>
                </w:p>
              </w:tc>
              <w:tc>
                <w:tcPr>
                  <w:tcW w:w="1213" w:type="pct"/>
                  <w:tcBorders>
                    <w:tl2br w:val="nil"/>
                    <w:tr2bl w:val="nil"/>
                  </w:tcBorders>
                  <w:noWrap w:val="0"/>
                  <w:vAlign w:val="center"/>
                </w:tcPr>
                <w:p w14:paraId="1E28D2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横剪</w:t>
                  </w:r>
                </w:p>
              </w:tc>
              <w:tc>
                <w:tcPr>
                  <w:tcW w:w="2587" w:type="pct"/>
                  <w:tcBorders>
                    <w:tl2br w:val="nil"/>
                    <w:tr2bl w:val="nil"/>
                  </w:tcBorders>
                  <w:noWrap w:val="0"/>
                  <w:vAlign w:val="center"/>
                </w:tcPr>
                <w:p w14:paraId="63E013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600t</w:t>
                  </w:r>
                </w:p>
              </w:tc>
              <w:tc>
                <w:tcPr>
                  <w:tcW w:w="521" w:type="pct"/>
                  <w:tcBorders>
                    <w:tl2br w:val="nil"/>
                    <w:tr2bl w:val="nil"/>
                  </w:tcBorders>
                  <w:noWrap w:val="0"/>
                  <w:vAlign w:val="center"/>
                </w:tcPr>
                <w:p w14:paraId="1E4877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2</w:t>
                  </w:r>
                </w:p>
              </w:tc>
              <w:tc>
                <w:tcPr>
                  <w:tcW w:w="494" w:type="pct"/>
                  <w:tcBorders>
                    <w:tl2br w:val="nil"/>
                    <w:tr2bl w:val="nil"/>
                  </w:tcBorders>
                  <w:noWrap w:val="0"/>
                  <w:vAlign w:val="center"/>
                </w:tcPr>
                <w:p w14:paraId="1995ED0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台</w:t>
                  </w:r>
                </w:p>
              </w:tc>
            </w:tr>
            <w:tr w14:paraId="30DC53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69" w:hRule="atLeast"/>
                <w:jc w:val="center"/>
              </w:trPr>
              <w:tc>
                <w:tcPr>
                  <w:tcW w:w="183" w:type="pct"/>
                  <w:tcBorders>
                    <w:tl2br w:val="nil"/>
                    <w:tr2bl w:val="nil"/>
                  </w:tcBorders>
                  <w:shd w:val="clear" w:color="auto" w:fill="auto"/>
                  <w:noWrap w:val="0"/>
                  <w:vAlign w:val="center"/>
                </w:tcPr>
                <w:p w14:paraId="682493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4</w:t>
                  </w:r>
                </w:p>
              </w:tc>
              <w:tc>
                <w:tcPr>
                  <w:tcW w:w="1213" w:type="pct"/>
                  <w:tcBorders>
                    <w:tl2br w:val="nil"/>
                    <w:tr2bl w:val="nil"/>
                  </w:tcBorders>
                  <w:noWrap w:val="0"/>
                  <w:vAlign w:val="center"/>
                </w:tcPr>
                <w:p w14:paraId="400971E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横剪</w:t>
                  </w:r>
                </w:p>
              </w:tc>
              <w:tc>
                <w:tcPr>
                  <w:tcW w:w="2587" w:type="pct"/>
                  <w:tcBorders>
                    <w:tl2br w:val="nil"/>
                    <w:tr2bl w:val="nil"/>
                  </w:tcBorders>
                  <w:noWrap w:val="0"/>
                  <w:vAlign w:val="center"/>
                </w:tcPr>
                <w:p w14:paraId="18695F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1000</w:t>
                  </w:r>
                  <w:r>
                    <w:rPr>
                      <w:rFonts w:hint="eastAsia"/>
                      <w:color w:val="auto"/>
                      <w:lang w:val="en-US" w:eastAsia="zh-CN"/>
                    </w:rPr>
                    <w:t>t</w:t>
                  </w:r>
                </w:p>
              </w:tc>
              <w:tc>
                <w:tcPr>
                  <w:tcW w:w="521" w:type="pct"/>
                  <w:tcBorders>
                    <w:tl2br w:val="nil"/>
                    <w:tr2bl w:val="nil"/>
                  </w:tcBorders>
                  <w:noWrap w:val="0"/>
                  <w:vAlign w:val="center"/>
                </w:tcPr>
                <w:p w14:paraId="3D0326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1</w:t>
                  </w:r>
                </w:p>
              </w:tc>
              <w:tc>
                <w:tcPr>
                  <w:tcW w:w="494" w:type="pct"/>
                  <w:tcBorders>
                    <w:tl2br w:val="nil"/>
                    <w:tr2bl w:val="nil"/>
                  </w:tcBorders>
                  <w:noWrap w:val="0"/>
                  <w:vAlign w:val="center"/>
                </w:tcPr>
                <w:p w14:paraId="1C83CEA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台</w:t>
                  </w:r>
                </w:p>
              </w:tc>
            </w:tr>
            <w:tr w14:paraId="50EE40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69" w:hRule="atLeast"/>
                <w:jc w:val="center"/>
              </w:trPr>
              <w:tc>
                <w:tcPr>
                  <w:tcW w:w="183" w:type="pct"/>
                  <w:tcBorders>
                    <w:tl2br w:val="nil"/>
                    <w:tr2bl w:val="nil"/>
                  </w:tcBorders>
                  <w:shd w:val="clear" w:color="auto" w:fill="auto"/>
                  <w:noWrap w:val="0"/>
                  <w:vAlign w:val="center"/>
                </w:tcPr>
                <w:p w14:paraId="6E23D9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5</w:t>
                  </w:r>
                </w:p>
              </w:tc>
              <w:tc>
                <w:tcPr>
                  <w:tcW w:w="1213" w:type="pct"/>
                  <w:tcBorders>
                    <w:tl2br w:val="nil"/>
                    <w:tr2bl w:val="nil"/>
                  </w:tcBorders>
                  <w:noWrap w:val="0"/>
                  <w:vAlign w:val="center"/>
                </w:tcPr>
                <w:p w14:paraId="68146B8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翻转台</w:t>
                  </w:r>
                </w:p>
              </w:tc>
              <w:tc>
                <w:tcPr>
                  <w:tcW w:w="2587" w:type="pct"/>
                  <w:tcBorders>
                    <w:tl2br w:val="nil"/>
                    <w:tr2bl w:val="nil"/>
                  </w:tcBorders>
                  <w:noWrap w:val="0"/>
                  <w:vAlign w:val="center"/>
                </w:tcPr>
                <w:p w14:paraId="7DF593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10t</w:t>
                  </w:r>
                </w:p>
              </w:tc>
              <w:tc>
                <w:tcPr>
                  <w:tcW w:w="521" w:type="pct"/>
                  <w:tcBorders>
                    <w:tl2br w:val="nil"/>
                    <w:tr2bl w:val="nil"/>
                  </w:tcBorders>
                  <w:noWrap w:val="0"/>
                  <w:vAlign w:val="center"/>
                </w:tcPr>
                <w:p w14:paraId="6AA3D4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2</w:t>
                  </w:r>
                </w:p>
              </w:tc>
              <w:tc>
                <w:tcPr>
                  <w:tcW w:w="494" w:type="pct"/>
                  <w:tcBorders>
                    <w:tl2br w:val="nil"/>
                    <w:tr2bl w:val="nil"/>
                  </w:tcBorders>
                  <w:noWrap w:val="0"/>
                  <w:vAlign w:val="center"/>
                </w:tcPr>
                <w:p w14:paraId="6AADBB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台</w:t>
                  </w:r>
                </w:p>
              </w:tc>
            </w:tr>
            <w:tr w14:paraId="5DEBDE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69" w:hRule="atLeast"/>
                <w:jc w:val="center"/>
              </w:trPr>
              <w:tc>
                <w:tcPr>
                  <w:tcW w:w="183" w:type="pct"/>
                  <w:tcBorders>
                    <w:tl2br w:val="nil"/>
                    <w:tr2bl w:val="nil"/>
                  </w:tcBorders>
                  <w:shd w:val="clear" w:color="auto" w:fill="auto"/>
                  <w:noWrap w:val="0"/>
                  <w:vAlign w:val="center"/>
                </w:tcPr>
                <w:p w14:paraId="7667C2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6</w:t>
                  </w:r>
                </w:p>
              </w:tc>
              <w:tc>
                <w:tcPr>
                  <w:tcW w:w="1213" w:type="pct"/>
                  <w:tcBorders>
                    <w:tl2br w:val="nil"/>
                    <w:tr2bl w:val="nil"/>
                  </w:tcBorders>
                  <w:noWrap w:val="0"/>
                  <w:vAlign w:val="center"/>
                </w:tcPr>
                <w:p w14:paraId="556532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翻转台</w:t>
                  </w:r>
                </w:p>
              </w:tc>
              <w:tc>
                <w:tcPr>
                  <w:tcW w:w="2587" w:type="pct"/>
                  <w:tcBorders>
                    <w:tl2br w:val="nil"/>
                    <w:tr2bl w:val="nil"/>
                  </w:tcBorders>
                  <w:noWrap w:val="0"/>
                  <w:vAlign w:val="center"/>
                </w:tcPr>
                <w:p w14:paraId="783AB8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50t</w:t>
                  </w:r>
                </w:p>
              </w:tc>
              <w:tc>
                <w:tcPr>
                  <w:tcW w:w="521" w:type="pct"/>
                  <w:tcBorders>
                    <w:tl2br w:val="nil"/>
                    <w:tr2bl w:val="nil"/>
                  </w:tcBorders>
                  <w:noWrap w:val="0"/>
                  <w:vAlign w:val="center"/>
                </w:tcPr>
                <w:p w14:paraId="0AEE55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2</w:t>
                  </w:r>
                </w:p>
              </w:tc>
              <w:tc>
                <w:tcPr>
                  <w:tcW w:w="494" w:type="pct"/>
                  <w:tcBorders>
                    <w:tl2br w:val="nil"/>
                    <w:tr2bl w:val="nil"/>
                  </w:tcBorders>
                  <w:noWrap w:val="0"/>
                  <w:vAlign w:val="center"/>
                </w:tcPr>
                <w:p w14:paraId="4667010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台</w:t>
                  </w:r>
                </w:p>
              </w:tc>
            </w:tr>
            <w:tr w14:paraId="76D2CD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69" w:hRule="atLeast"/>
                <w:jc w:val="center"/>
              </w:trPr>
              <w:tc>
                <w:tcPr>
                  <w:tcW w:w="183" w:type="pct"/>
                  <w:tcBorders>
                    <w:tl2br w:val="nil"/>
                    <w:tr2bl w:val="nil"/>
                  </w:tcBorders>
                  <w:shd w:val="clear" w:color="auto" w:fill="auto"/>
                  <w:noWrap w:val="0"/>
                  <w:vAlign w:val="center"/>
                </w:tcPr>
                <w:p w14:paraId="790D7B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7</w:t>
                  </w:r>
                </w:p>
              </w:tc>
              <w:tc>
                <w:tcPr>
                  <w:tcW w:w="1213" w:type="pct"/>
                  <w:tcBorders>
                    <w:tl2br w:val="nil"/>
                    <w:tr2bl w:val="nil"/>
                  </w:tcBorders>
                  <w:noWrap w:val="0"/>
                  <w:vAlign w:val="center"/>
                </w:tcPr>
                <w:p w14:paraId="27E0FBF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试验设备</w:t>
                  </w:r>
                </w:p>
              </w:tc>
              <w:tc>
                <w:tcPr>
                  <w:tcW w:w="2587" w:type="pct"/>
                  <w:tcBorders>
                    <w:tl2br w:val="nil"/>
                    <w:tr2bl w:val="nil"/>
                  </w:tcBorders>
                  <w:noWrap w:val="0"/>
                  <w:vAlign w:val="center"/>
                </w:tcPr>
                <w:p w14:paraId="6A04AF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p>
              </w:tc>
              <w:tc>
                <w:tcPr>
                  <w:tcW w:w="521" w:type="pct"/>
                  <w:tcBorders>
                    <w:tl2br w:val="nil"/>
                    <w:tr2bl w:val="nil"/>
                  </w:tcBorders>
                  <w:noWrap w:val="0"/>
                  <w:vAlign w:val="center"/>
                </w:tcPr>
                <w:p w14:paraId="68F093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3</w:t>
                  </w:r>
                </w:p>
              </w:tc>
              <w:tc>
                <w:tcPr>
                  <w:tcW w:w="494" w:type="pct"/>
                  <w:tcBorders>
                    <w:tl2br w:val="nil"/>
                    <w:tr2bl w:val="nil"/>
                  </w:tcBorders>
                  <w:noWrap w:val="0"/>
                  <w:vAlign w:val="center"/>
                </w:tcPr>
                <w:p w14:paraId="2CD6F91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套</w:t>
                  </w:r>
                </w:p>
              </w:tc>
            </w:tr>
            <w:tr w14:paraId="1FBA55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69" w:hRule="atLeast"/>
                <w:jc w:val="center"/>
              </w:trPr>
              <w:tc>
                <w:tcPr>
                  <w:tcW w:w="183" w:type="pct"/>
                  <w:tcBorders>
                    <w:tl2br w:val="nil"/>
                    <w:tr2bl w:val="nil"/>
                  </w:tcBorders>
                  <w:shd w:val="clear" w:color="auto" w:fill="auto"/>
                  <w:noWrap w:val="0"/>
                  <w:vAlign w:val="center"/>
                </w:tcPr>
                <w:p w14:paraId="597ED4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8</w:t>
                  </w:r>
                </w:p>
              </w:tc>
              <w:tc>
                <w:tcPr>
                  <w:tcW w:w="1213" w:type="pct"/>
                  <w:tcBorders>
                    <w:tl2br w:val="nil"/>
                    <w:tr2bl w:val="nil"/>
                  </w:tcBorders>
                  <w:noWrap w:val="0"/>
                  <w:vAlign w:val="center"/>
                </w:tcPr>
                <w:p w14:paraId="4C4489F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空压机组</w:t>
                  </w:r>
                </w:p>
              </w:tc>
              <w:tc>
                <w:tcPr>
                  <w:tcW w:w="2587" w:type="pct"/>
                  <w:tcBorders>
                    <w:tl2br w:val="nil"/>
                    <w:tr2bl w:val="nil"/>
                  </w:tcBorders>
                  <w:noWrap w:val="0"/>
                  <w:vAlign w:val="center"/>
                </w:tcPr>
                <w:p w14:paraId="74EFD1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p>
              </w:tc>
              <w:tc>
                <w:tcPr>
                  <w:tcW w:w="521" w:type="pct"/>
                  <w:tcBorders>
                    <w:tl2br w:val="nil"/>
                    <w:tr2bl w:val="nil"/>
                  </w:tcBorders>
                  <w:noWrap w:val="0"/>
                  <w:vAlign w:val="center"/>
                </w:tcPr>
                <w:p w14:paraId="407DED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1</w:t>
                  </w:r>
                </w:p>
              </w:tc>
              <w:tc>
                <w:tcPr>
                  <w:tcW w:w="494" w:type="pct"/>
                  <w:tcBorders>
                    <w:tl2br w:val="nil"/>
                    <w:tr2bl w:val="nil"/>
                  </w:tcBorders>
                  <w:noWrap w:val="0"/>
                  <w:vAlign w:val="center"/>
                </w:tcPr>
                <w:p w14:paraId="3195D3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套</w:t>
                  </w:r>
                </w:p>
              </w:tc>
            </w:tr>
          </w:tbl>
          <w:p w14:paraId="6D1A75B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jc w:val="both"/>
              <w:textAlignment w:val="auto"/>
              <w:rPr>
                <w:rFonts w:hint="default" w:cs="Times New Roman"/>
                <w:b/>
                <w:bCs w:val="0"/>
                <w:color w:val="auto"/>
                <w:sz w:val="21"/>
                <w:szCs w:val="21"/>
                <w:lang w:val="en-US" w:eastAsia="zh-CN"/>
              </w:rPr>
            </w:pPr>
            <w:r>
              <w:rPr>
                <w:rFonts w:hint="eastAsia" w:cs="Times New Roman"/>
                <w:b/>
                <w:bCs w:val="0"/>
                <w:color w:val="auto"/>
                <w:sz w:val="21"/>
                <w:szCs w:val="21"/>
                <w:lang w:val="en-US" w:eastAsia="zh-CN"/>
              </w:rPr>
              <w:t>5、</w:t>
            </w:r>
            <w:r>
              <w:rPr>
                <w:rFonts w:hint="default" w:cs="Times New Roman"/>
                <w:b/>
                <w:bCs w:val="0"/>
                <w:color w:val="auto"/>
                <w:sz w:val="21"/>
                <w:szCs w:val="21"/>
                <w:lang w:val="en-US" w:eastAsia="zh-CN"/>
              </w:rPr>
              <w:t>原辅材料及</w:t>
            </w:r>
            <w:r>
              <w:rPr>
                <w:rFonts w:hint="eastAsia" w:cs="Times New Roman"/>
                <w:b/>
                <w:bCs w:val="0"/>
                <w:color w:val="auto"/>
                <w:sz w:val="21"/>
                <w:szCs w:val="21"/>
                <w:lang w:val="en-US" w:eastAsia="zh-CN"/>
              </w:rPr>
              <w:t>能源</w:t>
            </w:r>
            <w:r>
              <w:rPr>
                <w:rFonts w:hint="default" w:cs="Times New Roman"/>
                <w:b/>
                <w:bCs w:val="0"/>
                <w:color w:val="auto"/>
                <w:sz w:val="21"/>
                <w:szCs w:val="21"/>
                <w:lang w:val="en-US" w:eastAsia="zh-CN"/>
              </w:rPr>
              <w:t>消耗</w:t>
            </w:r>
          </w:p>
          <w:p w14:paraId="0AC29B7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color w:val="auto"/>
                <w:sz w:val="21"/>
                <w:szCs w:val="21"/>
                <w:highlight w:val="none"/>
              </w:rPr>
            </w:pPr>
            <w:r>
              <w:rPr>
                <w:rFonts w:hint="default" w:cs="Times New Roman"/>
                <w:bCs/>
                <w:color w:val="auto"/>
                <w:sz w:val="21"/>
                <w:szCs w:val="21"/>
                <w:highlight w:val="none"/>
                <w:lang w:val="en-US" w:eastAsia="zh-CN"/>
              </w:rPr>
              <w:t>本</w:t>
            </w:r>
            <w:r>
              <w:rPr>
                <w:rFonts w:hint="eastAsia" w:cs="Times New Roman"/>
                <w:bCs/>
                <w:color w:val="auto"/>
                <w:sz w:val="21"/>
                <w:szCs w:val="21"/>
                <w:highlight w:val="none"/>
                <w:lang w:val="en-US" w:eastAsia="zh-CN"/>
              </w:rPr>
              <w:t>项目</w:t>
            </w:r>
            <w:r>
              <w:rPr>
                <w:rFonts w:hint="default" w:cs="Times New Roman"/>
                <w:bCs/>
                <w:color w:val="auto"/>
                <w:sz w:val="21"/>
                <w:szCs w:val="21"/>
                <w:highlight w:val="none"/>
                <w:lang w:val="en-US" w:eastAsia="zh-CN"/>
              </w:rPr>
              <w:t>原辅材料</w:t>
            </w:r>
            <w:r>
              <w:rPr>
                <w:rFonts w:hint="eastAsia" w:cs="Times New Roman"/>
                <w:bCs/>
                <w:color w:val="auto"/>
                <w:sz w:val="21"/>
                <w:szCs w:val="21"/>
                <w:highlight w:val="none"/>
                <w:lang w:val="en-US" w:eastAsia="zh-CN"/>
              </w:rPr>
              <w:t>及动力</w:t>
            </w:r>
            <w:r>
              <w:rPr>
                <w:rFonts w:hint="default" w:cs="Times New Roman"/>
                <w:bCs/>
                <w:color w:val="auto"/>
                <w:sz w:val="21"/>
                <w:szCs w:val="21"/>
                <w:highlight w:val="none"/>
                <w:lang w:val="en-US" w:eastAsia="zh-CN"/>
              </w:rPr>
              <w:t>消耗</w:t>
            </w:r>
            <w:r>
              <w:rPr>
                <w:rFonts w:hint="eastAsia" w:cs="Times New Roman"/>
                <w:bCs/>
                <w:color w:val="auto"/>
                <w:sz w:val="21"/>
                <w:szCs w:val="21"/>
                <w:highlight w:val="none"/>
                <w:lang w:val="en-US" w:eastAsia="zh-CN"/>
              </w:rPr>
              <w:t>见下表。</w:t>
            </w:r>
          </w:p>
          <w:p w14:paraId="63AED504">
            <w:pPr>
              <w:spacing w:line="360" w:lineRule="auto"/>
              <w:jc w:val="center"/>
              <w:rPr>
                <w:rFonts w:hint="eastAsia" w:ascii="Times New Roman" w:hAnsi="Times New Roman" w:eastAsia="黑体" w:cs="Times New Roman"/>
                <w:bCs/>
                <w:color w:val="auto"/>
                <w:spacing w:val="2"/>
                <w:sz w:val="21"/>
                <w:szCs w:val="21"/>
                <w:lang w:val="en-US" w:eastAsia="zh-CN"/>
              </w:rPr>
            </w:pPr>
            <w:r>
              <w:rPr>
                <w:rFonts w:hint="eastAsia" w:ascii="Times New Roman" w:hAnsi="Times New Roman" w:eastAsia="黑体" w:cs="Times New Roman"/>
                <w:bCs/>
                <w:color w:val="auto"/>
                <w:spacing w:val="2"/>
                <w:sz w:val="21"/>
                <w:szCs w:val="21"/>
                <w:lang w:val="en-US" w:eastAsia="zh-CN"/>
              </w:rPr>
              <w:t>表2-</w:t>
            </w:r>
            <w:r>
              <w:rPr>
                <w:rFonts w:hint="eastAsia" w:eastAsia="黑体" w:cs="Times New Roman"/>
                <w:bCs/>
                <w:color w:val="auto"/>
                <w:spacing w:val="2"/>
                <w:sz w:val="21"/>
                <w:szCs w:val="21"/>
                <w:lang w:val="en-US" w:eastAsia="zh-CN"/>
              </w:rPr>
              <w:t xml:space="preserve">6  </w:t>
            </w:r>
            <w:r>
              <w:rPr>
                <w:rFonts w:hint="eastAsia" w:ascii="Times New Roman" w:hAnsi="Times New Roman" w:eastAsia="黑体" w:cs="Times New Roman"/>
                <w:bCs/>
                <w:color w:val="auto"/>
                <w:spacing w:val="2"/>
                <w:sz w:val="21"/>
                <w:szCs w:val="21"/>
                <w:lang w:val="en-US" w:eastAsia="zh-CN"/>
              </w:rPr>
              <w:t>本项目原辅材料及</w:t>
            </w:r>
            <w:r>
              <w:rPr>
                <w:rFonts w:hint="eastAsia" w:eastAsia="黑体" w:cs="Times New Roman"/>
                <w:bCs/>
                <w:color w:val="auto"/>
                <w:spacing w:val="2"/>
                <w:sz w:val="21"/>
                <w:szCs w:val="21"/>
                <w:lang w:val="en-US" w:eastAsia="zh-CN"/>
              </w:rPr>
              <w:t>能源</w:t>
            </w:r>
            <w:r>
              <w:rPr>
                <w:rFonts w:hint="eastAsia" w:ascii="Times New Roman" w:hAnsi="Times New Roman" w:eastAsia="黑体" w:cs="Times New Roman"/>
                <w:bCs/>
                <w:color w:val="auto"/>
                <w:spacing w:val="2"/>
                <w:sz w:val="21"/>
                <w:szCs w:val="21"/>
                <w:lang w:val="en-US" w:eastAsia="zh-CN"/>
              </w:rPr>
              <w:t>消耗一览表</w:t>
            </w:r>
          </w:p>
          <w:tbl>
            <w:tblPr>
              <w:tblStyle w:val="3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31"/>
              <w:gridCol w:w="842"/>
              <w:gridCol w:w="1825"/>
              <w:gridCol w:w="1069"/>
              <w:gridCol w:w="1231"/>
              <w:gridCol w:w="1308"/>
              <w:gridCol w:w="1308"/>
            </w:tblGrid>
            <w:tr w14:paraId="086A0E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blHeader/>
                <w:jc w:val="center"/>
              </w:trPr>
              <w:tc>
                <w:tcPr>
                  <w:tcW w:w="494" w:type="pct"/>
                  <w:tcBorders>
                    <w:tl2br w:val="nil"/>
                    <w:tr2bl w:val="nil"/>
                  </w:tcBorders>
                  <w:noWrap w:val="0"/>
                  <w:vAlign w:val="center"/>
                </w:tcPr>
                <w:p w14:paraId="4F4C85E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bCs/>
                      <w:snapToGrid w:val="0"/>
                      <w:color w:val="auto"/>
                      <w:sz w:val="18"/>
                      <w:szCs w:val="18"/>
                      <w:highlight w:val="none"/>
                    </w:rPr>
                  </w:pPr>
                </w:p>
              </w:tc>
              <w:tc>
                <w:tcPr>
                  <w:tcW w:w="500" w:type="pct"/>
                  <w:tcBorders>
                    <w:tl2br w:val="nil"/>
                    <w:tr2bl w:val="nil"/>
                  </w:tcBorders>
                  <w:noWrap w:val="0"/>
                  <w:vAlign w:val="center"/>
                </w:tcPr>
                <w:p w14:paraId="4A71E7F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bCs/>
                      <w:snapToGrid w:val="0"/>
                      <w:color w:val="auto"/>
                      <w:sz w:val="18"/>
                      <w:szCs w:val="18"/>
                      <w:highlight w:val="none"/>
                    </w:rPr>
                  </w:pPr>
                  <w:r>
                    <w:rPr>
                      <w:rFonts w:hint="default" w:ascii="Times New Roman" w:hAnsi="Times New Roman" w:cs="Times New Roman"/>
                      <w:b/>
                      <w:bCs/>
                      <w:snapToGrid w:val="0"/>
                      <w:color w:val="auto"/>
                      <w:sz w:val="18"/>
                      <w:szCs w:val="18"/>
                      <w:highlight w:val="none"/>
                    </w:rPr>
                    <w:t>序号</w:t>
                  </w:r>
                </w:p>
              </w:tc>
              <w:tc>
                <w:tcPr>
                  <w:tcW w:w="1084" w:type="pct"/>
                  <w:tcBorders>
                    <w:tl2br w:val="nil"/>
                    <w:tr2bl w:val="nil"/>
                  </w:tcBorders>
                  <w:noWrap w:val="0"/>
                  <w:vAlign w:val="center"/>
                </w:tcPr>
                <w:p w14:paraId="2CBCEAF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bCs/>
                      <w:snapToGrid w:val="0"/>
                      <w:color w:val="auto"/>
                      <w:sz w:val="18"/>
                      <w:szCs w:val="18"/>
                      <w:highlight w:val="none"/>
                    </w:rPr>
                  </w:pPr>
                  <w:r>
                    <w:rPr>
                      <w:rFonts w:hint="default" w:ascii="Times New Roman" w:hAnsi="Times New Roman" w:cs="Times New Roman"/>
                      <w:b/>
                      <w:bCs/>
                      <w:snapToGrid w:val="0"/>
                      <w:color w:val="auto"/>
                      <w:sz w:val="18"/>
                      <w:szCs w:val="18"/>
                      <w:highlight w:val="none"/>
                    </w:rPr>
                    <w:t>项目</w:t>
                  </w:r>
                </w:p>
              </w:tc>
              <w:tc>
                <w:tcPr>
                  <w:tcW w:w="635" w:type="pct"/>
                  <w:tcBorders>
                    <w:tl2br w:val="nil"/>
                    <w:tr2bl w:val="nil"/>
                  </w:tcBorders>
                  <w:noWrap w:val="0"/>
                  <w:vAlign w:val="center"/>
                </w:tcPr>
                <w:p w14:paraId="17264DD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snapToGrid w:val="0"/>
                      <w:color w:val="auto"/>
                      <w:sz w:val="18"/>
                      <w:szCs w:val="18"/>
                      <w:highlight w:val="none"/>
                      <w:lang w:val="en-US" w:eastAsia="zh-CN"/>
                    </w:rPr>
                  </w:pPr>
                  <w:r>
                    <w:rPr>
                      <w:rFonts w:hint="eastAsia" w:ascii="Times New Roman" w:hAnsi="Times New Roman" w:cs="Times New Roman"/>
                      <w:b/>
                      <w:bCs/>
                      <w:snapToGrid w:val="0"/>
                      <w:color w:val="auto"/>
                      <w:sz w:val="18"/>
                      <w:szCs w:val="18"/>
                      <w:highlight w:val="none"/>
                      <w:lang w:val="en-US" w:eastAsia="zh-CN"/>
                    </w:rPr>
                    <w:t>年耗</w:t>
                  </w:r>
                </w:p>
              </w:tc>
              <w:tc>
                <w:tcPr>
                  <w:tcW w:w="731" w:type="pct"/>
                  <w:tcBorders>
                    <w:tl2br w:val="nil"/>
                    <w:tr2bl w:val="nil"/>
                  </w:tcBorders>
                  <w:noWrap w:val="0"/>
                  <w:vAlign w:val="center"/>
                </w:tcPr>
                <w:p w14:paraId="26A9200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bCs/>
                      <w:snapToGrid w:val="0"/>
                      <w:color w:val="auto"/>
                      <w:sz w:val="18"/>
                      <w:szCs w:val="18"/>
                      <w:highlight w:val="none"/>
                      <w:lang w:val="en-US" w:eastAsia="zh-CN"/>
                    </w:rPr>
                  </w:pPr>
                  <w:r>
                    <w:rPr>
                      <w:rFonts w:hint="default" w:ascii="Times New Roman" w:hAnsi="Times New Roman" w:cs="Times New Roman"/>
                      <w:b/>
                      <w:bCs/>
                      <w:snapToGrid w:val="0"/>
                      <w:color w:val="auto"/>
                      <w:sz w:val="18"/>
                      <w:szCs w:val="18"/>
                      <w:highlight w:val="none"/>
                    </w:rPr>
                    <w:t>单位</w:t>
                  </w:r>
                </w:p>
              </w:tc>
              <w:tc>
                <w:tcPr>
                  <w:tcW w:w="777" w:type="pct"/>
                  <w:tcBorders>
                    <w:tl2br w:val="nil"/>
                    <w:tr2bl w:val="nil"/>
                  </w:tcBorders>
                  <w:noWrap w:val="0"/>
                  <w:vAlign w:val="center"/>
                </w:tcPr>
                <w:p w14:paraId="2032E8C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bCs/>
                      <w:snapToGrid w:val="0"/>
                      <w:color w:val="auto"/>
                      <w:sz w:val="18"/>
                      <w:szCs w:val="18"/>
                      <w:highlight w:val="none"/>
                    </w:rPr>
                  </w:pPr>
                  <w:r>
                    <w:rPr>
                      <w:rFonts w:hint="default" w:ascii="Times New Roman" w:hAnsi="Times New Roman" w:cs="Times New Roman"/>
                      <w:b/>
                      <w:bCs/>
                      <w:snapToGrid w:val="0"/>
                      <w:color w:val="auto"/>
                      <w:sz w:val="18"/>
                      <w:szCs w:val="18"/>
                      <w:highlight w:val="none"/>
                    </w:rPr>
                    <w:t>备注</w:t>
                  </w:r>
                </w:p>
              </w:tc>
              <w:tc>
                <w:tcPr>
                  <w:tcW w:w="777" w:type="pct"/>
                  <w:tcBorders>
                    <w:tl2br w:val="nil"/>
                    <w:tr2bl w:val="nil"/>
                  </w:tcBorders>
                  <w:noWrap w:val="0"/>
                  <w:vAlign w:val="center"/>
                </w:tcPr>
                <w:p w14:paraId="0CF5E15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snapToGrid w:val="0"/>
                      <w:color w:val="auto"/>
                      <w:sz w:val="18"/>
                      <w:szCs w:val="18"/>
                      <w:highlight w:val="none"/>
                      <w:lang w:val="en-US" w:eastAsia="zh-CN"/>
                    </w:rPr>
                  </w:pPr>
                  <w:r>
                    <w:rPr>
                      <w:rFonts w:hint="eastAsia" w:cs="Times New Roman"/>
                      <w:b/>
                      <w:bCs/>
                      <w:snapToGrid w:val="0"/>
                      <w:color w:val="auto"/>
                      <w:sz w:val="18"/>
                      <w:szCs w:val="18"/>
                      <w:highlight w:val="none"/>
                      <w:lang w:val="en-US" w:eastAsia="zh-CN"/>
                    </w:rPr>
                    <w:t>贮存位置</w:t>
                  </w:r>
                </w:p>
              </w:tc>
            </w:tr>
            <w:tr w14:paraId="3DA1D7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94" w:type="pct"/>
                  <w:vMerge w:val="restart"/>
                  <w:tcBorders>
                    <w:tl2br w:val="nil"/>
                    <w:tr2bl w:val="nil"/>
                  </w:tcBorders>
                  <w:noWrap w:val="0"/>
                  <w:vAlign w:val="center"/>
                </w:tcPr>
                <w:p w14:paraId="2B69C2E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snapToGrid w:val="0"/>
                      <w:color w:val="auto"/>
                      <w:sz w:val="18"/>
                      <w:szCs w:val="18"/>
                      <w:highlight w:val="none"/>
                    </w:rPr>
                  </w:pPr>
                  <w:r>
                    <w:rPr>
                      <w:rFonts w:hint="eastAsia" w:cs="Times New Roman"/>
                      <w:snapToGrid w:val="0"/>
                      <w:color w:val="auto"/>
                      <w:sz w:val="18"/>
                      <w:szCs w:val="18"/>
                      <w:highlight w:val="none"/>
                      <w:lang w:eastAsia="zh-CN"/>
                    </w:rPr>
                    <w:t>高磁感取向硅钢</w:t>
                  </w:r>
                </w:p>
              </w:tc>
              <w:tc>
                <w:tcPr>
                  <w:tcW w:w="500" w:type="pct"/>
                  <w:tcBorders>
                    <w:tl2br w:val="nil"/>
                    <w:tr2bl w:val="nil"/>
                  </w:tcBorders>
                  <w:noWrap w:val="0"/>
                  <w:vAlign w:val="center"/>
                </w:tcPr>
                <w:p w14:paraId="1AE459B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rPr>
                    <w:t>1</w:t>
                  </w:r>
                </w:p>
              </w:tc>
              <w:tc>
                <w:tcPr>
                  <w:tcW w:w="1084" w:type="pct"/>
                  <w:tcBorders>
                    <w:tl2br w:val="nil"/>
                    <w:tr2bl w:val="nil"/>
                  </w:tcBorders>
                  <w:noWrap w:val="0"/>
                  <w:vAlign w:val="center"/>
                </w:tcPr>
                <w:p w14:paraId="2FA3E4B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热轧硅钢卷</w:t>
                  </w:r>
                </w:p>
              </w:tc>
              <w:tc>
                <w:tcPr>
                  <w:tcW w:w="635" w:type="pct"/>
                  <w:tcBorders>
                    <w:tl2br w:val="nil"/>
                    <w:tr2bl w:val="nil"/>
                  </w:tcBorders>
                  <w:noWrap w:val="0"/>
                  <w:vAlign w:val="center"/>
                </w:tcPr>
                <w:p w14:paraId="5498CE2B">
                  <w:pPr>
                    <w:keepNext w:val="0"/>
                    <w:keepLines w:val="0"/>
                    <w:widowControl/>
                    <w:suppressLineNumbers w:val="0"/>
                    <w:jc w:val="center"/>
                    <w:textAlignment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109400</w:t>
                  </w:r>
                </w:p>
              </w:tc>
              <w:tc>
                <w:tcPr>
                  <w:tcW w:w="731" w:type="pct"/>
                  <w:tcBorders>
                    <w:tl2br w:val="nil"/>
                    <w:tr2bl w:val="nil"/>
                  </w:tcBorders>
                  <w:noWrap w:val="0"/>
                  <w:vAlign w:val="center"/>
                </w:tcPr>
                <w:p w14:paraId="704373B3">
                  <w:pPr>
                    <w:keepNext w:val="0"/>
                    <w:keepLines w:val="0"/>
                    <w:widowControl/>
                    <w:suppressLineNumbers w:val="0"/>
                    <w:jc w:val="center"/>
                    <w:textAlignment w:val="center"/>
                    <w:rPr>
                      <w:rFonts w:hint="eastAsia"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t/a</w:t>
                  </w:r>
                </w:p>
              </w:tc>
              <w:tc>
                <w:tcPr>
                  <w:tcW w:w="777" w:type="pct"/>
                  <w:tcBorders>
                    <w:tl2br w:val="nil"/>
                    <w:tr2bl w:val="nil"/>
                  </w:tcBorders>
                  <w:noWrap w:val="0"/>
                  <w:vAlign w:val="center"/>
                </w:tcPr>
                <w:p w14:paraId="02223E3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外购</w:t>
                  </w:r>
                </w:p>
              </w:tc>
              <w:tc>
                <w:tcPr>
                  <w:tcW w:w="777" w:type="pct"/>
                  <w:tcBorders>
                    <w:tl2br w:val="nil"/>
                    <w:tr2bl w:val="nil"/>
                  </w:tcBorders>
                  <w:noWrap w:val="0"/>
                  <w:vAlign w:val="center"/>
                </w:tcPr>
                <w:p w14:paraId="6986244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硅钢车间</w:t>
                  </w:r>
                </w:p>
              </w:tc>
            </w:tr>
            <w:tr w14:paraId="0FF797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94" w:type="pct"/>
                  <w:vMerge w:val="continue"/>
                  <w:tcBorders>
                    <w:tl2br w:val="nil"/>
                    <w:tr2bl w:val="nil"/>
                  </w:tcBorders>
                  <w:shd w:val="clear" w:color="auto" w:fill="auto"/>
                  <w:noWrap w:val="0"/>
                  <w:vAlign w:val="center"/>
                </w:tcPr>
                <w:p w14:paraId="4686940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kern w:val="2"/>
                      <w:sz w:val="18"/>
                      <w:szCs w:val="18"/>
                      <w:highlight w:val="none"/>
                      <w:lang w:val="en-US" w:eastAsia="zh-CN" w:bidi="ar-SA"/>
                    </w:rPr>
                  </w:pPr>
                </w:p>
              </w:tc>
              <w:tc>
                <w:tcPr>
                  <w:tcW w:w="500" w:type="pct"/>
                  <w:tcBorders>
                    <w:tl2br w:val="nil"/>
                    <w:tr2bl w:val="nil"/>
                  </w:tcBorders>
                  <w:shd w:val="clear" w:color="auto" w:fill="auto"/>
                  <w:noWrap w:val="0"/>
                  <w:vAlign w:val="center"/>
                </w:tcPr>
                <w:p w14:paraId="0204B90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2</w:t>
                  </w:r>
                </w:p>
              </w:tc>
              <w:tc>
                <w:tcPr>
                  <w:tcW w:w="1084" w:type="pct"/>
                  <w:tcBorders>
                    <w:tl2br w:val="nil"/>
                    <w:tr2bl w:val="nil"/>
                  </w:tcBorders>
                  <w:noWrap w:val="0"/>
                  <w:vAlign w:val="center"/>
                </w:tcPr>
                <w:p w14:paraId="4006199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snapToGrid w:val="0"/>
                      <w:color w:val="auto"/>
                      <w:sz w:val="18"/>
                      <w:szCs w:val="18"/>
                      <w:highlight w:val="none"/>
                    </w:rPr>
                  </w:pPr>
                  <w:r>
                    <w:rPr>
                      <w:rFonts w:hint="default" w:ascii="Times New Roman" w:hAnsi="Times New Roman" w:cs="Times New Roman"/>
                      <w:snapToGrid w:val="0"/>
                      <w:color w:val="auto"/>
                      <w:sz w:val="18"/>
                      <w:szCs w:val="18"/>
                      <w:highlight w:val="none"/>
                    </w:rPr>
                    <w:t>氮气</w:t>
                  </w:r>
                </w:p>
              </w:tc>
              <w:tc>
                <w:tcPr>
                  <w:tcW w:w="635" w:type="pct"/>
                  <w:tcBorders>
                    <w:tl2br w:val="nil"/>
                    <w:tr2bl w:val="nil"/>
                  </w:tcBorders>
                  <w:noWrap w:val="0"/>
                  <w:vAlign w:val="center"/>
                </w:tcPr>
                <w:p w14:paraId="3C428F98">
                  <w:pPr>
                    <w:keepNext w:val="0"/>
                    <w:keepLines w:val="0"/>
                    <w:widowControl/>
                    <w:suppressLineNumbers w:val="0"/>
                    <w:jc w:val="center"/>
                    <w:textAlignment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3080</w:t>
                  </w:r>
                </w:p>
              </w:tc>
              <w:tc>
                <w:tcPr>
                  <w:tcW w:w="731" w:type="pct"/>
                  <w:tcBorders>
                    <w:tl2br w:val="nil"/>
                    <w:tr2bl w:val="nil"/>
                  </w:tcBorders>
                  <w:shd w:val="clear" w:color="auto" w:fill="auto"/>
                  <w:noWrap w:val="0"/>
                  <w:vAlign w:val="center"/>
                </w:tcPr>
                <w:p w14:paraId="60B17DE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napToGrid w:val="0"/>
                      <w:color w:val="auto"/>
                      <w:kern w:val="2"/>
                      <w:sz w:val="18"/>
                      <w:szCs w:val="18"/>
                      <w:highlight w:val="none"/>
                      <w:lang w:val="en-US" w:eastAsia="zh-CN" w:bidi="ar-SA"/>
                    </w:rPr>
                  </w:pPr>
                  <w:r>
                    <w:rPr>
                      <w:rFonts w:hint="eastAsia" w:cs="Times New Roman"/>
                      <w:snapToGrid w:val="0"/>
                      <w:color w:val="auto"/>
                      <w:sz w:val="18"/>
                      <w:szCs w:val="18"/>
                      <w:highlight w:val="none"/>
                      <w:lang w:val="en-US" w:eastAsia="zh-CN"/>
                    </w:rPr>
                    <w:t>万Nm</w:t>
                  </w:r>
                  <w:r>
                    <w:rPr>
                      <w:rFonts w:hint="eastAsia" w:cs="Times New Roman"/>
                      <w:snapToGrid w:val="0"/>
                      <w:color w:val="auto"/>
                      <w:sz w:val="18"/>
                      <w:szCs w:val="18"/>
                      <w:highlight w:val="none"/>
                      <w:vertAlign w:val="superscript"/>
                      <w:lang w:val="en-US" w:eastAsia="zh-CN"/>
                    </w:rPr>
                    <w:t>3</w:t>
                  </w:r>
                  <w:r>
                    <w:rPr>
                      <w:rFonts w:hint="default" w:ascii="Times New Roman" w:hAnsi="Times New Roman" w:cs="Times New Roman"/>
                      <w:snapToGrid w:val="0"/>
                      <w:color w:val="auto"/>
                      <w:sz w:val="18"/>
                      <w:szCs w:val="18"/>
                      <w:highlight w:val="none"/>
                    </w:rPr>
                    <w:t>/</w:t>
                  </w:r>
                  <w:r>
                    <w:rPr>
                      <w:rFonts w:hint="eastAsia" w:cs="Times New Roman"/>
                      <w:snapToGrid w:val="0"/>
                      <w:color w:val="auto"/>
                      <w:sz w:val="18"/>
                      <w:szCs w:val="18"/>
                      <w:highlight w:val="none"/>
                      <w:lang w:val="en-US" w:eastAsia="zh-CN"/>
                    </w:rPr>
                    <w:t>a</w:t>
                  </w:r>
                </w:p>
              </w:tc>
              <w:tc>
                <w:tcPr>
                  <w:tcW w:w="777" w:type="pct"/>
                  <w:tcBorders>
                    <w:tl2br w:val="nil"/>
                    <w:tr2bl w:val="nil"/>
                  </w:tcBorders>
                  <w:noWrap w:val="0"/>
                  <w:vAlign w:val="center"/>
                </w:tcPr>
                <w:p w14:paraId="616065E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外购</w:t>
                  </w:r>
                </w:p>
              </w:tc>
              <w:tc>
                <w:tcPr>
                  <w:tcW w:w="777" w:type="pct"/>
                  <w:tcBorders>
                    <w:tl2br w:val="nil"/>
                    <w:tr2bl w:val="nil"/>
                  </w:tcBorders>
                  <w:noWrap w:val="0"/>
                  <w:vAlign w:val="center"/>
                </w:tcPr>
                <w:p w14:paraId="6E9F4D2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制氮区</w:t>
                  </w:r>
                </w:p>
              </w:tc>
            </w:tr>
            <w:tr w14:paraId="68AAF8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94" w:type="pct"/>
                  <w:vMerge w:val="continue"/>
                  <w:tcBorders>
                    <w:tl2br w:val="nil"/>
                    <w:tr2bl w:val="nil"/>
                  </w:tcBorders>
                  <w:shd w:val="clear" w:color="auto" w:fill="auto"/>
                  <w:noWrap w:val="0"/>
                  <w:vAlign w:val="center"/>
                </w:tcPr>
                <w:p w14:paraId="512D683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kern w:val="2"/>
                      <w:sz w:val="18"/>
                      <w:szCs w:val="18"/>
                      <w:highlight w:val="none"/>
                      <w:lang w:val="en-US" w:eastAsia="zh-CN" w:bidi="ar-SA"/>
                    </w:rPr>
                  </w:pPr>
                </w:p>
              </w:tc>
              <w:tc>
                <w:tcPr>
                  <w:tcW w:w="500" w:type="pct"/>
                  <w:tcBorders>
                    <w:tl2br w:val="nil"/>
                    <w:tr2bl w:val="nil"/>
                  </w:tcBorders>
                  <w:shd w:val="clear" w:color="auto" w:fill="auto"/>
                  <w:noWrap w:val="0"/>
                  <w:vAlign w:val="center"/>
                </w:tcPr>
                <w:p w14:paraId="13141A2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3</w:t>
                  </w:r>
                </w:p>
              </w:tc>
              <w:tc>
                <w:tcPr>
                  <w:tcW w:w="1084" w:type="pct"/>
                  <w:tcBorders>
                    <w:tl2br w:val="nil"/>
                    <w:tr2bl w:val="nil"/>
                  </w:tcBorders>
                  <w:noWrap w:val="0"/>
                  <w:vAlign w:val="center"/>
                </w:tcPr>
                <w:p w14:paraId="0B00D49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snapToGrid w:val="0"/>
                      <w:color w:val="auto"/>
                      <w:sz w:val="18"/>
                      <w:szCs w:val="18"/>
                      <w:highlight w:val="none"/>
                    </w:rPr>
                  </w:pPr>
                  <w:r>
                    <w:rPr>
                      <w:rFonts w:hint="eastAsia" w:cs="Times New Roman"/>
                      <w:snapToGrid w:val="0"/>
                      <w:color w:val="auto"/>
                      <w:sz w:val="18"/>
                      <w:szCs w:val="18"/>
                      <w:highlight w:val="none"/>
                      <w:lang w:val="en-US" w:eastAsia="zh-CN"/>
                    </w:rPr>
                    <w:t>氢</w:t>
                  </w:r>
                  <w:r>
                    <w:rPr>
                      <w:rFonts w:hint="default" w:ascii="Times New Roman" w:hAnsi="Times New Roman" w:cs="Times New Roman"/>
                      <w:snapToGrid w:val="0"/>
                      <w:color w:val="auto"/>
                      <w:sz w:val="18"/>
                      <w:szCs w:val="18"/>
                      <w:highlight w:val="none"/>
                    </w:rPr>
                    <w:t>气</w:t>
                  </w:r>
                </w:p>
              </w:tc>
              <w:tc>
                <w:tcPr>
                  <w:tcW w:w="635" w:type="pct"/>
                  <w:tcBorders>
                    <w:tl2br w:val="nil"/>
                    <w:tr2bl w:val="nil"/>
                  </w:tcBorders>
                  <w:noWrap w:val="0"/>
                  <w:vAlign w:val="center"/>
                </w:tcPr>
                <w:p w14:paraId="27D0037A">
                  <w:pPr>
                    <w:keepNext w:val="0"/>
                    <w:keepLines w:val="0"/>
                    <w:widowControl/>
                    <w:suppressLineNumbers w:val="0"/>
                    <w:jc w:val="center"/>
                    <w:textAlignment w:val="center"/>
                    <w:rPr>
                      <w:rFonts w:hint="default" w:ascii="Times New Roman" w:hAnsi="Times New Roman" w:cs="Times New Roman"/>
                      <w:snapToGrid w:val="0"/>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755</w:t>
                  </w:r>
                </w:p>
              </w:tc>
              <w:tc>
                <w:tcPr>
                  <w:tcW w:w="731" w:type="pct"/>
                  <w:tcBorders>
                    <w:tl2br w:val="nil"/>
                    <w:tr2bl w:val="nil"/>
                  </w:tcBorders>
                  <w:shd w:val="clear" w:color="auto" w:fill="auto"/>
                  <w:noWrap w:val="0"/>
                  <w:vAlign w:val="center"/>
                </w:tcPr>
                <w:p w14:paraId="4E0D471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napToGrid w:val="0"/>
                      <w:color w:val="auto"/>
                      <w:kern w:val="2"/>
                      <w:sz w:val="18"/>
                      <w:szCs w:val="18"/>
                      <w:highlight w:val="none"/>
                      <w:lang w:val="en-US" w:eastAsia="zh-CN" w:bidi="ar-SA"/>
                    </w:rPr>
                  </w:pPr>
                  <w:r>
                    <w:rPr>
                      <w:rFonts w:hint="eastAsia" w:cs="Times New Roman"/>
                      <w:snapToGrid w:val="0"/>
                      <w:color w:val="auto"/>
                      <w:sz w:val="18"/>
                      <w:szCs w:val="18"/>
                      <w:highlight w:val="none"/>
                      <w:lang w:val="en-US" w:eastAsia="zh-CN"/>
                    </w:rPr>
                    <w:t>万Nm</w:t>
                  </w:r>
                  <w:r>
                    <w:rPr>
                      <w:rFonts w:hint="eastAsia" w:cs="Times New Roman"/>
                      <w:snapToGrid w:val="0"/>
                      <w:color w:val="auto"/>
                      <w:sz w:val="18"/>
                      <w:szCs w:val="18"/>
                      <w:highlight w:val="none"/>
                      <w:vertAlign w:val="superscript"/>
                      <w:lang w:val="en-US" w:eastAsia="zh-CN"/>
                    </w:rPr>
                    <w:t>3</w:t>
                  </w:r>
                  <w:r>
                    <w:rPr>
                      <w:rFonts w:hint="default" w:ascii="Times New Roman" w:hAnsi="Times New Roman" w:cs="Times New Roman"/>
                      <w:snapToGrid w:val="0"/>
                      <w:color w:val="auto"/>
                      <w:sz w:val="18"/>
                      <w:szCs w:val="18"/>
                      <w:highlight w:val="none"/>
                    </w:rPr>
                    <w:t>/</w:t>
                  </w:r>
                  <w:r>
                    <w:rPr>
                      <w:rFonts w:hint="eastAsia" w:cs="Times New Roman"/>
                      <w:snapToGrid w:val="0"/>
                      <w:color w:val="auto"/>
                      <w:sz w:val="18"/>
                      <w:szCs w:val="18"/>
                      <w:highlight w:val="none"/>
                      <w:lang w:val="en-US" w:eastAsia="zh-CN"/>
                    </w:rPr>
                    <w:t>a</w:t>
                  </w:r>
                </w:p>
              </w:tc>
              <w:tc>
                <w:tcPr>
                  <w:tcW w:w="777" w:type="pct"/>
                  <w:tcBorders>
                    <w:tl2br w:val="nil"/>
                    <w:tr2bl w:val="nil"/>
                  </w:tcBorders>
                  <w:noWrap w:val="0"/>
                  <w:vAlign w:val="center"/>
                </w:tcPr>
                <w:p w14:paraId="2DE7DA9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snapToGrid w:val="0"/>
                      <w:color w:val="auto"/>
                      <w:sz w:val="18"/>
                      <w:szCs w:val="18"/>
                      <w:highlight w:val="none"/>
                      <w:lang w:val="en-US"/>
                    </w:rPr>
                  </w:pPr>
                  <w:r>
                    <w:rPr>
                      <w:rFonts w:hint="eastAsia" w:cs="Times New Roman"/>
                      <w:snapToGrid w:val="0"/>
                      <w:color w:val="auto"/>
                      <w:sz w:val="18"/>
                      <w:szCs w:val="18"/>
                      <w:highlight w:val="none"/>
                      <w:lang w:val="en-US" w:eastAsia="zh-CN"/>
                    </w:rPr>
                    <w:t>外购</w:t>
                  </w:r>
                </w:p>
              </w:tc>
              <w:tc>
                <w:tcPr>
                  <w:tcW w:w="777" w:type="pct"/>
                  <w:tcBorders>
                    <w:tl2br w:val="nil"/>
                    <w:tr2bl w:val="nil"/>
                  </w:tcBorders>
                  <w:noWrap w:val="0"/>
                  <w:vAlign w:val="center"/>
                </w:tcPr>
                <w:p w14:paraId="10371E4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气体区，槽罐车储存</w:t>
                  </w:r>
                </w:p>
              </w:tc>
            </w:tr>
            <w:tr w14:paraId="641185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94" w:type="pct"/>
                  <w:vMerge w:val="continue"/>
                  <w:tcBorders>
                    <w:tl2br w:val="nil"/>
                    <w:tr2bl w:val="nil"/>
                  </w:tcBorders>
                  <w:shd w:val="clear" w:color="auto" w:fill="auto"/>
                  <w:noWrap w:val="0"/>
                  <w:vAlign w:val="center"/>
                </w:tcPr>
                <w:p w14:paraId="2B5F09B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kern w:val="2"/>
                      <w:sz w:val="18"/>
                      <w:szCs w:val="18"/>
                      <w:highlight w:val="none"/>
                      <w:lang w:val="en-US" w:eastAsia="zh-CN" w:bidi="ar-SA"/>
                    </w:rPr>
                  </w:pPr>
                </w:p>
              </w:tc>
              <w:tc>
                <w:tcPr>
                  <w:tcW w:w="500" w:type="pct"/>
                  <w:tcBorders>
                    <w:tl2br w:val="nil"/>
                    <w:tr2bl w:val="nil"/>
                  </w:tcBorders>
                  <w:shd w:val="clear" w:color="auto" w:fill="auto"/>
                  <w:noWrap w:val="0"/>
                  <w:vAlign w:val="center"/>
                </w:tcPr>
                <w:p w14:paraId="2857DA7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4</w:t>
                  </w:r>
                </w:p>
              </w:tc>
              <w:tc>
                <w:tcPr>
                  <w:tcW w:w="1084" w:type="pct"/>
                  <w:tcBorders>
                    <w:tl2br w:val="nil"/>
                    <w:tr2bl w:val="nil"/>
                  </w:tcBorders>
                  <w:noWrap w:val="0"/>
                  <w:vAlign w:val="center"/>
                </w:tcPr>
                <w:p w14:paraId="6A7F58C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sz w:val="18"/>
                      <w:szCs w:val="18"/>
                      <w:highlight w:val="none"/>
                      <w:lang w:eastAsia="zh-CN"/>
                    </w:rPr>
                  </w:pPr>
                  <w:r>
                    <w:rPr>
                      <w:rFonts w:hint="eastAsia" w:cs="Times New Roman"/>
                      <w:snapToGrid w:val="0"/>
                      <w:color w:val="auto"/>
                      <w:sz w:val="18"/>
                      <w:szCs w:val="18"/>
                      <w:highlight w:val="none"/>
                      <w:lang w:val="en-US" w:eastAsia="zh-CN"/>
                    </w:rPr>
                    <w:t>31%盐酸</w:t>
                  </w:r>
                </w:p>
              </w:tc>
              <w:tc>
                <w:tcPr>
                  <w:tcW w:w="635" w:type="pct"/>
                  <w:tcBorders>
                    <w:tl2br w:val="nil"/>
                    <w:tr2bl w:val="nil"/>
                  </w:tcBorders>
                  <w:noWrap w:val="0"/>
                  <w:vAlign w:val="center"/>
                </w:tcPr>
                <w:p w14:paraId="0446172E">
                  <w:pPr>
                    <w:keepNext w:val="0"/>
                    <w:keepLines w:val="0"/>
                    <w:widowControl/>
                    <w:suppressLineNumbers w:val="0"/>
                    <w:jc w:val="center"/>
                    <w:textAlignment w:val="center"/>
                    <w:rPr>
                      <w:rFonts w:hint="default" w:ascii="Times New Roman" w:hAnsi="Times New Roman" w:cs="Times New Roman"/>
                      <w:snapToGrid w:val="0"/>
                      <w:color w:val="auto"/>
                      <w:sz w:val="18"/>
                      <w:szCs w:val="18"/>
                      <w:highlight w:val="none"/>
                      <w:lang w:val="en-US" w:eastAsia="zh-CN"/>
                    </w:rPr>
                  </w:pPr>
                  <w:r>
                    <w:rPr>
                      <w:rFonts w:hint="eastAsia" w:cs="Times New Roman"/>
                      <w:i w:val="0"/>
                      <w:iCs w:val="0"/>
                      <w:color w:val="auto"/>
                      <w:kern w:val="0"/>
                      <w:sz w:val="18"/>
                      <w:szCs w:val="18"/>
                      <w:u w:val="none"/>
                      <w:lang w:val="en-US" w:eastAsia="zh-CN" w:bidi="ar"/>
                    </w:rPr>
                    <w:t>522.72</w:t>
                  </w:r>
                </w:p>
              </w:tc>
              <w:tc>
                <w:tcPr>
                  <w:tcW w:w="731" w:type="pct"/>
                  <w:tcBorders>
                    <w:tl2br w:val="nil"/>
                    <w:tr2bl w:val="nil"/>
                  </w:tcBorders>
                  <w:noWrap w:val="0"/>
                  <w:vAlign w:val="center"/>
                </w:tcPr>
                <w:p w14:paraId="68E6EB02">
                  <w:pPr>
                    <w:keepNext w:val="0"/>
                    <w:keepLines w:val="0"/>
                    <w:widowControl/>
                    <w:suppressLineNumbers w:val="0"/>
                    <w:jc w:val="center"/>
                    <w:textAlignment w:val="center"/>
                    <w:rPr>
                      <w:rFonts w:hint="default" w:ascii="Times New Roman" w:hAnsi="Times New Roman" w:cs="Times New Roman"/>
                      <w:snapToGrid w:val="0"/>
                      <w:color w:val="auto"/>
                      <w:sz w:val="18"/>
                      <w:szCs w:val="18"/>
                      <w:highlight w:val="none"/>
                      <w:lang w:eastAsia="zh-CN"/>
                    </w:rPr>
                  </w:pPr>
                  <w:r>
                    <w:rPr>
                      <w:rFonts w:hint="default" w:ascii="Times New Roman" w:hAnsi="Times New Roman" w:eastAsia="宋体" w:cs="Times New Roman"/>
                      <w:i w:val="0"/>
                      <w:iCs w:val="0"/>
                      <w:color w:val="auto"/>
                      <w:kern w:val="0"/>
                      <w:sz w:val="18"/>
                      <w:szCs w:val="18"/>
                      <w:u w:val="none"/>
                      <w:lang w:val="en-US" w:eastAsia="zh-CN" w:bidi="ar"/>
                    </w:rPr>
                    <w:t>t/a</w:t>
                  </w:r>
                </w:p>
              </w:tc>
              <w:tc>
                <w:tcPr>
                  <w:tcW w:w="777" w:type="pct"/>
                  <w:tcBorders>
                    <w:tl2br w:val="nil"/>
                    <w:tr2bl w:val="nil"/>
                  </w:tcBorders>
                  <w:noWrap w:val="0"/>
                  <w:vAlign w:val="center"/>
                </w:tcPr>
                <w:p w14:paraId="350912C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外购</w:t>
                  </w:r>
                </w:p>
              </w:tc>
              <w:tc>
                <w:tcPr>
                  <w:tcW w:w="777" w:type="pct"/>
                  <w:tcBorders>
                    <w:tl2br w:val="nil"/>
                    <w:tr2bl w:val="nil"/>
                  </w:tcBorders>
                  <w:noWrap w:val="0"/>
                  <w:vAlign w:val="center"/>
                </w:tcPr>
                <w:p w14:paraId="032BA2A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盐酸储罐</w:t>
                  </w:r>
                </w:p>
              </w:tc>
            </w:tr>
            <w:tr w14:paraId="0A0C69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94" w:type="pct"/>
                  <w:vMerge w:val="continue"/>
                  <w:tcBorders>
                    <w:tl2br w:val="nil"/>
                    <w:tr2bl w:val="nil"/>
                  </w:tcBorders>
                  <w:shd w:val="clear" w:color="auto" w:fill="auto"/>
                  <w:noWrap w:val="0"/>
                  <w:vAlign w:val="center"/>
                </w:tcPr>
                <w:p w14:paraId="27E8835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kern w:val="2"/>
                      <w:sz w:val="18"/>
                      <w:szCs w:val="18"/>
                      <w:highlight w:val="none"/>
                      <w:lang w:val="en-US" w:eastAsia="zh-CN" w:bidi="ar-SA"/>
                    </w:rPr>
                  </w:pPr>
                </w:p>
              </w:tc>
              <w:tc>
                <w:tcPr>
                  <w:tcW w:w="500" w:type="pct"/>
                  <w:tcBorders>
                    <w:tl2br w:val="nil"/>
                    <w:tr2bl w:val="nil"/>
                  </w:tcBorders>
                  <w:shd w:val="clear" w:color="auto" w:fill="auto"/>
                  <w:noWrap w:val="0"/>
                  <w:vAlign w:val="center"/>
                </w:tcPr>
                <w:p w14:paraId="2CCC242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5</w:t>
                  </w:r>
                </w:p>
              </w:tc>
              <w:tc>
                <w:tcPr>
                  <w:tcW w:w="1084" w:type="pct"/>
                  <w:tcBorders>
                    <w:tl2br w:val="nil"/>
                    <w:tr2bl w:val="nil"/>
                  </w:tcBorders>
                  <w:noWrap w:val="0"/>
                  <w:vAlign w:val="center"/>
                </w:tcPr>
                <w:p w14:paraId="20D1583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98%硫酸</w:t>
                  </w:r>
                </w:p>
              </w:tc>
              <w:tc>
                <w:tcPr>
                  <w:tcW w:w="635" w:type="pct"/>
                  <w:tcBorders>
                    <w:tl2br w:val="nil"/>
                    <w:tr2bl w:val="nil"/>
                  </w:tcBorders>
                  <w:noWrap w:val="0"/>
                  <w:vAlign w:val="center"/>
                </w:tcPr>
                <w:p w14:paraId="73FDAB7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cs="Times New Roman"/>
                      <w:i w:val="0"/>
                      <w:iCs w:val="0"/>
                      <w:color w:val="auto"/>
                      <w:kern w:val="0"/>
                      <w:sz w:val="18"/>
                      <w:szCs w:val="18"/>
                      <w:u w:val="none"/>
                      <w:lang w:val="en-US" w:eastAsia="zh-CN" w:bidi="ar"/>
                    </w:rPr>
                    <w:t>280</w:t>
                  </w:r>
                </w:p>
              </w:tc>
              <w:tc>
                <w:tcPr>
                  <w:tcW w:w="731" w:type="pct"/>
                  <w:tcBorders>
                    <w:tl2br w:val="nil"/>
                    <w:tr2bl w:val="nil"/>
                  </w:tcBorders>
                  <w:noWrap w:val="0"/>
                  <w:vAlign w:val="center"/>
                </w:tcPr>
                <w:p w14:paraId="48A3B030">
                  <w:pPr>
                    <w:keepNext w:val="0"/>
                    <w:keepLines w:val="0"/>
                    <w:widowControl/>
                    <w:suppressLineNumbers w:val="0"/>
                    <w:jc w:val="center"/>
                    <w:textAlignment w:val="center"/>
                    <w:rPr>
                      <w:rFonts w:hint="eastAsia" w:ascii="宋体" w:hAnsi="宋体" w:eastAsia="宋体" w:cs="宋体"/>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t/a</w:t>
                  </w:r>
                </w:p>
              </w:tc>
              <w:tc>
                <w:tcPr>
                  <w:tcW w:w="777" w:type="pct"/>
                  <w:tcBorders>
                    <w:tl2br w:val="nil"/>
                    <w:tr2bl w:val="nil"/>
                  </w:tcBorders>
                  <w:noWrap w:val="0"/>
                  <w:vAlign w:val="center"/>
                </w:tcPr>
                <w:p w14:paraId="6C7DEB1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外购</w:t>
                  </w:r>
                </w:p>
              </w:tc>
              <w:tc>
                <w:tcPr>
                  <w:tcW w:w="777" w:type="pct"/>
                  <w:tcBorders>
                    <w:tl2br w:val="nil"/>
                    <w:tr2bl w:val="nil"/>
                  </w:tcBorders>
                  <w:noWrap w:val="0"/>
                  <w:vAlign w:val="center"/>
                </w:tcPr>
                <w:p w14:paraId="0D689CE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硫酸储罐</w:t>
                  </w:r>
                </w:p>
              </w:tc>
            </w:tr>
            <w:tr w14:paraId="684C54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94" w:type="pct"/>
                  <w:vMerge w:val="continue"/>
                  <w:tcBorders>
                    <w:tl2br w:val="nil"/>
                    <w:tr2bl w:val="nil"/>
                  </w:tcBorders>
                  <w:shd w:val="clear" w:color="auto" w:fill="auto"/>
                  <w:noWrap w:val="0"/>
                  <w:vAlign w:val="center"/>
                </w:tcPr>
                <w:p w14:paraId="7DF7C93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kern w:val="2"/>
                      <w:sz w:val="18"/>
                      <w:szCs w:val="18"/>
                      <w:highlight w:val="none"/>
                      <w:lang w:val="en-US" w:eastAsia="zh-CN" w:bidi="ar-SA"/>
                    </w:rPr>
                  </w:pPr>
                </w:p>
              </w:tc>
              <w:tc>
                <w:tcPr>
                  <w:tcW w:w="500" w:type="pct"/>
                  <w:tcBorders>
                    <w:tl2br w:val="nil"/>
                    <w:tr2bl w:val="nil"/>
                  </w:tcBorders>
                  <w:shd w:val="clear" w:color="auto" w:fill="auto"/>
                  <w:noWrap w:val="0"/>
                  <w:vAlign w:val="center"/>
                </w:tcPr>
                <w:p w14:paraId="183AC89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6</w:t>
                  </w:r>
                </w:p>
              </w:tc>
              <w:tc>
                <w:tcPr>
                  <w:tcW w:w="1084" w:type="pct"/>
                  <w:tcBorders>
                    <w:tl2br w:val="nil"/>
                    <w:tr2bl w:val="nil"/>
                  </w:tcBorders>
                  <w:noWrap w:val="0"/>
                  <w:vAlign w:val="center"/>
                </w:tcPr>
                <w:p w14:paraId="789421D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napToGrid w:val="0"/>
                      <w:color w:val="auto"/>
                      <w:sz w:val="18"/>
                      <w:szCs w:val="18"/>
                      <w:highlight w:val="none"/>
                      <w:lang w:eastAsia="zh-CN"/>
                    </w:rPr>
                  </w:pPr>
                  <w:r>
                    <w:rPr>
                      <w:rFonts w:hint="eastAsia" w:cs="Times New Roman"/>
                      <w:snapToGrid w:val="0"/>
                      <w:color w:val="auto"/>
                      <w:sz w:val="18"/>
                      <w:szCs w:val="18"/>
                      <w:highlight w:val="none"/>
                      <w:lang w:val="en-US" w:eastAsia="zh-CN"/>
                    </w:rPr>
                    <w:t>固体氢氧化钠</w:t>
                  </w:r>
                </w:p>
              </w:tc>
              <w:tc>
                <w:tcPr>
                  <w:tcW w:w="635" w:type="pct"/>
                  <w:tcBorders>
                    <w:tl2br w:val="nil"/>
                    <w:tr2bl w:val="nil"/>
                  </w:tcBorders>
                  <w:noWrap w:val="0"/>
                  <w:vAlign w:val="center"/>
                </w:tcPr>
                <w:p w14:paraId="421AA40A">
                  <w:pPr>
                    <w:keepNext w:val="0"/>
                    <w:keepLines w:val="0"/>
                    <w:widowControl/>
                    <w:suppressLineNumbers w:val="0"/>
                    <w:jc w:val="center"/>
                    <w:textAlignment w:val="center"/>
                    <w:rPr>
                      <w:rFonts w:hint="default" w:ascii="Times New Roman" w:hAnsi="Times New Roman" w:eastAsia="宋体" w:cs="Times New Roman"/>
                      <w:snapToGrid w:val="0"/>
                      <w:color w:val="auto"/>
                      <w:sz w:val="18"/>
                      <w:szCs w:val="18"/>
                      <w:highlight w:val="none"/>
                      <w:lang w:val="en-US" w:eastAsia="zh-CN"/>
                    </w:rPr>
                  </w:pPr>
                  <w:r>
                    <w:rPr>
                      <w:rFonts w:hint="eastAsia" w:cs="Times New Roman"/>
                      <w:i w:val="0"/>
                      <w:iCs w:val="0"/>
                      <w:color w:val="auto"/>
                      <w:kern w:val="0"/>
                      <w:sz w:val="18"/>
                      <w:szCs w:val="18"/>
                      <w:u w:val="none"/>
                      <w:lang w:val="en-US" w:eastAsia="zh-CN" w:bidi="ar"/>
                    </w:rPr>
                    <w:t>200</w:t>
                  </w:r>
                </w:p>
              </w:tc>
              <w:tc>
                <w:tcPr>
                  <w:tcW w:w="731" w:type="pct"/>
                  <w:tcBorders>
                    <w:tl2br w:val="nil"/>
                    <w:tr2bl w:val="nil"/>
                  </w:tcBorders>
                  <w:noWrap w:val="0"/>
                  <w:vAlign w:val="center"/>
                </w:tcPr>
                <w:p w14:paraId="5EB414A9">
                  <w:pPr>
                    <w:keepNext w:val="0"/>
                    <w:keepLines w:val="0"/>
                    <w:widowControl/>
                    <w:suppressLineNumbers w:val="0"/>
                    <w:jc w:val="center"/>
                    <w:textAlignment w:val="center"/>
                    <w:rPr>
                      <w:rFonts w:hint="default" w:ascii="Times New Roman" w:hAnsi="Times New Roman" w:cs="Times New Roman"/>
                      <w:snapToGrid w:val="0"/>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t/a</w:t>
                  </w:r>
                </w:p>
              </w:tc>
              <w:tc>
                <w:tcPr>
                  <w:tcW w:w="777" w:type="pct"/>
                  <w:tcBorders>
                    <w:tl2br w:val="nil"/>
                    <w:tr2bl w:val="nil"/>
                  </w:tcBorders>
                  <w:noWrap w:val="0"/>
                  <w:vAlign w:val="center"/>
                </w:tcPr>
                <w:p w14:paraId="4B6E8F6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外购</w:t>
                  </w:r>
                </w:p>
              </w:tc>
              <w:tc>
                <w:tcPr>
                  <w:tcW w:w="777" w:type="pct"/>
                  <w:tcBorders>
                    <w:tl2br w:val="nil"/>
                    <w:tr2bl w:val="nil"/>
                  </w:tcBorders>
                  <w:noWrap w:val="0"/>
                  <w:vAlign w:val="center"/>
                </w:tcPr>
                <w:p w14:paraId="12C33E8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default" w:cs="Times New Roman"/>
                      <w:snapToGrid w:val="0"/>
                      <w:color w:val="auto"/>
                      <w:sz w:val="18"/>
                      <w:szCs w:val="18"/>
                      <w:highlight w:val="none"/>
                      <w:lang w:val="en-US" w:eastAsia="zh-CN"/>
                    </w:rPr>
                    <w:t>取向硅钢脱碳退火渗氮涂层(DCL)机组</w:t>
                  </w:r>
                </w:p>
              </w:tc>
            </w:tr>
            <w:tr w14:paraId="78F1E8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94" w:type="pct"/>
                  <w:vMerge w:val="continue"/>
                  <w:tcBorders>
                    <w:tl2br w:val="nil"/>
                    <w:tr2bl w:val="nil"/>
                  </w:tcBorders>
                  <w:shd w:val="clear" w:color="auto" w:fill="auto"/>
                  <w:noWrap w:val="0"/>
                  <w:vAlign w:val="center"/>
                </w:tcPr>
                <w:p w14:paraId="2D11EB7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kern w:val="2"/>
                      <w:sz w:val="18"/>
                      <w:szCs w:val="18"/>
                      <w:highlight w:val="none"/>
                      <w:lang w:val="en-US" w:eastAsia="zh-CN" w:bidi="ar-SA"/>
                    </w:rPr>
                  </w:pPr>
                </w:p>
              </w:tc>
              <w:tc>
                <w:tcPr>
                  <w:tcW w:w="500" w:type="pct"/>
                  <w:tcBorders>
                    <w:tl2br w:val="nil"/>
                    <w:tr2bl w:val="nil"/>
                  </w:tcBorders>
                  <w:shd w:val="clear" w:color="auto" w:fill="auto"/>
                  <w:noWrap w:val="0"/>
                  <w:vAlign w:val="center"/>
                </w:tcPr>
                <w:p w14:paraId="25FDDB2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7</w:t>
                  </w:r>
                </w:p>
              </w:tc>
              <w:tc>
                <w:tcPr>
                  <w:tcW w:w="1084" w:type="pct"/>
                  <w:tcBorders>
                    <w:tl2br w:val="nil"/>
                    <w:tr2bl w:val="nil"/>
                  </w:tcBorders>
                  <w:noWrap w:val="0"/>
                  <w:vAlign w:val="center"/>
                </w:tcPr>
                <w:p w14:paraId="2F8BB97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napToGrid w:val="0"/>
                      <w:color w:val="auto"/>
                      <w:sz w:val="18"/>
                      <w:szCs w:val="18"/>
                      <w:highlight w:val="none"/>
                      <w:lang w:eastAsia="zh-CN"/>
                    </w:rPr>
                  </w:pPr>
                  <w:r>
                    <w:rPr>
                      <w:rFonts w:hint="eastAsia" w:cs="Times New Roman"/>
                      <w:snapToGrid w:val="0"/>
                      <w:color w:val="auto"/>
                      <w:sz w:val="18"/>
                      <w:szCs w:val="18"/>
                      <w:highlight w:val="none"/>
                      <w:lang w:val="en-US" w:eastAsia="zh-CN"/>
                    </w:rPr>
                    <w:t>液氨</w:t>
                  </w:r>
                </w:p>
              </w:tc>
              <w:tc>
                <w:tcPr>
                  <w:tcW w:w="635" w:type="pct"/>
                  <w:tcBorders>
                    <w:tl2br w:val="nil"/>
                    <w:tr2bl w:val="nil"/>
                  </w:tcBorders>
                  <w:noWrap w:val="0"/>
                  <w:vAlign w:val="center"/>
                </w:tcPr>
                <w:p w14:paraId="174CC9AB">
                  <w:pPr>
                    <w:keepNext w:val="0"/>
                    <w:keepLines w:val="0"/>
                    <w:widowControl/>
                    <w:suppressLineNumbers w:val="0"/>
                    <w:jc w:val="center"/>
                    <w:textAlignment w:val="center"/>
                    <w:rPr>
                      <w:rFonts w:hint="default" w:ascii="Times New Roman" w:hAnsi="Times New Roman" w:eastAsia="宋体" w:cs="Times New Roman"/>
                      <w:snapToGrid w:val="0"/>
                      <w:color w:val="auto"/>
                      <w:sz w:val="18"/>
                      <w:szCs w:val="18"/>
                      <w:highlight w:val="none"/>
                      <w:lang w:val="en-US" w:eastAsia="zh-CN"/>
                    </w:rPr>
                  </w:pPr>
                  <w:r>
                    <w:rPr>
                      <w:rFonts w:hint="eastAsia" w:cs="Times New Roman"/>
                      <w:i w:val="0"/>
                      <w:iCs w:val="0"/>
                      <w:color w:val="auto"/>
                      <w:kern w:val="0"/>
                      <w:sz w:val="18"/>
                      <w:szCs w:val="18"/>
                      <w:u w:val="none"/>
                      <w:lang w:val="en-US" w:eastAsia="zh-CN" w:bidi="ar"/>
                    </w:rPr>
                    <w:t>65</w:t>
                  </w:r>
                </w:p>
              </w:tc>
              <w:tc>
                <w:tcPr>
                  <w:tcW w:w="731" w:type="pct"/>
                  <w:tcBorders>
                    <w:tl2br w:val="nil"/>
                    <w:tr2bl w:val="nil"/>
                  </w:tcBorders>
                  <w:noWrap w:val="0"/>
                  <w:vAlign w:val="center"/>
                </w:tcPr>
                <w:p w14:paraId="275C598C">
                  <w:pPr>
                    <w:keepNext w:val="0"/>
                    <w:keepLines w:val="0"/>
                    <w:widowControl/>
                    <w:suppressLineNumbers w:val="0"/>
                    <w:jc w:val="center"/>
                    <w:textAlignment w:val="center"/>
                    <w:rPr>
                      <w:rFonts w:hint="default" w:ascii="Times New Roman" w:hAnsi="Times New Roman" w:cs="Times New Roman"/>
                      <w:snapToGrid w:val="0"/>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t/a</w:t>
                  </w:r>
                </w:p>
              </w:tc>
              <w:tc>
                <w:tcPr>
                  <w:tcW w:w="777" w:type="pct"/>
                  <w:tcBorders>
                    <w:tl2br w:val="nil"/>
                    <w:tr2bl w:val="nil"/>
                  </w:tcBorders>
                  <w:noWrap w:val="0"/>
                  <w:vAlign w:val="center"/>
                </w:tcPr>
                <w:p w14:paraId="7D9CAC0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外购</w:t>
                  </w:r>
                </w:p>
              </w:tc>
              <w:tc>
                <w:tcPr>
                  <w:tcW w:w="777" w:type="pct"/>
                  <w:tcBorders>
                    <w:tl2br w:val="nil"/>
                    <w:tr2bl w:val="nil"/>
                  </w:tcBorders>
                  <w:noWrap w:val="0"/>
                  <w:vAlign w:val="center"/>
                </w:tcPr>
                <w:p w14:paraId="4254E06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液氨气化站</w:t>
                  </w:r>
                </w:p>
              </w:tc>
            </w:tr>
            <w:tr w14:paraId="4851DC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94" w:type="pct"/>
                  <w:vMerge w:val="continue"/>
                  <w:tcBorders>
                    <w:tl2br w:val="nil"/>
                    <w:tr2bl w:val="nil"/>
                  </w:tcBorders>
                  <w:shd w:val="clear" w:color="auto" w:fill="auto"/>
                  <w:noWrap w:val="0"/>
                  <w:vAlign w:val="center"/>
                </w:tcPr>
                <w:p w14:paraId="4C7A2D0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kern w:val="2"/>
                      <w:sz w:val="18"/>
                      <w:szCs w:val="18"/>
                      <w:highlight w:val="none"/>
                      <w:lang w:val="en-US" w:eastAsia="zh-CN" w:bidi="ar-SA"/>
                    </w:rPr>
                  </w:pPr>
                </w:p>
              </w:tc>
              <w:tc>
                <w:tcPr>
                  <w:tcW w:w="500" w:type="pct"/>
                  <w:tcBorders>
                    <w:tl2br w:val="nil"/>
                    <w:tr2bl w:val="nil"/>
                  </w:tcBorders>
                  <w:shd w:val="clear" w:color="auto" w:fill="auto"/>
                  <w:noWrap w:val="0"/>
                  <w:vAlign w:val="center"/>
                </w:tcPr>
                <w:p w14:paraId="71CE356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8</w:t>
                  </w:r>
                </w:p>
              </w:tc>
              <w:tc>
                <w:tcPr>
                  <w:tcW w:w="1084" w:type="pct"/>
                  <w:tcBorders>
                    <w:tl2br w:val="nil"/>
                    <w:tr2bl w:val="nil"/>
                  </w:tcBorders>
                  <w:noWrap w:val="0"/>
                  <w:vAlign w:val="center"/>
                </w:tcPr>
                <w:p w14:paraId="30EA7E8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MgO涂料</w:t>
                  </w:r>
                </w:p>
              </w:tc>
              <w:tc>
                <w:tcPr>
                  <w:tcW w:w="635" w:type="pct"/>
                  <w:tcBorders>
                    <w:tl2br w:val="nil"/>
                    <w:tr2bl w:val="nil"/>
                  </w:tcBorders>
                  <w:noWrap w:val="0"/>
                  <w:vAlign w:val="center"/>
                </w:tcPr>
                <w:p w14:paraId="5D3F0159">
                  <w:pPr>
                    <w:keepNext w:val="0"/>
                    <w:keepLines w:val="0"/>
                    <w:widowControl/>
                    <w:suppressLineNumbers w:val="0"/>
                    <w:jc w:val="center"/>
                    <w:textAlignment w:val="center"/>
                    <w:rPr>
                      <w:rFonts w:hint="default" w:ascii="Times New Roman" w:hAnsi="Times New Roman" w:eastAsia="宋体" w:cs="Times New Roman"/>
                      <w:snapToGrid w:val="0"/>
                      <w:color w:val="auto"/>
                      <w:sz w:val="18"/>
                      <w:szCs w:val="18"/>
                      <w:highlight w:val="none"/>
                      <w:lang w:val="en-US" w:eastAsia="zh-CN"/>
                    </w:rPr>
                  </w:pPr>
                  <w:r>
                    <w:rPr>
                      <w:rFonts w:hint="eastAsia" w:cs="Times New Roman"/>
                      <w:i w:val="0"/>
                      <w:iCs w:val="0"/>
                      <w:color w:val="auto"/>
                      <w:kern w:val="0"/>
                      <w:sz w:val="18"/>
                      <w:szCs w:val="18"/>
                      <w:u w:val="none"/>
                      <w:lang w:val="en-US" w:eastAsia="zh-CN" w:bidi="ar"/>
                    </w:rPr>
                    <w:t>800</w:t>
                  </w:r>
                </w:p>
              </w:tc>
              <w:tc>
                <w:tcPr>
                  <w:tcW w:w="731" w:type="pct"/>
                  <w:tcBorders>
                    <w:tl2br w:val="nil"/>
                    <w:tr2bl w:val="nil"/>
                  </w:tcBorders>
                  <w:noWrap w:val="0"/>
                  <w:vAlign w:val="center"/>
                </w:tcPr>
                <w:p w14:paraId="20925A92">
                  <w:pPr>
                    <w:keepNext w:val="0"/>
                    <w:keepLines w:val="0"/>
                    <w:widowControl/>
                    <w:suppressLineNumbers w:val="0"/>
                    <w:jc w:val="center"/>
                    <w:textAlignment w:val="center"/>
                    <w:rPr>
                      <w:rFonts w:hint="eastAsia" w:ascii="宋体" w:hAnsi="宋体" w:eastAsia="宋体" w:cs="宋体"/>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t/a</w:t>
                  </w:r>
                </w:p>
              </w:tc>
              <w:tc>
                <w:tcPr>
                  <w:tcW w:w="777" w:type="pct"/>
                  <w:tcBorders>
                    <w:tl2br w:val="nil"/>
                    <w:tr2bl w:val="nil"/>
                  </w:tcBorders>
                  <w:noWrap w:val="0"/>
                  <w:vAlign w:val="center"/>
                </w:tcPr>
                <w:p w14:paraId="29A49AB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外购</w:t>
                  </w:r>
                </w:p>
              </w:tc>
              <w:tc>
                <w:tcPr>
                  <w:tcW w:w="777" w:type="pct"/>
                  <w:tcBorders>
                    <w:tl2br w:val="nil"/>
                    <w:tr2bl w:val="nil"/>
                  </w:tcBorders>
                  <w:noWrap w:val="0"/>
                  <w:vAlign w:val="center"/>
                </w:tcPr>
                <w:p w14:paraId="73CA8DC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sz w:val="18"/>
                      <w:szCs w:val="18"/>
                      <w:highlight w:val="none"/>
                      <w:lang w:val="en-US" w:eastAsia="zh-CN"/>
                    </w:rPr>
                  </w:pPr>
                  <w:r>
                    <w:rPr>
                      <w:rFonts w:hint="default" w:cs="Times New Roman"/>
                      <w:snapToGrid w:val="0"/>
                      <w:color w:val="auto"/>
                      <w:sz w:val="18"/>
                      <w:szCs w:val="18"/>
                      <w:highlight w:val="none"/>
                      <w:lang w:val="en-US" w:eastAsia="zh-CN"/>
                    </w:rPr>
                    <w:t>取向硅钢脱碳退火渗氮涂层(DCL)机组</w:t>
                  </w:r>
                </w:p>
              </w:tc>
            </w:tr>
            <w:tr w14:paraId="790EC2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94" w:type="pct"/>
                  <w:vMerge w:val="continue"/>
                  <w:tcBorders>
                    <w:tl2br w:val="nil"/>
                    <w:tr2bl w:val="nil"/>
                  </w:tcBorders>
                  <w:shd w:val="clear" w:color="auto" w:fill="auto"/>
                  <w:noWrap w:val="0"/>
                  <w:vAlign w:val="center"/>
                </w:tcPr>
                <w:p w14:paraId="56D6517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kern w:val="2"/>
                      <w:sz w:val="18"/>
                      <w:szCs w:val="18"/>
                      <w:highlight w:val="none"/>
                      <w:lang w:val="en-US" w:eastAsia="zh-CN" w:bidi="ar-SA"/>
                    </w:rPr>
                  </w:pPr>
                </w:p>
              </w:tc>
              <w:tc>
                <w:tcPr>
                  <w:tcW w:w="500" w:type="pct"/>
                  <w:tcBorders>
                    <w:tl2br w:val="nil"/>
                    <w:tr2bl w:val="nil"/>
                  </w:tcBorders>
                  <w:shd w:val="clear" w:color="auto" w:fill="auto"/>
                  <w:noWrap w:val="0"/>
                  <w:vAlign w:val="center"/>
                </w:tcPr>
                <w:p w14:paraId="4F4848C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9</w:t>
                  </w:r>
                </w:p>
              </w:tc>
              <w:tc>
                <w:tcPr>
                  <w:tcW w:w="1084" w:type="pct"/>
                  <w:tcBorders>
                    <w:tl2br w:val="nil"/>
                    <w:tr2bl w:val="nil"/>
                  </w:tcBorders>
                  <w:noWrap w:val="0"/>
                  <w:vAlign w:val="center"/>
                </w:tcPr>
                <w:p w14:paraId="01859FD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液压油</w:t>
                  </w:r>
                </w:p>
              </w:tc>
              <w:tc>
                <w:tcPr>
                  <w:tcW w:w="635" w:type="pct"/>
                  <w:tcBorders>
                    <w:tl2br w:val="nil"/>
                    <w:tr2bl w:val="nil"/>
                  </w:tcBorders>
                  <w:noWrap w:val="0"/>
                  <w:vAlign w:val="center"/>
                </w:tcPr>
                <w:p w14:paraId="4A9BDA71">
                  <w:pPr>
                    <w:keepNext w:val="0"/>
                    <w:keepLines w:val="0"/>
                    <w:widowControl/>
                    <w:suppressLineNumbers w:val="0"/>
                    <w:jc w:val="center"/>
                    <w:textAlignment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20</w:t>
                  </w:r>
                </w:p>
              </w:tc>
              <w:tc>
                <w:tcPr>
                  <w:tcW w:w="731" w:type="pct"/>
                  <w:tcBorders>
                    <w:tl2br w:val="nil"/>
                    <w:tr2bl w:val="nil"/>
                  </w:tcBorders>
                  <w:noWrap w:val="0"/>
                  <w:vAlign w:val="center"/>
                </w:tcPr>
                <w:p w14:paraId="4905629E">
                  <w:pPr>
                    <w:keepNext w:val="0"/>
                    <w:keepLines w:val="0"/>
                    <w:widowControl/>
                    <w:suppressLineNumbers w:val="0"/>
                    <w:jc w:val="center"/>
                    <w:textAlignment w:val="center"/>
                    <w:rPr>
                      <w:rFonts w:hint="eastAsia"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t/a</w:t>
                  </w:r>
                </w:p>
              </w:tc>
              <w:tc>
                <w:tcPr>
                  <w:tcW w:w="777" w:type="pct"/>
                  <w:tcBorders>
                    <w:tl2br w:val="nil"/>
                    <w:tr2bl w:val="nil"/>
                  </w:tcBorders>
                  <w:noWrap w:val="0"/>
                  <w:vAlign w:val="center"/>
                </w:tcPr>
                <w:p w14:paraId="32EFE0B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外购</w:t>
                  </w:r>
                </w:p>
              </w:tc>
              <w:tc>
                <w:tcPr>
                  <w:tcW w:w="777" w:type="pct"/>
                  <w:vMerge w:val="restart"/>
                  <w:tcBorders>
                    <w:tl2br w:val="nil"/>
                    <w:tr2bl w:val="nil"/>
                  </w:tcBorders>
                  <w:noWrap w:val="0"/>
                  <w:vAlign w:val="center"/>
                </w:tcPr>
                <w:p w14:paraId="7BE9E57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设备配套贮存设施</w:t>
                  </w:r>
                </w:p>
              </w:tc>
            </w:tr>
            <w:tr w14:paraId="1F9E3C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94" w:type="pct"/>
                  <w:vMerge w:val="continue"/>
                  <w:tcBorders>
                    <w:tl2br w:val="nil"/>
                    <w:tr2bl w:val="nil"/>
                  </w:tcBorders>
                  <w:shd w:val="clear" w:color="auto" w:fill="auto"/>
                  <w:noWrap w:val="0"/>
                  <w:vAlign w:val="center"/>
                </w:tcPr>
                <w:p w14:paraId="66FC624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kern w:val="2"/>
                      <w:sz w:val="18"/>
                      <w:szCs w:val="18"/>
                      <w:highlight w:val="none"/>
                      <w:lang w:val="en-US" w:eastAsia="zh-CN" w:bidi="ar-SA"/>
                    </w:rPr>
                  </w:pPr>
                </w:p>
              </w:tc>
              <w:tc>
                <w:tcPr>
                  <w:tcW w:w="500" w:type="pct"/>
                  <w:tcBorders>
                    <w:tl2br w:val="nil"/>
                    <w:tr2bl w:val="nil"/>
                  </w:tcBorders>
                  <w:shd w:val="clear" w:color="auto" w:fill="auto"/>
                  <w:noWrap w:val="0"/>
                  <w:vAlign w:val="center"/>
                </w:tcPr>
                <w:p w14:paraId="05E11E9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10</w:t>
                  </w:r>
                </w:p>
              </w:tc>
              <w:tc>
                <w:tcPr>
                  <w:tcW w:w="1084" w:type="pct"/>
                  <w:tcBorders>
                    <w:tl2br w:val="nil"/>
                    <w:tr2bl w:val="nil"/>
                  </w:tcBorders>
                  <w:noWrap w:val="0"/>
                  <w:vAlign w:val="center"/>
                </w:tcPr>
                <w:p w14:paraId="08ED402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轧制油</w:t>
                  </w:r>
                </w:p>
              </w:tc>
              <w:tc>
                <w:tcPr>
                  <w:tcW w:w="635" w:type="pct"/>
                  <w:tcBorders>
                    <w:tl2br w:val="nil"/>
                    <w:tr2bl w:val="nil"/>
                  </w:tcBorders>
                  <w:noWrap w:val="0"/>
                  <w:vAlign w:val="center"/>
                </w:tcPr>
                <w:p w14:paraId="38C9F6CF">
                  <w:pPr>
                    <w:keepNext w:val="0"/>
                    <w:keepLines w:val="0"/>
                    <w:widowControl/>
                    <w:suppressLineNumbers w:val="0"/>
                    <w:jc w:val="center"/>
                    <w:textAlignment w:val="center"/>
                    <w:rPr>
                      <w:rFonts w:hint="default" w:ascii="Times New Roman" w:hAnsi="Times New Roman" w:eastAsia="宋体" w:cs="Times New Roman"/>
                      <w:snapToGrid w:val="0"/>
                      <w:color w:val="auto"/>
                      <w:sz w:val="18"/>
                      <w:szCs w:val="18"/>
                      <w:highlight w:val="none"/>
                      <w:lang w:val="en-US" w:eastAsia="zh-CN"/>
                    </w:rPr>
                  </w:pPr>
                  <w:r>
                    <w:rPr>
                      <w:rFonts w:hint="eastAsia" w:cs="Times New Roman"/>
                      <w:i w:val="0"/>
                      <w:iCs w:val="0"/>
                      <w:color w:val="auto"/>
                      <w:kern w:val="0"/>
                      <w:sz w:val="18"/>
                      <w:szCs w:val="18"/>
                      <w:u w:val="none"/>
                      <w:lang w:val="en-US" w:eastAsia="zh-CN" w:bidi="ar"/>
                    </w:rPr>
                    <w:t>50</w:t>
                  </w:r>
                </w:p>
              </w:tc>
              <w:tc>
                <w:tcPr>
                  <w:tcW w:w="731" w:type="pct"/>
                  <w:tcBorders>
                    <w:tl2br w:val="nil"/>
                    <w:tr2bl w:val="nil"/>
                  </w:tcBorders>
                  <w:noWrap w:val="0"/>
                  <w:vAlign w:val="center"/>
                </w:tcPr>
                <w:p w14:paraId="5A08CE7A">
                  <w:pPr>
                    <w:keepNext w:val="0"/>
                    <w:keepLines w:val="0"/>
                    <w:widowControl/>
                    <w:suppressLineNumbers w:val="0"/>
                    <w:jc w:val="center"/>
                    <w:textAlignment w:val="center"/>
                    <w:rPr>
                      <w:rFonts w:hint="default" w:ascii="Times New Roman" w:hAnsi="Times New Roman" w:cs="Times New Roman"/>
                      <w:snapToGrid w:val="0"/>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t/a</w:t>
                  </w:r>
                </w:p>
              </w:tc>
              <w:tc>
                <w:tcPr>
                  <w:tcW w:w="777" w:type="pct"/>
                  <w:tcBorders>
                    <w:tl2br w:val="nil"/>
                    <w:tr2bl w:val="nil"/>
                  </w:tcBorders>
                  <w:noWrap w:val="0"/>
                  <w:vAlign w:val="center"/>
                </w:tcPr>
                <w:p w14:paraId="4B6C470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外购</w:t>
                  </w:r>
                </w:p>
              </w:tc>
              <w:tc>
                <w:tcPr>
                  <w:tcW w:w="777" w:type="pct"/>
                  <w:vMerge w:val="continue"/>
                  <w:tcBorders>
                    <w:tl2br w:val="nil"/>
                    <w:tr2bl w:val="nil"/>
                  </w:tcBorders>
                  <w:noWrap w:val="0"/>
                  <w:vAlign w:val="center"/>
                </w:tcPr>
                <w:p w14:paraId="27EDB48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sz w:val="18"/>
                      <w:szCs w:val="18"/>
                      <w:highlight w:val="none"/>
                      <w:lang w:val="en-US" w:eastAsia="zh-CN"/>
                    </w:rPr>
                  </w:pPr>
                </w:p>
              </w:tc>
            </w:tr>
            <w:tr w14:paraId="6E71A8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94" w:type="pct"/>
                  <w:vMerge w:val="continue"/>
                  <w:tcBorders>
                    <w:tl2br w:val="nil"/>
                    <w:tr2bl w:val="nil"/>
                  </w:tcBorders>
                  <w:shd w:val="clear" w:color="auto" w:fill="auto"/>
                  <w:noWrap w:val="0"/>
                  <w:vAlign w:val="center"/>
                </w:tcPr>
                <w:p w14:paraId="0175C87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kern w:val="2"/>
                      <w:sz w:val="18"/>
                      <w:szCs w:val="18"/>
                      <w:highlight w:val="none"/>
                      <w:lang w:val="en-US" w:eastAsia="zh-CN" w:bidi="ar-SA"/>
                    </w:rPr>
                  </w:pPr>
                </w:p>
              </w:tc>
              <w:tc>
                <w:tcPr>
                  <w:tcW w:w="500" w:type="pct"/>
                  <w:tcBorders>
                    <w:tl2br w:val="nil"/>
                    <w:tr2bl w:val="nil"/>
                  </w:tcBorders>
                  <w:shd w:val="clear" w:color="auto" w:fill="auto"/>
                  <w:noWrap w:val="0"/>
                  <w:vAlign w:val="center"/>
                </w:tcPr>
                <w:p w14:paraId="12D9779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11</w:t>
                  </w:r>
                </w:p>
              </w:tc>
              <w:tc>
                <w:tcPr>
                  <w:tcW w:w="1084" w:type="pct"/>
                  <w:tcBorders>
                    <w:tl2br w:val="nil"/>
                    <w:tr2bl w:val="nil"/>
                  </w:tcBorders>
                  <w:noWrap w:val="0"/>
                  <w:vAlign w:val="center"/>
                </w:tcPr>
                <w:p w14:paraId="0DE80A6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齿轮油</w:t>
                  </w:r>
                </w:p>
              </w:tc>
              <w:tc>
                <w:tcPr>
                  <w:tcW w:w="635" w:type="pct"/>
                  <w:tcBorders>
                    <w:tl2br w:val="nil"/>
                    <w:tr2bl w:val="nil"/>
                  </w:tcBorders>
                  <w:noWrap w:val="0"/>
                  <w:vAlign w:val="center"/>
                </w:tcPr>
                <w:p w14:paraId="21B94E95">
                  <w:pPr>
                    <w:keepNext w:val="0"/>
                    <w:keepLines w:val="0"/>
                    <w:widowControl/>
                    <w:suppressLineNumbers w:val="0"/>
                    <w:jc w:val="center"/>
                    <w:textAlignment w:val="center"/>
                    <w:rPr>
                      <w:rFonts w:hint="default" w:cs="Times New Roman"/>
                      <w:i w:val="0"/>
                      <w:iCs w:val="0"/>
                      <w:color w:val="auto"/>
                      <w:kern w:val="0"/>
                      <w:sz w:val="18"/>
                      <w:szCs w:val="18"/>
                      <w:u w:val="none"/>
                      <w:lang w:val="en-US" w:eastAsia="zh-CN" w:bidi="ar"/>
                    </w:rPr>
                  </w:pPr>
                  <w:r>
                    <w:rPr>
                      <w:rFonts w:hint="eastAsia" w:cs="Times New Roman"/>
                      <w:i w:val="0"/>
                      <w:iCs w:val="0"/>
                      <w:color w:val="auto"/>
                      <w:kern w:val="0"/>
                      <w:sz w:val="18"/>
                      <w:szCs w:val="18"/>
                      <w:u w:val="none"/>
                      <w:lang w:val="en-US" w:eastAsia="zh-CN" w:bidi="ar"/>
                    </w:rPr>
                    <w:t>5</w:t>
                  </w:r>
                </w:p>
              </w:tc>
              <w:tc>
                <w:tcPr>
                  <w:tcW w:w="731" w:type="pct"/>
                  <w:tcBorders>
                    <w:tl2br w:val="nil"/>
                    <w:tr2bl w:val="nil"/>
                  </w:tcBorders>
                  <w:noWrap w:val="0"/>
                  <w:vAlign w:val="center"/>
                </w:tcPr>
                <w:p w14:paraId="4C91A68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t/a</w:t>
                  </w:r>
                </w:p>
              </w:tc>
              <w:tc>
                <w:tcPr>
                  <w:tcW w:w="777" w:type="pct"/>
                  <w:tcBorders>
                    <w:tl2br w:val="nil"/>
                    <w:tr2bl w:val="nil"/>
                  </w:tcBorders>
                  <w:noWrap w:val="0"/>
                  <w:vAlign w:val="center"/>
                </w:tcPr>
                <w:p w14:paraId="2FB0299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外购</w:t>
                  </w:r>
                </w:p>
              </w:tc>
              <w:tc>
                <w:tcPr>
                  <w:tcW w:w="777" w:type="pct"/>
                  <w:vMerge w:val="continue"/>
                  <w:tcBorders>
                    <w:tl2br w:val="nil"/>
                    <w:tr2bl w:val="nil"/>
                  </w:tcBorders>
                  <w:noWrap w:val="0"/>
                  <w:vAlign w:val="center"/>
                </w:tcPr>
                <w:p w14:paraId="068D48A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sz w:val="18"/>
                      <w:szCs w:val="18"/>
                      <w:highlight w:val="none"/>
                      <w:lang w:val="en-US" w:eastAsia="zh-CN"/>
                    </w:rPr>
                  </w:pPr>
                </w:p>
              </w:tc>
            </w:tr>
            <w:tr w14:paraId="0C72B5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94" w:type="pct"/>
                  <w:vMerge w:val="continue"/>
                  <w:tcBorders>
                    <w:tl2br w:val="nil"/>
                    <w:tr2bl w:val="nil"/>
                  </w:tcBorders>
                  <w:shd w:val="clear" w:color="auto" w:fill="auto"/>
                  <w:noWrap w:val="0"/>
                  <w:vAlign w:val="center"/>
                </w:tcPr>
                <w:p w14:paraId="033E6F9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kern w:val="2"/>
                      <w:sz w:val="18"/>
                      <w:szCs w:val="18"/>
                      <w:highlight w:val="none"/>
                      <w:lang w:val="en-US" w:eastAsia="zh-CN" w:bidi="ar-SA"/>
                    </w:rPr>
                  </w:pPr>
                </w:p>
              </w:tc>
              <w:tc>
                <w:tcPr>
                  <w:tcW w:w="500" w:type="pct"/>
                  <w:tcBorders>
                    <w:tl2br w:val="nil"/>
                    <w:tr2bl w:val="nil"/>
                  </w:tcBorders>
                  <w:shd w:val="clear" w:color="auto" w:fill="auto"/>
                  <w:noWrap w:val="0"/>
                  <w:vAlign w:val="center"/>
                </w:tcPr>
                <w:p w14:paraId="7FA75A0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12</w:t>
                  </w:r>
                </w:p>
              </w:tc>
              <w:tc>
                <w:tcPr>
                  <w:tcW w:w="1084" w:type="pct"/>
                  <w:tcBorders>
                    <w:tl2br w:val="nil"/>
                    <w:tr2bl w:val="nil"/>
                  </w:tcBorders>
                  <w:noWrap w:val="0"/>
                  <w:vAlign w:val="center"/>
                </w:tcPr>
                <w:p w14:paraId="115DE00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环保涂层液</w:t>
                  </w:r>
                </w:p>
              </w:tc>
              <w:tc>
                <w:tcPr>
                  <w:tcW w:w="635" w:type="pct"/>
                  <w:tcBorders>
                    <w:tl2br w:val="nil"/>
                    <w:tr2bl w:val="nil"/>
                  </w:tcBorders>
                  <w:noWrap w:val="0"/>
                  <w:vAlign w:val="center"/>
                </w:tcPr>
                <w:p w14:paraId="62898D15">
                  <w:pPr>
                    <w:keepNext w:val="0"/>
                    <w:keepLines w:val="0"/>
                    <w:widowControl/>
                    <w:suppressLineNumbers w:val="0"/>
                    <w:jc w:val="center"/>
                    <w:textAlignment w:val="center"/>
                    <w:rPr>
                      <w:rFonts w:hint="default" w:ascii="Times New Roman" w:hAnsi="Times New Roman" w:eastAsia="宋体" w:cs="Times New Roman"/>
                      <w:snapToGrid w:val="0"/>
                      <w:color w:val="auto"/>
                      <w:sz w:val="18"/>
                      <w:szCs w:val="18"/>
                      <w:highlight w:val="none"/>
                      <w:lang w:val="en-US" w:eastAsia="zh-CN"/>
                    </w:rPr>
                  </w:pPr>
                  <w:r>
                    <w:rPr>
                      <w:rFonts w:hint="eastAsia" w:cs="Times New Roman"/>
                      <w:i w:val="0"/>
                      <w:iCs w:val="0"/>
                      <w:color w:val="auto"/>
                      <w:kern w:val="0"/>
                      <w:sz w:val="18"/>
                      <w:szCs w:val="18"/>
                      <w:u w:val="none"/>
                      <w:lang w:val="en-US" w:eastAsia="zh-CN" w:bidi="ar"/>
                    </w:rPr>
                    <w:t>7</w:t>
                  </w:r>
                  <w:r>
                    <w:rPr>
                      <w:rFonts w:hint="default" w:ascii="Times New Roman" w:hAnsi="Times New Roman" w:eastAsia="宋体" w:cs="Times New Roman"/>
                      <w:i w:val="0"/>
                      <w:iCs w:val="0"/>
                      <w:color w:val="auto"/>
                      <w:kern w:val="0"/>
                      <w:sz w:val="18"/>
                      <w:szCs w:val="18"/>
                      <w:u w:val="none"/>
                      <w:lang w:val="en-US" w:eastAsia="zh-CN" w:bidi="ar"/>
                    </w:rPr>
                    <w:t>00</w:t>
                  </w:r>
                </w:p>
              </w:tc>
              <w:tc>
                <w:tcPr>
                  <w:tcW w:w="731" w:type="pct"/>
                  <w:tcBorders>
                    <w:tl2br w:val="nil"/>
                    <w:tr2bl w:val="nil"/>
                  </w:tcBorders>
                  <w:noWrap w:val="0"/>
                  <w:vAlign w:val="center"/>
                </w:tcPr>
                <w:p w14:paraId="0C1870CA">
                  <w:pPr>
                    <w:keepNext w:val="0"/>
                    <w:keepLines w:val="0"/>
                    <w:widowControl/>
                    <w:suppressLineNumbers w:val="0"/>
                    <w:jc w:val="center"/>
                    <w:textAlignment w:val="center"/>
                    <w:rPr>
                      <w:rFonts w:hint="default" w:ascii="Times New Roman" w:hAnsi="Times New Roman" w:cs="Times New Roman"/>
                      <w:snapToGrid w:val="0"/>
                      <w:color w:val="auto"/>
                      <w:sz w:val="18"/>
                      <w:szCs w:val="18"/>
                      <w:highlight w:val="none"/>
                    </w:rPr>
                  </w:pPr>
                  <w:r>
                    <w:rPr>
                      <w:rFonts w:hint="default" w:ascii="Times New Roman" w:hAnsi="Times New Roman" w:eastAsia="宋体" w:cs="Times New Roman"/>
                      <w:i w:val="0"/>
                      <w:iCs w:val="0"/>
                      <w:color w:val="auto"/>
                      <w:kern w:val="0"/>
                      <w:sz w:val="18"/>
                      <w:szCs w:val="18"/>
                      <w:u w:val="none"/>
                      <w:lang w:val="en-US" w:eastAsia="zh-CN" w:bidi="ar"/>
                    </w:rPr>
                    <w:t>t/a</w:t>
                  </w:r>
                </w:p>
              </w:tc>
              <w:tc>
                <w:tcPr>
                  <w:tcW w:w="777" w:type="pct"/>
                  <w:tcBorders>
                    <w:tl2br w:val="nil"/>
                    <w:tr2bl w:val="nil"/>
                  </w:tcBorders>
                  <w:noWrap w:val="0"/>
                  <w:vAlign w:val="center"/>
                </w:tcPr>
                <w:p w14:paraId="3BA7CEE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外购</w:t>
                  </w:r>
                </w:p>
              </w:tc>
              <w:tc>
                <w:tcPr>
                  <w:tcW w:w="777" w:type="pct"/>
                  <w:tcBorders>
                    <w:tl2br w:val="nil"/>
                    <w:tr2bl w:val="nil"/>
                  </w:tcBorders>
                  <w:noWrap w:val="0"/>
                  <w:vAlign w:val="center"/>
                </w:tcPr>
                <w:p w14:paraId="1803737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sz w:val="18"/>
                      <w:szCs w:val="18"/>
                      <w:highlight w:val="none"/>
                      <w:lang w:val="en-US" w:eastAsia="zh-CN"/>
                    </w:rPr>
                  </w:pPr>
                  <w:r>
                    <w:rPr>
                      <w:rFonts w:hint="default" w:cs="Times New Roman"/>
                      <w:snapToGrid w:val="0"/>
                      <w:color w:val="auto"/>
                      <w:sz w:val="18"/>
                      <w:szCs w:val="21"/>
                      <w:highlight w:val="none"/>
                      <w:lang w:val="en-US" w:eastAsia="zh-CN"/>
                    </w:rPr>
                    <w:t>热平整机组</w:t>
                  </w:r>
                  <w:r>
                    <w:rPr>
                      <w:rFonts w:hint="eastAsia" w:cs="Times New Roman"/>
                      <w:snapToGrid w:val="0"/>
                      <w:color w:val="auto"/>
                      <w:kern w:val="2"/>
                      <w:sz w:val="18"/>
                      <w:szCs w:val="21"/>
                      <w:lang w:val="en-US" w:eastAsia="zh-CN" w:bidi="ar-SA"/>
                    </w:rPr>
                    <w:t>（FCL）</w:t>
                  </w:r>
                </w:p>
              </w:tc>
            </w:tr>
            <w:tr w14:paraId="00CC70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94" w:type="pct"/>
                  <w:vMerge w:val="continue"/>
                  <w:tcBorders>
                    <w:tl2br w:val="nil"/>
                    <w:tr2bl w:val="nil"/>
                  </w:tcBorders>
                  <w:shd w:val="clear" w:color="auto" w:fill="auto"/>
                  <w:noWrap w:val="0"/>
                  <w:vAlign w:val="center"/>
                </w:tcPr>
                <w:p w14:paraId="4CD94D8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kern w:val="2"/>
                      <w:sz w:val="18"/>
                      <w:szCs w:val="18"/>
                      <w:highlight w:val="none"/>
                      <w:lang w:val="en-US" w:eastAsia="zh-CN" w:bidi="ar-SA"/>
                    </w:rPr>
                  </w:pPr>
                </w:p>
              </w:tc>
              <w:tc>
                <w:tcPr>
                  <w:tcW w:w="500" w:type="pct"/>
                  <w:tcBorders>
                    <w:tl2br w:val="nil"/>
                    <w:tr2bl w:val="nil"/>
                  </w:tcBorders>
                  <w:shd w:val="clear" w:color="auto" w:fill="auto"/>
                  <w:noWrap w:val="0"/>
                  <w:vAlign w:val="center"/>
                </w:tcPr>
                <w:p w14:paraId="54B9021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13</w:t>
                  </w:r>
                </w:p>
              </w:tc>
              <w:tc>
                <w:tcPr>
                  <w:tcW w:w="1084" w:type="pct"/>
                  <w:tcBorders>
                    <w:tl2br w:val="nil"/>
                    <w:tr2bl w:val="nil"/>
                  </w:tcBorders>
                  <w:noWrap w:val="0"/>
                  <w:vAlign w:val="center"/>
                </w:tcPr>
                <w:p w14:paraId="46AB0D0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耐火材料</w:t>
                  </w:r>
                </w:p>
              </w:tc>
              <w:tc>
                <w:tcPr>
                  <w:tcW w:w="635" w:type="pct"/>
                  <w:tcBorders>
                    <w:tl2br w:val="nil"/>
                    <w:tr2bl w:val="nil"/>
                  </w:tcBorders>
                  <w:noWrap w:val="0"/>
                  <w:vAlign w:val="center"/>
                </w:tcPr>
                <w:p w14:paraId="78C37663">
                  <w:pPr>
                    <w:keepNext w:val="0"/>
                    <w:keepLines w:val="0"/>
                    <w:widowControl/>
                    <w:suppressLineNumbers w:val="0"/>
                    <w:jc w:val="center"/>
                    <w:textAlignment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50</w:t>
                  </w:r>
                </w:p>
              </w:tc>
              <w:tc>
                <w:tcPr>
                  <w:tcW w:w="731" w:type="pct"/>
                  <w:tcBorders>
                    <w:tl2br w:val="nil"/>
                    <w:tr2bl w:val="nil"/>
                  </w:tcBorders>
                  <w:noWrap w:val="0"/>
                  <w:vAlign w:val="center"/>
                </w:tcPr>
                <w:p w14:paraId="0DD8CE89">
                  <w:pPr>
                    <w:keepNext w:val="0"/>
                    <w:keepLines w:val="0"/>
                    <w:widowControl/>
                    <w:suppressLineNumbers w:val="0"/>
                    <w:jc w:val="center"/>
                    <w:textAlignment w:val="center"/>
                    <w:rPr>
                      <w:rFonts w:hint="eastAsia"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t/a</w:t>
                  </w:r>
                </w:p>
              </w:tc>
              <w:tc>
                <w:tcPr>
                  <w:tcW w:w="777" w:type="pct"/>
                  <w:tcBorders>
                    <w:tl2br w:val="nil"/>
                    <w:tr2bl w:val="nil"/>
                  </w:tcBorders>
                  <w:noWrap w:val="0"/>
                  <w:vAlign w:val="center"/>
                </w:tcPr>
                <w:p w14:paraId="47DC774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外购</w:t>
                  </w:r>
                </w:p>
              </w:tc>
              <w:tc>
                <w:tcPr>
                  <w:tcW w:w="777" w:type="pct"/>
                  <w:tcBorders>
                    <w:tl2br w:val="nil"/>
                    <w:tr2bl w:val="nil"/>
                  </w:tcBorders>
                  <w:noWrap w:val="0"/>
                  <w:vAlign w:val="center"/>
                </w:tcPr>
                <w:p w14:paraId="1008711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硅钢车间</w:t>
                  </w:r>
                </w:p>
              </w:tc>
            </w:tr>
            <w:tr w14:paraId="6A3411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94" w:type="pct"/>
                  <w:vMerge w:val="continue"/>
                  <w:tcBorders>
                    <w:tl2br w:val="nil"/>
                    <w:tr2bl w:val="nil"/>
                  </w:tcBorders>
                  <w:shd w:val="clear" w:color="auto" w:fill="auto"/>
                  <w:noWrap w:val="0"/>
                  <w:vAlign w:val="center"/>
                </w:tcPr>
                <w:p w14:paraId="40D993E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kern w:val="2"/>
                      <w:sz w:val="18"/>
                      <w:szCs w:val="18"/>
                      <w:highlight w:val="none"/>
                      <w:lang w:val="en-US" w:eastAsia="zh-CN" w:bidi="ar-SA"/>
                    </w:rPr>
                  </w:pPr>
                </w:p>
              </w:tc>
              <w:tc>
                <w:tcPr>
                  <w:tcW w:w="500" w:type="pct"/>
                  <w:tcBorders>
                    <w:tl2br w:val="nil"/>
                    <w:tr2bl w:val="nil"/>
                  </w:tcBorders>
                  <w:shd w:val="clear" w:color="auto" w:fill="auto"/>
                  <w:noWrap w:val="0"/>
                  <w:vAlign w:val="center"/>
                </w:tcPr>
                <w:p w14:paraId="075D5FC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14</w:t>
                  </w:r>
                </w:p>
              </w:tc>
              <w:tc>
                <w:tcPr>
                  <w:tcW w:w="1084" w:type="pct"/>
                  <w:tcBorders>
                    <w:tl2br w:val="nil"/>
                    <w:tr2bl w:val="nil"/>
                  </w:tcBorders>
                  <w:noWrap w:val="0"/>
                  <w:vAlign w:val="center"/>
                </w:tcPr>
                <w:p w14:paraId="1240735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包装材料</w:t>
                  </w:r>
                </w:p>
              </w:tc>
              <w:tc>
                <w:tcPr>
                  <w:tcW w:w="635" w:type="pct"/>
                  <w:tcBorders>
                    <w:tl2br w:val="nil"/>
                    <w:tr2bl w:val="nil"/>
                  </w:tcBorders>
                  <w:noWrap w:val="0"/>
                  <w:vAlign w:val="center"/>
                </w:tcPr>
                <w:p w14:paraId="6DD32B2E">
                  <w:pPr>
                    <w:keepNext w:val="0"/>
                    <w:keepLines w:val="0"/>
                    <w:widowControl/>
                    <w:suppressLineNumbers w:val="0"/>
                    <w:jc w:val="center"/>
                    <w:textAlignment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500</w:t>
                  </w:r>
                </w:p>
              </w:tc>
              <w:tc>
                <w:tcPr>
                  <w:tcW w:w="731" w:type="pct"/>
                  <w:tcBorders>
                    <w:tl2br w:val="nil"/>
                    <w:tr2bl w:val="nil"/>
                  </w:tcBorders>
                  <w:noWrap w:val="0"/>
                  <w:vAlign w:val="center"/>
                </w:tcPr>
                <w:p w14:paraId="5BB7F069">
                  <w:pPr>
                    <w:keepNext w:val="0"/>
                    <w:keepLines w:val="0"/>
                    <w:widowControl/>
                    <w:suppressLineNumbers w:val="0"/>
                    <w:jc w:val="center"/>
                    <w:textAlignment w:val="center"/>
                    <w:rPr>
                      <w:rFonts w:hint="eastAsia"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t/a</w:t>
                  </w:r>
                </w:p>
              </w:tc>
              <w:tc>
                <w:tcPr>
                  <w:tcW w:w="777" w:type="pct"/>
                  <w:tcBorders>
                    <w:tl2br w:val="nil"/>
                    <w:tr2bl w:val="nil"/>
                  </w:tcBorders>
                  <w:noWrap w:val="0"/>
                  <w:vAlign w:val="center"/>
                </w:tcPr>
                <w:p w14:paraId="203B7DC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外购</w:t>
                  </w:r>
                </w:p>
              </w:tc>
              <w:tc>
                <w:tcPr>
                  <w:tcW w:w="777" w:type="pct"/>
                  <w:tcBorders>
                    <w:tl2br w:val="nil"/>
                    <w:tr2bl w:val="nil"/>
                  </w:tcBorders>
                  <w:noWrap w:val="0"/>
                  <w:vAlign w:val="center"/>
                </w:tcPr>
                <w:p w14:paraId="65B3163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硅钢车间</w:t>
                  </w:r>
                </w:p>
              </w:tc>
            </w:tr>
            <w:tr w14:paraId="49F8D0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94" w:type="pct"/>
                  <w:vMerge w:val="restart"/>
                  <w:tcBorders>
                    <w:tl2br w:val="nil"/>
                    <w:tr2bl w:val="nil"/>
                  </w:tcBorders>
                  <w:shd w:val="clear" w:color="auto" w:fill="auto"/>
                  <w:noWrap w:val="0"/>
                  <w:vAlign w:val="center"/>
                </w:tcPr>
                <w:p w14:paraId="24BAAE9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铁芯</w:t>
                  </w:r>
                </w:p>
              </w:tc>
              <w:tc>
                <w:tcPr>
                  <w:tcW w:w="500" w:type="pct"/>
                  <w:tcBorders>
                    <w:tl2br w:val="nil"/>
                    <w:tr2bl w:val="nil"/>
                  </w:tcBorders>
                  <w:shd w:val="clear" w:color="auto" w:fill="auto"/>
                  <w:noWrap w:val="0"/>
                  <w:vAlign w:val="center"/>
                </w:tcPr>
                <w:p w14:paraId="65ED46E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1</w:t>
                  </w:r>
                </w:p>
              </w:tc>
              <w:tc>
                <w:tcPr>
                  <w:tcW w:w="1084" w:type="pct"/>
                  <w:tcBorders>
                    <w:tl2br w:val="nil"/>
                    <w:tr2bl w:val="nil"/>
                  </w:tcBorders>
                  <w:noWrap w:val="0"/>
                  <w:vAlign w:val="center"/>
                </w:tcPr>
                <w:p w14:paraId="1F1D613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硅钢卷</w:t>
                  </w:r>
                </w:p>
              </w:tc>
              <w:tc>
                <w:tcPr>
                  <w:tcW w:w="635" w:type="pct"/>
                  <w:tcBorders>
                    <w:tl2br w:val="nil"/>
                    <w:tr2bl w:val="nil"/>
                  </w:tcBorders>
                  <w:noWrap w:val="0"/>
                  <w:vAlign w:val="center"/>
                </w:tcPr>
                <w:p w14:paraId="30744C5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cs="Times New Roman"/>
                      <w:i w:val="0"/>
                      <w:iCs w:val="0"/>
                      <w:color w:val="auto"/>
                      <w:kern w:val="0"/>
                      <w:sz w:val="18"/>
                      <w:szCs w:val="18"/>
                      <w:u w:val="none"/>
                      <w:lang w:val="en-US" w:eastAsia="zh-CN" w:bidi="ar"/>
                    </w:rPr>
                    <w:t>60000</w:t>
                  </w:r>
                </w:p>
              </w:tc>
              <w:tc>
                <w:tcPr>
                  <w:tcW w:w="731" w:type="pct"/>
                  <w:tcBorders>
                    <w:tl2br w:val="nil"/>
                    <w:tr2bl w:val="nil"/>
                  </w:tcBorders>
                  <w:noWrap w:val="0"/>
                  <w:vAlign w:val="center"/>
                </w:tcPr>
                <w:p w14:paraId="1AF7DF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t/a</w:t>
                  </w:r>
                </w:p>
              </w:tc>
              <w:tc>
                <w:tcPr>
                  <w:tcW w:w="777" w:type="pct"/>
                  <w:tcBorders>
                    <w:tl2br w:val="nil"/>
                    <w:tr2bl w:val="nil"/>
                  </w:tcBorders>
                  <w:noWrap w:val="0"/>
                  <w:vAlign w:val="center"/>
                </w:tcPr>
                <w:p w14:paraId="05BA695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本项目生产的</w:t>
                  </w:r>
                  <w:r>
                    <w:rPr>
                      <w:rFonts w:hint="eastAsia" w:cs="Times New Roman"/>
                      <w:snapToGrid w:val="0"/>
                      <w:color w:val="auto"/>
                      <w:sz w:val="18"/>
                      <w:szCs w:val="18"/>
                      <w:highlight w:val="none"/>
                      <w:lang w:eastAsia="zh-CN"/>
                    </w:rPr>
                    <w:t>高磁感取向硅钢</w:t>
                  </w:r>
                </w:p>
              </w:tc>
              <w:tc>
                <w:tcPr>
                  <w:tcW w:w="777" w:type="pct"/>
                  <w:tcBorders>
                    <w:tl2br w:val="nil"/>
                    <w:tr2bl w:val="nil"/>
                  </w:tcBorders>
                  <w:noWrap w:val="0"/>
                  <w:vAlign w:val="center"/>
                </w:tcPr>
                <w:p w14:paraId="54AAD34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铁芯车间</w:t>
                  </w:r>
                </w:p>
              </w:tc>
            </w:tr>
            <w:tr w14:paraId="461142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94" w:type="pct"/>
                  <w:vMerge w:val="continue"/>
                  <w:tcBorders>
                    <w:tl2br w:val="nil"/>
                    <w:tr2bl w:val="nil"/>
                  </w:tcBorders>
                  <w:shd w:val="clear" w:color="auto" w:fill="auto"/>
                  <w:noWrap w:val="0"/>
                  <w:vAlign w:val="center"/>
                </w:tcPr>
                <w:p w14:paraId="7ED58C0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kern w:val="2"/>
                      <w:sz w:val="18"/>
                      <w:szCs w:val="18"/>
                      <w:highlight w:val="none"/>
                      <w:lang w:val="en-US" w:eastAsia="zh-CN" w:bidi="ar-SA"/>
                    </w:rPr>
                  </w:pPr>
                </w:p>
              </w:tc>
              <w:tc>
                <w:tcPr>
                  <w:tcW w:w="500" w:type="pct"/>
                  <w:tcBorders>
                    <w:tl2br w:val="nil"/>
                    <w:tr2bl w:val="nil"/>
                  </w:tcBorders>
                  <w:shd w:val="clear" w:color="auto" w:fill="auto"/>
                  <w:noWrap w:val="0"/>
                  <w:vAlign w:val="center"/>
                </w:tcPr>
                <w:p w14:paraId="02526AE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2</w:t>
                  </w:r>
                </w:p>
              </w:tc>
              <w:tc>
                <w:tcPr>
                  <w:tcW w:w="1084" w:type="pct"/>
                  <w:tcBorders>
                    <w:tl2br w:val="nil"/>
                    <w:tr2bl w:val="nil"/>
                  </w:tcBorders>
                  <w:noWrap w:val="0"/>
                  <w:vAlign w:val="center"/>
                </w:tcPr>
                <w:p w14:paraId="4B35C94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绝缘件</w:t>
                  </w:r>
                </w:p>
              </w:tc>
              <w:tc>
                <w:tcPr>
                  <w:tcW w:w="635" w:type="pct"/>
                  <w:tcBorders>
                    <w:tl2br w:val="nil"/>
                    <w:tr2bl w:val="nil"/>
                  </w:tcBorders>
                  <w:noWrap w:val="0"/>
                  <w:vAlign w:val="center"/>
                </w:tcPr>
                <w:p w14:paraId="6D433D6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cs="Times New Roman"/>
                      <w:i w:val="0"/>
                      <w:iCs w:val="0"/>
                      <w:color w:val="auto"/>
                      <w:kern w:val="0"/>
                      <w:sz w:val="18"/>
                      <w:szCs w:val="18"/>
                      <w:u w:val="none"/>
                      <w:lang w:val="en-US" w:eastAsia="zh-CN" w:bidi="ar"/>
                    </w:rPr>
                    <w:t>1500</w:t>
                  </w:r>
                </w:p>
              </w:tc>
              <w:tc>
                <w:tcPr>
                  <w:tcW w:w="731" w:type="pct"/>
                  <w:tcBorders>
                    <w:tl2br w:val="nil"/>
                    <w:tr2bl w:val="nil"/>
                  </w:tcBorders>
                  <w:noWrap w:val="0"/>
                  <w:vAlign w:val="center"/>
                </w:tcPr>
                <w:p w14:paraId="386588E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t/a</w:t>
                  </w:r>
                </w:p>
              </w:tc>
              <w:tc>
                <w:tcPr>
                  <w:tcW w:w="777" w:type="pct"/>
                  <w:tcBorders>
                    <w:tl2br w:val="nil"/>
                    <w:tr2bl w:val="nil"/>
                  </w:tcBorders>
                  <w:noWrap w:val="0"/>
                  <w:vAlign w:val="center"/>
                </w:tcPr>
                <w:p w14:paraId="0C740B9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外协加工</w:t>
                  </w:r>
                </w:p>
              </w:tc>
              <w:tc>
                <w:tcPr>
                  <w:tcW w:w="777" w:type="pct"/>
                  <w:tcBorders>
                    <w:tl2br w:val="nil"/>
                    <w:tr2bl w:val="nil"/>
                  </w:tcBorders>
                  <w:noWrap w:val="0"/>
                  <w:vAlign w:val="center"/>
                </w:tcPr>
                <w:p w14:paraId="0B0B1CD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w:t>
                  </w:r>
                </w:p>
              </w:tc>
            </w:tr>
            <w:tr w14:paraId="05E762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94" w:type="pct"/>
                  <w:vMerge w:val="continue"/>
                  <w:tcBorders>
                    <w:tl2br w:val="nil"/>
                    <w:tr2bl w:val="nil"/>
                  </w:tcBorders>
                  <w:shd w:val="clear" w:color="auto" w:fill="auto"/>
                  <w:noWrap w:val="0"/>
                  <w:vAlign w:val="center"/>
                </w:tcPr>
                <w:p w14:paraId="5BA1FA8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kern w:val="2"/>
                      <w:sz w:val="18"/>
                      <w:szCs w:val="18"/>
                      <w:highlight w:val="none"/>
                      <w:lang w:val="en-US" w:eastAsia="zh-CN" w:bidi="ar-SA"/>
                    </w:rPr>
                  </w:pPr>
                </w:p>
              </w:tc>
              <w:tc>
                <w:tcPr>
                  <w:tcW w:w="500" w:type="pct"/>
                  <w:tcBorders>
                    <w:tl2br w:val="nil"/>
                    <w:tr2bl w:val="nil"/>
                  </w:tcBorders>
                  <w:shd w:val="clear" w:color="auto" w:fill="auto"/>
                  <w:noWrap w:val="0"/>
                  <w:vAlign w:val="center"/>
                </w:tcPr>
                <w:p w14:paraId="0F36FC8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3</w:t>
                  </w:r>
                </w:p>
              </w:tc>
              <w:tc>
                <w:tcPr>
                  <w:tcW w:w="1084" w:type="pct"/>
                  <w:tcBorders>
                    <w:tl2br w:val="nil"/>
                    <w:tr2bl w:val="nil"/>
                  </w:tcBorders>
                  <w:noWrap w:val="0"/>
                  <w:vAlign w:val="center"/>
                </w:tcPr>
                <w:p w14:paraId="18B0B76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夹件</w:t>
                  </w:r>
                </w:p>
              </w:tc>
              <w:tc>
                <w:tcPr>
                  <w:tcW w:w="635" w:type="pct"/>
                  <w:tcBorders>
                    <w:tl2br w:val="nil"/>
                    <w:tr2bl w:val="nil"/>
                  </w:tcBorders>
                  <w:noWrap w:val="0"/>
                  <w:vAlign w:val="center"/>
                </w:tcPr>
                <w:p w14:paraId="11E9D6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cs="Times New Roman"/>
                      <w:i w:val="0"/>
                      <w:iCs w:val="0"/>
                      <w:color w:val="auto"/>
                      <w:kern w:val="0"/>
                      <w:sz w:val="18"/>
                      <w:szCs w:val="18"/>
                      <w:u w:val="none"/>
                      <w:lang w:val="en-US" w:eastAsia="zh-CN" w:bidi="ar"/>
                    </w:rPr>
                    <w:t>1500</w:t>
                  </w:r>
                </w:p>
              </w:tc>
              <w:tc>
                <w:tcPr>
                  <w:tcW w:w="731" w:type="pct"/>
                  <w:tcBorders>
                    <w:tl2br w:val="nil"/>
                    <w:tr2bl w:val="nil"/>
                  </w:tcBorders>
                  <w:noWrap w:val="0"/>
                  <w:vAlign w:val="center"/>
                </w:tcPr>
                <w:p w14:paraId="7A18A44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t/a</w:t>
                  </w:r>
                </w:p>
              </w:tc>
              <w:tc>
                <w:tcPr>
                  <w:tcW w:w="777" w:type="pct"/>
                  <w:tcBorders>
                    <w:tl2br w:val="nil"/>
                    <w:tr2bl w:val="nil"/>
                  </w:tcBorders>
                  <w:noWrap w:val="0"/>
                  <w:vAlign w:val="center"/>
                </w:tcPr>
                <w:p w14:paraId="763FA60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外协加工</w:t>
                  </w:r>
                </w:p>
              </w:tc>
              <w:tc>
                <w:tcPr>
                  <w:tcW w:w="777" w:type="pct"/>
                  <w:tcBorders>
                    <w:tl2br w:val="nil"/>
                    <w:tr2bl w:val="nil"/>
                  </w:tcBorders>
                  <w:noWrap w:val="0"/>
                  <w:vAlign w:val="center"/>
                </w:tcPr>
                <w:p w14:paraId="0663145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w:t>
                  </w:r>
                </w:p>
              </w:tc>
            </w:tr>
            <w:tr w14:paraId="19A067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15" w:hRule="atLeast"/>
                <w:jc w:val="center"/>
              </w:trPr>
              <w:tc>
                <w:tcPr>
                  <w:tcW w:w="494" w:type="pct"/>
                  <w:vMerge w:val="restart"/>
                  <w:tcBorders>
                    <w:tl2br w:val="nil"/>
                    <w:tr2bl w:val="nil"/>
                  </w:tcBorders>
                  <w:shd w:val="clear" w:color="auto" w:fill="auto"/>
                  <w:noWrap w:val="0"/>
                  <w:vAlign w:val="center"/>
                </w:tcPr>
                <w:p w14:paraId="41784C2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能源</w:t>
                  </w:r>
                </w:p>
              </w:tc>
              <w:tc>
                <w:tcPr>
                  <w:tcW w:w="500" w:type="pct"/>
                  <w:tcBorders>
                    <w:tl2br w:val="nil"/>
                    <w:tr2bl w:val="nil"/>
                  </w:tcBorders>
                  <w:shd w:val="clear" w:color="auto" w:fill="auto"/>
                  <w:noWrap w:val="0"/>
                  <w:vAlign w:val="center"/>
                </w:tcPr>
                <w:p w14:paraId="11E1434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1</w:t>
                  </w:r>
                </w:p>
              </w:tc>
              <w:tc>
                <w:tcPr>
                  <w:tcW w:w="1084" w:type="pct"/>
                  <w:tcBorders>
                    <w:tl2br w:val="nil"/>
                    <w:tr2bl w:val="nil"/>
                  </w:tcBorders>
                  <w:shd w:val="clear" w:color="auto" w:fill="auto"/>
                  <w:noWrap w:val="0"/>
                  <w:vAlign w:val="center"/>
                </w:tcPr>
                <w:p w14:paraId="7A51C73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新鲜水</w:t>
                  </w:r>
                </w:p>
              </w:tc>
              <w:tc>
                <w:tcPr>
                  <w:tcW w:w="635" w:type="pct"/>
                  <w:tcBorders>
                    <w:tl2br w:val="nil"/>
                    <w:tr2bl w:val="nil"/>
                  </w:tcBorders>
                  <w:noWrap w:val="0"/>
                  <w:vAlign w:val="center"/>
                </w:tcPr>
                <w:p w14:paraId="61035932">
                  <w:pPr>
                    <w:keepNext w:val="0"/>
                    <w:keepLines w:val="0"/>
                    <w:widowControl/>
                    <w:suppressLineNumbers w:val="0"/>
                    <w:jc w:val="center"/>
                    <w:textAlignment w:val="center"/>
                    <w:rPr>
                      <w:rFonts w:hint="default" w:cs="Times New Roman"/>
                      <w:i w:val="0"/>
                      <w:iCs w:val="0"/>
                      <w:color w:val="auto"/>
                      <w:kern w:val="0"/>
                      <w:sz w:val="18"/>
                      <w:szCs w:val="18"/>
                      <w:u w:val="none"/>
                      <w:lang w:val="en-US" w:eastAsia="zh-CN" w:bidi="ar"/>
                    </w:rPr>
                  </w:pPr>
                  <w:r>
                    <w:rPr>
                      <w:rFonts w:hint="eastAsia" w:cs="Times New Roman"/>
                      <w:i w:val="0"/>
                      <w:iCs w:val="0"/>
                      <w:color w:val="auto"/>
                      <w:kern w:val="0"/>
                      <w:sz w:val="18"/>
                      <w:szCs w:val="18"/>
                      <w:u w:val="none"/>
                      <w:lang w:val="en-US" w:eastAsia="zh-CN" w:bidi="ar"/>
                    </w:rPr>
                    <w:t>88.2979</w:t>
                  </w:r>
                </w:p>
              </w:tc>
              <w:tc>
                <w:tcPr>
                  <w:tcW w:w="731" w:type="pct"/>
                  <w:tcBorders>
                    <w:tl2br w:val="nil"/>
                    <w:tr2bl w:val="nil"/>
                  </w:tcBorders>
                  <w:noWrap w:val="0"/>
                  <w:vAlign w:val="center"/>
                </w:tcPr>
                <w:p w14:paraId="3EBC6C3B">
                  <w:pPr>
                    <w:keepNext w:val="0"/>
                    <w:keepLines w:val="0"/>
                    <w:widowControl/>
                    <w:suppressLineNumbers w:val="0"/>
                    <w:jc w:val="center"/>
                    <w:textAlignment w:val="center"/>
                    <w:rPr>
                      <w:rFonts w:hint="eastAsia"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万m</w:t>
                  </w:r>
                  <w:r>
                    <w:rPr>
                      <w:rFonts w:hint="eastAsia" w:cs="Times New Roman"/>
                      <w:snapToGrid w:val="0"/>
                      <w:color w:val="auto"/>
                      <w:sz w:val="18"/>
                      <w:szCs w:val="18"/>
                      <w:highlight w:val="none"/>
                      <w:vertAlign w:val="superscript"/>
                      <w:lang w:val="en-US" w:eastAsia="zh-CN"/>
                    </w:rPr>
                    <w:t>3</w:t>
                  </w:r>
                  <w:r>
                    <w:rPr>
                      <w:rFonts w:hint="default" w:ascii="Times New Roman" w:hAnsi="Times New Roman" w:cs="Times New Roman"/>
                      <w:snapToGrid w:val="0"/>
                      <w:color w:val="auto"/>
                      <w:sz w:val="18"/>
                      <w:szCs w:val="18"/>
                      <w:highlight w:val="none"/>
                    </w:rPr>
                    <w:t>/</w:t>
                  </w:r>
                  <w:r>
                    <w:rPr>
                      <w:rFonts w:hint="eastAsia" w:cs="Times New Roman"/>
                      <w:snapToGrid w:val="0"/>
                      <w:color w:val="auto"/>
                      <w:sz w:val="18"/>
                      <w:szCs w:val="18"/>
                      <w:highlight w:val="none"/>
                      <w:lang w:val="en-US" w:eastAsia="zh-CN"/>
                    </w:rPr>
                    <w:t>a</w:t>
                  </w:r>
                </w:p>
              </w:tc>
              <w:tc>
                <w:tcPr>
                  <w:tcW w:w="777" w:type="pct"/>
                  <w:tcBorders>
                    <w:tl2br w:val="nil"/>
                    <w:tr2bl w:val="nil"/>
                  </w:tcBorders>
                  <w:noWrap w:val="0"/>
                  <w:vAlign w:val="center"/>
                </w:tcPr>
                <w:p w14:paraId="623B645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市政管网</w:t>
                  </w:r>
                </w:p>
              </w:tc>
              <w:tc>
                <w:tcPr>
                  <w:tcW w:w="777" w:type="pct"/>
                  <w:tcBorders>
                    <w:tl2br w:val="nil"/>
                    <w:tr2bl w:val="nil"/>
                  </w:tcBorders>
                  <w:noWrap w:val="0"/>
                  <w:vAlign w:val="center"/>
                </w:tcPr>
                <w:p w14:paraId="28704E5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w:t>
                  </w:r>
                </w:p>
              </w:tc>
            </w:tr>
            <w:tr w14:paraId="2EEB51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94" w:type="pct"/>
                  <w:vMerge w:val="continue"/>
                  <w:tcBorders>
                    <w:tl2br w:val="nil"/>
                    <w:tr2bl w:val="nil"/>
                  </w:tcBorders>
                  <w:shd w:val="clear" w:color="auto" w:fill="auto"/>
                  <w:noWrap w:val="0"/>
                  <w:vAlign w:val="center"/>
                </w:tcPr>
                <w:p w14:paraId="2FF08A1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kern w:val="2"/>
                      <w:sz w:val="18"/>
                      <w:szCs w:val="18"/>
                      <w:highlight w:val="none"/>
                      <w:lang w:val="en-US" w:eastAsia="zh-CN" w:bidi="ar-SA"/>
                    </w:rPr>
                  </w:pPr>
                </w:p>
              </w:tc>
              <w:tc>
                <w:tcPr>
                  <w:tcW w:w="500" w:type="pct"/>
                  <w:tcBorders>
                    <w:tl2br w:val="nil"/>
                    <w:tr2bl w:val="nil"/>
                  </w:tcBorders>
                  <w:shd w:val="clear" w:color="auto" w:fill="auto"/>
                  <w:noWrap w:val="0"/>
                  <w:vAlign w:val="center"/>
                </w:tcPr>
                <w:p w14:paraId="2ED39A9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2</w:t>
                  </w:r>
                </w:p>
              </w:tc>
              <w:tc>
                <w:tcPr>
                  <w:tcW w:w="1084" w:type="pct"/>
                  <w:tcBorders>
                    <w:tl2br w:val="nil"/>
                    <w:tr2bl w:val="nil"/>
                  </w:tcBorders>
                  <w:shd w:val="clear" w:color="auto" w:fill="auto"/>
                  <w:noWrap w:val="0"/>
                  <w:vAlign w:val="center"/>
                </w:tcPr>
                <w:p w14:paraId="096D3EF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脱盐水</w:t>
                  </w:r>
                </w:p>
              </w:tc>
              <w:tc>
                <w:tcPr>
                  <w:tcW w:w="635" w:type="pct"/>
                  <w:tcBorders>
                    <w:tl2br w:val="nil"/>
                    <w:tr2bl w:val="nil"/>
                  </w:tcBorders>
                  <w:noWrap w:val="0"/>
                  <w:vAlign w:val="center"/>
                </w:tcPr>
                <w:p w14:paraId="59946249">
                  <w:pPr>
                    <w:keepNext w:val="0"/>
                    <w:keepLines w:val="0"/>
                    <w:widowControl/>
                    <w:suppressLineNumbers w:val="0"/>
                    <w:jc w:val="center"/>
                    <w:textAlignment w:val="center"/>
                    <w:rPr>
                      <w:rFonts w:hint="default"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15.9234</w:t>
                  </w:r>
                </w:p>
              </w:tc>
              <w:tc>
                <w:tcPr>
                  <w:tcW w:w="731" w:type="pct"/>
                  <w:tcBorders>
                    <w:tl2br w:val="nil"/>
                    <w:tr2bl w:val="nil"/>
                  </w:tcBorders>
                  <w:noWrap w:val="0"/>
                  <w:vAlign w:val="center"/>
                </w:tcPr>
                <w:p w14:paraId="7DCAB6A4">
                  <w:pPr>
                    <w:keepNext w:val="0"/>
                    <w:keepLines w:val="0"/>
                    <w:widowControl/>
                    <w:suppressLineNumbers w:val="0"/>
                    <w:jc w:val="center"/>
                    <w:textAlignment w:val="center"/>
                    <w:rPr>
                      <w:rFonts w:hint="eastAsia"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万m</w:t>
                  </w:r>
                  <w:r>
                    <w:rPr>
                      <w:rFonts w:hint="eastAsia" w:cs="Times New Roman"/>
                      <w:snapToGrid w:val="0"/>
                      <w:color w:val="auto"/>
                      <w:sz w:val="18"/>
                      <w:szCs w:val="18"/>
                      <w:highlight w:val="none"/>
                      <w:vertAlign w:val="superscript"/>
                      <w:lang w:val="en-US" w:eastAsia="zh-CN"/>
                    </w:rPr>
                    <w:t>3</w:t>
                  </w:r>
                  <w:r>
                    <w:rPr>
                      <w:rFonts w:hint="default" w:ascii="Times New Roman" w:hAnsi="Times New Roman" w:cs="Times New Roman"/>
                      <w:snapToGrid w:val="0"/>
                      <w:color w:val="auto"/>
                      <w:sz w:val="18"/>
                      <w:szCs w:val="18"/>
                      <w:highlight w:val="none"/>
                    </w:rPr>
                    <w:t>/</w:t>
                  </w:r>
                  <w:r>
                    <w:rPr>
                      <w:rFonts w:hint="eastAsia" w:cs="Times New Roman"/>
                      <w:snapToGrid w:val="0"/>
                      <w:color w:val="auto"/>
                      <w:sz w:val="18"/>
                      <w:szCs w:val="18"/>
                      <w:highlight w:val="none"/>
                      <w:lang w:val="en-US" w:eastAsia="zh-CN"/>
                    </w:rPr>
                    <w:t>a</w:t>
                  </w:r>
                </w:p>
              </w:tc>
              <w:tc>
                <w:tcPr>
                  <w:tcW w:w="777" w:type="pct"/>
                  <w:tcBorders>
                    <w:tl2br w:val="nil"/>
                    <w:tr2bl w:val="nil"/>
                  </w:tcBorders>
                  <w:noWrap w:val="0"/>
                  <w:vAlign w:val="center"/>
                </w:tcPr>
                <w:p w14:paraId="2CC6D43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自制</w:t>
                  </w:r>
                </w:p>
              </w:tc>
              <w:tc>
                <w:tcPr>
                  <w:tcW w:w="777" w:type="pct"/>
                  <w:tcBorders>
                    <w:tl2br w:val="nil"/>
                    <w:tr2bl w:val="nil"/>
                  </w:tcBorders>
                  <w:noWrap w:val="0"/>
                  <w:vAlign w:val="center"/>
                </w:tcPr>
                <w:p w14:paraId="7B23020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脱盐水站</w:t>
                  </w:r>
                </w:p>
              </w:tc>
            </w:tr>
            <w:tr w14:paraId="6FCD79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40" w:hRule="atLeast"/>
                <w:jc w:val="center"/>
              </w:trPr>
              <w:tc>
                <w:tcPr>
                  <w:tcW w:w="494" w:type="pct"/>
                  <w:vMerge w:val="continue"/>
                  <w:tcBorders>
                    <w:tl2br w:val="nil"/>
                    <w:tr2bl w:val="nil"/>
                  </w:tcBorders>
                  <w:shd w:val="clear" w:color="auto" w:fill="auto"/>
                  <w:noWrap w:val="0"/>
                  <w:vAlign w:val="center"/>
                </w:tcPr>
                <w:p w14:paraId="7DA2B86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kern w:val="2"/>
                      <w:sz w:val="18"/>
                      <w:szCs w:val="18"/>
                      <w:highlight w:val="none"/>
                      <w:lang w:val="en-US" w:eastAsia="zh-CN" w:bidi="ar-SA"/>
                    </w:rPr>
                  </w:pPr>
                </w:p>
              </w:tc>
              <w:tc>
                <w:tcPr>
                  <w:tcW w:w="500" w:type="pct"/>
                  <w:tcBorders>
                    <w:tl2br w:val="nil"/>
                    <w:tr2bl w:val="nil"/>
                  </w:tcBorders>
                  <w:shd w:val="clear" w:color="auto" w:fill="auto"/>
                  <w:noWrap w:val="0"/>
                  <w:vAlign w:val="center"/>
                </w:tcPr>
                <w:p w14:paraId="3B88AF0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3</w:t>
                  </w:r>
                </w:p>
              </w:tc>
              <w:tc>
                <w:tcPr>
                  <w:tcW w:w="1084" w:type="pct"/>
                  <w:tcBorders>
                    <w:tl2br w:val="nil"/>
                    <w:tr2bl w:val="nil"/>
                  </w:tcBorders>
                  <w:shd w:val="clear" w:color="auto" w:fill="auto"/>
                  <w:noWrap w:val="0"/>
                  <w:vAlign w:val="center"/>
                </w:tcPr>
                <w:p w14:paraId="295B211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天然气</w:t>
                  </w:r>
                </w:p>
              </w:tc>
              <w:tc>
                <w:tcPr>
                  <w:tcW w:w="635" w:type="pct"/>
                  <w:tcBorders>
                    <w:tl2br w:val="nil"/>
                    <w:tr2bl w:val="nil"/>
                  </w:tcBorders>
                  <w:noWrap w:val="0"/>
                  <w:vAlign w:val="center"/>
                </w:tcPr>
                <w:p w14:paraId="4A14518E">
                  <w:pPr>
                    <w:keepNext w:val="0"/>
                    <w:keepLines w:val="0"/>
                    <w:widowControl/>
                    <w:suppressLineNumbers w:val="0"/>
                    <w:jc w:val="center"/>
                    <w:textAlignment w:val="center"/>
                    <w:rPr>
                      <w:rFonts w:hint="default"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2318</w:t>
                  </w:r>
                </w:p>
              </w:tc>
              <w:tc>
                <w:tcPr>
                  <w:tcW w:w="731" w:type="pct"/>
                  <w:tcBorders>
                    <w:tl2br w:val="nil"/>
                    <w:tr2bl w:val="nil"/>
                  </w:tcBorders>
                  <w:noWrap w:val="0"/>
                  <w:vAlign w:val="center"/>
                </w:tcPr>
                <w:p w14:paraId="24339F18">
                  <w:pPr>
                    <w:keepNext w:val="0"/>
                    <w:keepLines w:val="0"/>
                    <w:widowControl/>
                    <w:suppressLineNumbers w:val="0"/>
                    <w:jc w:val="center"/>
                    <w:textAlignment w:val="center"/>
                    <w:rPr>
                      <w:rFonts w:hint="eastAsia"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万Nm</w:t>
                  </w:r>
                  <w:r>
                    <w:rPr>
                      <w:rFonts w:hint="eastAsia" w:cs="Times New Roman"/>
                      <w:snapToGrid w:val="0"/>
                      <w:color w:val="auto"/>
                      <w:sz w:val="18"/>
                      <w:szCs w:val="18"/>
                      <w:highlight w:val="none"/>
                      <w:vertAlign w:val="superscript"/>
                      <w:lang w:val="en-US" w:eastAsia="zh-CN"/>
                    </w:rPr>
                    <w:t>3</w:t>
                  </w:r>
                  <w:r>
                    <w:rPr>
                      <w:rFonts w:hint="default" w:ascii="Times New Roman" w:hAnsi="Times New Roman" w:cs="Times New Roman"/>
                      <w:snapToGrid w:val="0"/>
                      <w:color w:val="auto"/>
                      <w:sz w:val="18"/>
                      <w:szCs w:val="18"/>
                      <w:highlight w:val="none"/>
                    </w:rPr>
                    <w:t>/</w:t>
                  </w:r>
                  <w:r>
                    <w:rPr>
                      <w:rFonts w:hint="eastAsia" w:cs="Times New Roman"/>
                      <w:snapToGrid w:val="0"/>
                      <w:color w:val="auto"/>
                      <w:sz w:val="18"/>
                      <w:szCs w:val="18"/>
                      <w:highlight w:val="none"/>
                      <w:lang w:val="en-US" w:eastAsia="zh-CN"/>
                    </w:rPr>
                    <w:t>a</w:t>
                  </w:r>
                </w:p>
              </w:tc>
              <w:tc>
                <w:tcPr>
                  <w:tcW w:w="777" w:type="pct"/>
                  <w:tcBorders>
                    <w:tl2br w:val="nil"/>
                    <w:tr2bl w:val="nil"/>
                  </w:tcBorders>
                  <w:noWrap w:val="0"/>
                  <w:vAlign w:val="center"/>
                </w:tcPr>
                <w:p w14:paraId="04ED8A5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天然气管网</w:t>
                  </w:r>
                </w:p>
              </w:tc>
              <w:tc>
                <w:tcPr>
                  <w:tcW w:w="777" w:type="pct"/>
                  <w:tcBorders>
                    <w:tl2br w:val="nil"/>
                    <w:tr2bl w:val="nil"/>
                  </w:tcBorders>
                  <w:noWrap w:val="0"/>
                  <w:vAlign w:val="center"/>
                </w:tcPr>
                <w:p w14:paraId="075650A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w:t>
                  </w:r>
                </w:p>
              </w:tc>
            </w:tr>
            <w:tr w14:paraId="7F32B8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94" w:type="pct"/>
                  <w:vMerge w:val="continue"/>
                  <w:tcBorders>
                    <w:tl2br w:val="nil"/>
                    <w:tr2bl w:val="nil"/>
                  </w:tcBorders>
                  <w:shd w:val="clear" w:color="auto" w:fill="auto"/>
                  <w:noWrap w:val="0"/>
                  <w:vAlign w:val="center"/>
                </w:tcPr>
                <w:p w14:paraId="03DA798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kern w:val="2"/>
                      <w:sz w:val="18"/>
                      <w:szCs w:val="18"/>
                      <w:highlight w:val="none"/>
                      <w:lang w:val="en-US" w:eastAsia="zh-CN" w:bidi="ar-SA"/>
                    </w:rPr>
                  </w:pPr>
                </w:p>
              </w:tc>
              <w:tc>
                <w:tcPr>
                  <w:tcW w:w="500" w:type="pct"/>
                  <w:tcBorders>
                    <w:tl2br w:val="nil"/>
                    <w:tr2bl w:val="nil"/>
                  </w:tcBorders>
                  <w:shd w:val="clear" w:color="auto" w:fill="auto"/>
                  <w:noWrap w:val="0"/>
                  <w:vAlign w:val="center"/>
                </w:tcPr>
                <w:p w14:paraId="5EDF861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4</w:t>
                  </w:r>
                </w:p>
              </w:tc>
              <w:tc>
                <w:tcPr>
                  <w:tcW w:w="1084" w:type="pct"/>
                  <w:tcBorders>
                    <w:tl2br w:val="nil"/>
                    <w:tr2bl w:val="nil"/>
                  </w:tcBorders>
                  <w:shd w:val="clear" w:color="auto" w:fill="auto"/>
                  <w:noWrap w:val="0"/>
                  <w:vAlign w:val="center"/>
                </w:tcPr>
                <w:p w14:paraId="6C67336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电</w:t>
                  </w:r>
                </w:p>
              </w:tc>
              <w:tc>
                <w:tcPr>
                  <w:tcW w:w="635" w:type="pct"/>
                  <w:tcBorders>
                    <w:tl2br w:val="nil"/>
                    <w:tr2bl w:val="nil"/>
                  </w:tcBorders>
                  <w:noWrap w:val="0"/>
                  <w:vAlign w:val="center"/>
                </w:tcPr>
                <w:p w14:paraId="2BBFCCD3">
                  <w:pPr>
                    <w:keepNext w:val="0"/>
                    <w:keepLines w:val="0"/>
                    <w:widowControl/>
                    <w:suppressLineNumbers w:val="0"/>
                    <w:jc w:val="center"/>
                    <w:textAlignment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8600</w:t>
                  </w:r>
                </w:p>
              </w:tc>
              <w:tc>
                <w:tcPr>
                  <w:tcW w:w="731" w:type="pct"/>
                  <w:tcBorders>
                    <w:tl2br w:val="nil"/>
                    <w:tr2bl w:val="nil"/>
                  </w:tcBorders>
                  <w:noWrap w:val="0"/>
                  <w:vAlign w:val="center"/>
                </w:tcPr>
                <w:p w14:paraId="1E8B157F">
                  <w:pPr>
                    <w:keepNext w:val="0"/>
                    <w:keepLines w:val="0"/>
                    <w:widowControl/>
                    <w:suppressLineNumbers w:val="0"/>
                    <w:jc w:val="center"/>
                    <w:textAlignment w:val="center"/>
                    <w:rPr>
                      <w:rFonts w:hint="eastAsia"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万kWh</w:t>
                  </w:r>
                  <w:r>
                    <w:rPr>
                      <w:rFonts w:hint="default" w:ascii="Times New Roman" w:hAnsi="Times New Roman" w:cs="Times New Roman"/>
                      <w:snapToGrid w:val="0"/>
                      <w:color w:val="auto"/>
                      <w:sz w:val="18"/>
                      <w:szCs w:val="18"/>
                      <w:highlight w:val="none"/>
                    </w:rPr>
                    <w:t>/</w:t>
                  </w:r>
                  <w:r>
                    <w:rPr>
                      <w:rFonts w:hint="eastAsia" w:cs="Times New Roman"/>
                      <w:snapToGrid w:val="0"/>
                      <w:color w:val="auto"/>
                      <w:sz w:val="18"/>
                      <w:szCs w:val="18"/>
                      <w:highlight w:val="none"/>
                      <w:lang w:val="en-US" w:eastAsia="zh-CN"/>
                    </w:rPr>
                    <w:t>a</w:t>
                  </w:r>
                </w:p>
              </w:tc>
              <w:tc>
                <w:tcPr>
                  <w:tcW w:w="777" w:type="pct"/>
                  <w:tcBorders>
                    <w:tl2br w:val="nil"/>
                    <w:tr2bl w:val="nil"/>
                  </w:tcBorders>
                  <w:noWrap w:val="0"/>
                  <w:vAlign w:val="center"/>
                </w:tcPr>
                <w:p w14:paraId="05273E6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市政电网</w:t>
                  </w:r>
                </w:p>
              </w:tc>
              <w:tc>
                <w:tcPr>
                  <w:tcW w:w="777" w:type="pct"/>
                  <w:tcBorders>
                    <w:tl2br w:val="nil"/>
                    <w:tr2bl w:val="nil"/>
                  </w:tcBorders>
                  <w:noWrap w:val="0"/>
                  <w:vAlign w:val="center"/>
                </w:tcPr>
                <w:p w14:paraId="22239D6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w:t>
                  </w:r>
                </w:p>
              </w:tc>
            </w:tr>
            <w:tr w14:paraId="017558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94" w:type="pct"/>
                  <w:vMerge w:val="continue"/>
                  <w:tcBorders>
                    <w:tl2br w:val="nil"/>
                    <w:tr2bl w:val="nil"/>
                  </w:tcBorders>
                  <w:shd w:val="clear" w:color="auto" w:fill="auto"/>
                  <w:noWrap w:val="0"/>
                  <w:vAlign w:val="center"/>
                </w:tcPr>
                <w:p w14:paraId="4A24AC8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snapToGrid w:val="0"/>
                      <w:color w:val="auto"/>
                      <w:kern w:val="2"/>
                      <w:sz w:val="18"/>
                      <w:szCs w:val="18"/>
                      <w:highlight w:val="none"/>
                      <w:lang w:val="en-US" w:eastAsia="zh-CN" w:bidi="ar-SA"/>
                    </w:rPr>
                  </w:pPr>
                </w:p>
              </w:tc>
              <w:tc>
                <w:tcPr>
                  <w:tcW w:w="500" w:type="pct"/>
                  <w:tcBorders>
                    <w:tl2br w:val="nil"/>
                    <w:tr2bl w:val="nil"/>
                  </w:tcBorders>
                  <w:shd w:val="clear" w:color="auto" w:fill="auto"/>
                  <w:noWrap w:val="0"/>
                  <w:vAlign w:val="center"/>
                </w:tcPr>
                <w:p w14:paraId="6F62DBE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5</w:t>
                  </w:r>
                </w:p>
              </w:tc>
              <w:tc>
                <w:tcPr>
                  <w:tcW w:w="1084" w:type="pct"/>
                  <w:tcBorders>
                    <w:tl2br w:val="nil"/>
                    <w:tr2bl w:val="nil"/>
                  </w:tcBorders>
                  <w:noWrap w:val="0"/>
                  <w:vAlign w:val="center"/>
                </w:tcPr>
                <w:p w14:paraId="49A3EE0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蒸汽</w:t>
                  </w:r>
                </w:p>
              </w:tc>
              <w:tc>
                <w:tcPr>
                  <w:tcW w:w="635" w:type="pct"/>
                  <w:tcBorders>
                    <w:tl2br w:val="nil"/>
                    <w:tr2bl w:val="nil"/>
                  </w:tcBorders>
                  <w:noWrap w:val="0"/>
                  <w:vAlign w:val="center"/>
                </w:tcPr>
                <w:p w14:paraId="56C9F2F5">
                  <w:pPr>
                    <w:keepNext w:val="0"/>
                    <w:keepLines w:val="0"/>
                    <w:widowControl/>
                    <w:suppressLineNumbers w:val="0"/>
                    <w:jc w:val="center"/>
                    <w:textAlignment w:val="center"/>
                    <w:rPr>
                      <w:rFonts w:hint="default" w:ascii="Times New Roman" w:hAnsi="Times New Roman" w:eastAsia="宋体" w:cs="Times New Roman"/>
                      <w:snapToGrid w:val="0"/>
                      <w:color w:val="auto"/>
                      <w:sz w:val="18"/>
                      <w:szCs w:val="18"/>
                      <w:highlight w:val="none"/>
                      <w:lang w:val="en-US" w:eastAsia="zh-CN"/>
                    </w:rPr>
                  </w:pPr>
                  <w:r>
                    <w:rPr>
                      <w:rFonts w:hint="eastAsia" w:cs="Times New Roman"/>
                      <w:i w:val="0"/>
                      <w:iCs w:val="0"/>
                      <w:color w:val="auto"/>
                      <w:kern w:val="0"/>
                      <w:sz w:val="18"/>
                      <w:szCs w:val="18"/>
                      <w:u w:val="none"/>
                      <w:lang w:val="en-US" w:eastAsia="zh-CN" w:bidi="ar"/>
                    </w:rPr>
                    <w:t>189000</w:t>
                  </w:r>
                </w:p>
              </w:tc>
              <w:tc>
                <w:tcPr>
                  <w:tcW w:w="731" w:type="pct"/>
                  <w:tcBorders>
                    <w:tl2br w:val="nil"/>
                    <w:tr2bl w:val="nil"/>
                  </w:tcBorders>
                  <w:noWrap w:val="0"/>
                  <w:vAlign w:val="center"/>
                </w:tcPr>
                <w:p w14:paraId="23C4CF51">
                  <w:pPr>
                    <w:keepNext w:val="0"/>
                    <w:keepLines w:val="0"/>
                    <w:widowControl/>
                    <w:suppressLineNumbers w:val="0"/>
                    <w:jc w:val="center"/>
                    <w:textAlignment w:val="center"/>
                    <w:rPr>
                      <w:rFonts w:hint="eastAsia"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t</w:t>
                  </w:r>
                  <w:r>
                    <w:rPr>
                      <w:rFonts w:hint="default" w:ascii="Times New Roman" w:hAnsi="Times New Roman" w:cs="Times New Roman"/>
                      <w:snapToGrid w:val="0"/>
                      <w:color w:val="auto"/>
                      <w:sz w:val="18"/>
                      <w:szCs w:val="18"/>
                      <w:highlight w:val="none"/>
                    </w:rPr>
                    <w:t>/</w:t>
                  </w:r>
                  <w:r>
                    <w:rPr>
                      <w:rFonts w:hint="eastAsia" w:cs="Times New Roman"/>
                      <w:snapToGrid w:val="0"/>
                      <w:color w:val="auto"/>
                      <w:sz w:val="18"/>
                      <w:szCs w:val="18"/>
                      <w:highlight w:val="none"/>
                      <w:lang w:val="en-US" w:eastAsia="zh-CN"/>
                    </w:rPr>
                    <w:t>a</w:t>
                  </w:r>
                </w:p>
              </w:tc>
              <w:tc>
                <w:tcPr>
                  <w:tcW w:w="777" w:type="pct"/>
                  <w:tcBorders>
                    <w:tl2br w:val="nil"/>
                    <w:tr2bl w:val="nil"/>
                  </w:tcBorders>
                  <w:noWrap w:val="0"/>
                  <w:vAlign w:val="center"/>
                </w:tcPr>
                <w:p w14:paraId="78AD96E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蒸汽锅炉</w:t>
                  </w:r>
                </w:p>
              </w:tc>
              <w:tc>
                <w:tcPr>
                  <w:tcW w:w="777" w:type="pct"/>
                  <w:tcBorders>
                    <w:tl2br w:val="nil"/>
                    <w:tr2bl w:val="nil"/>
                  </w:tcBorders>
                  <w:noWrap w:val="0"/>
                  <w:vAlign w:val="center"/>
                </w:tcPr>
                <w:p w14:paraId="0B237F2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w:t>
                  </w:r>
                </w:p>
              </w:tc>
            </w:tr>
          </w:tbl>
          <w:p w14:paraId="5511EA2D">
            <w:pPr>
              <w:spacing w:line="360" w:lineRule="auto"/>
              <w:jc w:val="center"/>
              <w:rPr>
                <w:rFonts w:hint="default" w:ascii="Times New Roman" w:hAnsi="Times New Roman" w:eastAsia="黑体" w:cs="Times New Roman"/>
                <w:bCs/>
                <w:color w:val="auto"/>
                <w:spacing w:val="2"/>
                <w:sz w:val="21"/>
                <w:szCs w:val="21"/>
                <w:lang w:val="en-US" w:eastAsia="zh-CN"/>
              </w:rPr>
            </w:pPr>
            <w:r>
              <w:rPr>
                <w:rFonts w:hint="default" w:ascii="Times New Roman" w:hAnsi="Times New Roman" w:eastAsia="黑体" w:cs="Times New Roman"/>
                <w:bCs/>
                <w:color w:val="auto"/>
                <w:spacing w:val="2"/>
                <w:sz w:val="21"/>
                <w:szCs w:val="21"/>
                <w:lang w:eastAsia="zh-CN"/>
              </w:rPr>
              <w:t>表</w:t>
            </w:r>
            <w:r>
              <w:rPr>
                <w:rFonts w:hint="default" w:ascii="Times New Roman" w:hAnsi="Times New Roman" w:eastAsia="黑体" w:cs="Times New Roman"/>
                <w:bCs/>
                <w:color w:val="auto"/>
                <w:spacing w:val="2"/>
                <w:sz w:val="21"/>
                <w:szCs w:val="21"/>
                <w:lang w:val="en-US" w:eastAsia="zh-CN"/>
              </w:rPr>
              <w:t>2-</w:t>
            </w:r>
            <w:r>
              <w:rPr>
                <w:rFonts w:hint="eastAsia" w:eastAsia="黑体" w:cs="Times New Roman"/>
                <w:bCs/>
                <w:color w:val="auto"/>
                <w:spacing w:val="2"/>
                <w:sz w:val="21"/>
                <w:szCs w:val="21"/>
                <w:lang w:val="en-US" w:eastAsia="zh-CN"/>
              </w:rPr>
              <w:t>7  项目主要原辅材料理化性质</w:t>
            </w:r>
          </w:p>
          <w:tbl>
            <w:tblPr>
              <w:tblStyle w:val="33"/>
              <w:tblW w:w="0" w:type="auto"/>
              <w:tblInd w:w="-1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858"/>
              <w:gridCol w:w="3124"/>
              <w:gridCol w:w="2291"/>
              <w:gridCol w:w="2085"/>
            </w:tblGrid>
            <w:tr w14:paraId="63A547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blHeader/>
              </w:trPr>
              <w:tc>
                <w:tcPr>
                  <w:tcW w:w="858" w:type="dxa"/>
                  <w:tcBorders>
                    <w:tl2br w:val="nil"/>
                    <w:tr2bl w:val="nil"/>
                  </w:tcBorders>
                  <w:shd w:val="clear" w:color="auto" w:fill="auto"/>
                  <w:noWrap w:val="0"/>
                  <w:tcMar>
                    <w:top w:w="0" w:type="dxa"/>
                    <w:left w:w="108" w:type="dxa"/>
                    <w:bottom w:w="0" w:type="dxa"/>
                    <w:right w:w="108" w:type="dxa"/>
                  </w:tcMar>
                  <w:vAlign w:val="center"/>
                </w:tcPr>
                <w:p w14:paraId="3AE30DB3">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名称</w:t>
                  </w:r>
                </w:p>
              </w:tc>
              <w:tc>
                <w:tcPr>
                  <w:tcW w:w="3124" w:type="dxa"/>
                  <w:tcBorders>
                    <w:tl2br w:val="nil"/>
                    <w:tr2bl w:val="nil"/>
                  </w:tcBorders>
                  <w:shd w:val="clear" w:color="auto" w:fill="auto"/>
                  <w:noWrap w:val="0"/>
                  <w:tcMar>
                    <w:top w:w="0" w:type="dxa"/>
                    <w:left w:w="108" w:type="dxa"/>
                    <w:bottom w:w="0" w:type="dxa"/>
                    <w:right w:w="108" w:type="dxa"/>
                  </w:tcMar>
                  <w:vAlign w:val="center"/>
                </w:tcPr>
                <w:p w14:paraId="424411A9">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理化性质</w:t>
                  </w:r>
                </w:p>
              </w:tc>
              <w:tc>
                <w:tcPr>
                  <w:tcW w:w="2291" w:type="dxa"/>
                  <w:tcBorders>
                    <w:tl2br w:val="nil"/>
                    <w:tr2bl w:val="nil"/>
                  </w:tcBorders>
                  <w:shd w:val="clear" w:color="auto" w:fill="auto"/>
                  <w:noWrap w:val="0"/>
                  <w:tcMar>
                    <w:top w:w="0" w:type="dxa"/>
                    <w:left w:w="108" w:type="dxa"/>
                    <w:bottom w:w="0" w:type="dxa"/>
                    <w:right w:w="108" w:type="dxa"/>
                  </w:tcMar>
                  <w:vAlign w:val="top"/>
                </w:tcPr>
                <w:p w14:paraId="3B03192D">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燃烧爆炸性</w:t>
                  </w:r>
                </w:p>
              </w:tc>
              <w:tc>
                <w:tcPr>
                  <w:tcW w:w="2085" w:type="dxa"/>
                  <w:tcBorders>
                    <w:tl2br w:val="nil"/>
                    <w:tr2bl w:val="nil"/>
                  </w:tcBorders>
                  <w:shd w:val="clear" w:color="auto" w:fill="auto"/>
                  <w:noWrap w:val="0"/>
                  <w:tcMar>
                    <w:top w:w="0" w:type="dxa"/>
                    <w:left w:w="108" w:type="dxa"/>
                    <w:bottom w:w="0" w:type="dxa"/>
                    <w:right w:w="108" w:type="dxa"/>
                  </w:tcMar>
                  <w:vAlign w:val="top"/>
                </w:tcPr>
                <w:p w14:paraId="261407A2">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毒性毒理</w:t>
                  </w:r>
                </w:p>
              </w:tc>
            </w:tr>
            <w:tr w14:paraId="10F73A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858" w:type="dxa"/>
                  <w:tcBorders>
                    <w:tl2br w:val="nil"/>
                    <w:tr2bl w:val="nil"/>
                  </w:tcBorders>
                  <w:shd w:val="clear" w:color="auto" w:fill="auto"/>
                  <w:noWrap w:val="0"/>
                  <w:tcMar>
                    <w:top w:w="0" w:type="dxa"/>
                    <w:left w:w="108" w:type="dxa"/>
                    <w:bottom w:w="0" w:type="dxa"/>
                    <w:right w:w="108" w:type="dxa"/>
                  </w:tcMar>
                  <w:vAlign w:val="center"/>
                </w:tcPr>
                <w:p w14:paraId="344197DD">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盐酸</w:t>
                  </w:r>
                </w:p>
              </w:tc>
              <w:tc>
                <w:tcPr>
                  <w:tcW w:w="3124" w:type="dxa"/>
                  <w:tcBorders>
                    <w:tl2br w:val="nil"/>
                    <w:tr2bl w:val="nil"/>
                  </w:tcBorders>
                  <w:shd w:val="clear" w:color="auto" w:fill="auto"/>
                  <w:noWrap w:val="0"/>
                  <w:tcMar>
                    <w:top w:w="0" w:type="dxa"/>
                    <w:left w:w="108" w:type="dxa"/>
                    <w:bottom w:w="0" w:type="dxa"/>
                    <w:right w:w="108" w:type="dxa"/>
                  </w:tcMar>
                  <w:vAlign w:val="center"/>
                </w:tcPr>
                <w:p w14:paraId="7C7AB786">
                  <w:pPr>
                    <w:keepNext w:val="0"/>
                    <w:keepLines w:val="0"/>
                    <w:pageBreakBefore w:val="0"/>
                    <w:widowControl w:val="0"/>
                    <w:kinsoku/>
                    <w:wordWrap/>
                    <w:overflowPunct/>
                    <w:topLinePunct w:val="0"/>
                    <w:bidi w:val="0"/>
                    <w:snapToGrid/>
                    <w:spacing w:line="240" w:lineRule="auto"/>
                    <w:jc w:val="both"/>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HCl，无色液体，有腐蚀性，为氯化氢的水溶液，具有刺激性气味，饱和蒸汽压30.66kPa(21℃)，相对密度(水=1)1.20，沸点：108.6℃/20%，与水混溶，溶于碱液</w:t>
                  </w:r>
                </w:p>
              </w:tc>
              <w:tc>
                <w:tcPr>
                  <w:tcW w:w="2291" w:type="dxa"/>
                  <w:tcBorders>
                    <w:tl2br w:val="nil"/>
                    <w:tr2bl w:val="nil"/>
                  </w:tcBorders>
                  <w:shd w:val="clear" w:color="auto" w:fill="auto"/>
                  <w:noWrap w:val="0"/>
                  <w:tcMar>
                    <w:top w:w="0" w:type="dxa"/>
                    <w:left w:w="108" w:type="dxa"/>
                    <w:bottom w:w="0" w:type="dxa"/>
                    <w:right w:w="108" w:type="dxa"/>
                  </w:tcMar>
                  <w:vAlign w:val="center"/>
                </w:tcPr>
                <w:p w14:paraId="5BEFADE5">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未有特殊的燃烧</w:t>
                  </w:r>
                  <w:r>
                    <w:rPr>
                      <w:rFonts w:hint="eastAsia" w:ascii="Times New Roman" w:hAnsi="Times New Roman" w:cs="Times New Roman"/>
                      <w:color w:val="auto"/>
                      <w:sz w:val="18"/>
                      <w:szCs w:val="18"/>
                      <w:lang w:val="en-US" w:eastAsia="zh-CN"/>
                    </w:rPr>
                    <w:t>爆炸</w:t>
                  </w:r>
                  <w:r>
                    <w:rPr>
                      <w:rFonts w:hint="default" w:ascii="Times New Roman" w:hAnsi="Times New Roman" w:cs="Times New Roman"/>
                      <w:color w:val="auto"/>
                      <w:sz w:val="18"/>
                      <w:szCs w:val="18"/>
                    </w:rPr>
                    <w:t>性</w:t>
                  </w:r>
                </w:p>
              </w:tc>
              <w:tc>
                <w:tcPr>
                  <w:tcW w:w="2085" w:type="dxa"/>
                  <w:tcBorders>
                    <w:tl2br w:val="nil"/>
                    <w:tr2bl w:val="nil"/>
                  </w:tcBorders>
                  <w:shd w:val="clear" w:color="auto" w:fill="auto"/>
                  <w:noWrap w:val="0"/>
                  <w:tcMar>
                    <w:top w:w="0" w:type="dxa"/>
                    <w:left w:w="108" w:type="dxa"/>
                    <w:bottom w:w="0" w:type="dxa"/>
                    <w:right w:w="108" w:type="dxa"/>
                  </w:tcMar>
                  <w:vAlign w:val="center"/>
                </w:tcPr>
                <w:p w14:paraId="311615E0">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LD</w:t>
                  </w:r>
                  <w:r>
                    <w:rPr>
                      <w:rFonts w:hint="default" w:ascii="Times New Roman" w:hAnsi="Times New Roman" w:cs="Times New Roman"/>
                      <w:color w:val="auto"/>
                      <w:sz w:val="18"/>
                      <w:szCs w:val="18"/>
                      <w:vertAlign w:val="subscript"/>
                    </w:rPr>
                    <w:t>50</w:t>
                  </w:r>
                  <w:r>
                    <w:rPr>
                      <w:rFonts w:hint="default" w:ascii="Times New Roman" w:hAnsi="Times New Roman" w:cs="Times New Roman"/>
                      <w:color w:val="auto"/>
                      <w:sz w:val="18"/>
                      <w:szCs w:val="18"/>
                    </w:rPr>
                    <w:t>：900mg/kg(兔经口)；LC</w:t>
                  </w:r>
                  <w:r>
                    <w:rPr>
                      <w:rFonts w:hint="default" w:ascii="Times New Roman" w:hAnsi="Times New Roman" w:cs="Times New Roman"/>
                      <w:color w:val="auto"/>
                      <w:sz w:val="18"/>
                      <w:szCs w:val="18"/>
                      <w:vertAlign w:val="subscript"/>
                    </w:rPr>
                    <w:t>50</w:t>
                  </w:r>
                  <w:r>
                    <w:rPr>
                      <w:rFonts w:hint="default" w:ascii="Times New Roman" w:hAnsi="Times New Roman" w:cs="Times New Roman"/>
                      <w:color w:val="auto"/>
                      <w:sz w:val="18"/>
                      <w:szCs w:val="18"/>
                    </w:rPr>
                    <w:t>：3124ppm，1小时(大鼠吸入)</w:t>
                  </w:r>
                </w:p>
              </w:tc>
            </w:tr>
            <w:tr w14:paraId="58D54F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858" w:type="dxa"/>
                  <w:tcBorders>
                    <w:tl2br w:val="nil"/>
                    <w:tr2bl w:val="nil"/>
                  </w:tcBorders>
                  <w:shd w:val="clear" w:color="auto" w:fill="auto"/>
                  <w:noWrap w:val="0"/>
                  <w:tcMar>
                    <w:top w:w="0" w:type="dxa"/>
                    <w:left w:w="108" w:type="dxa"/>
                    <w:bottom w:w="0" w:type="dxa"/>
                    <w:right w:w="108" w:type="dxa"/>
                  </w:tcMar>
                  <w:vAlign w:val="center"/>
                </w:tcPr>
                <w:p w14:paraId="2FDD944A">
                  <w:pPr>
                    <w:keepNext w:val="0"/>
                    <w:keepLines w:val="0"/>
                    <w:pageBreakBefore w:val="0"/>
                    <w:widowControl w:val="0"/>
                    <w:kinsoku/>
                    <w:wordWrap/>
                    <w:overflowPunct/>
                    <w:topLinePunct w:val="0"/>
                    <w:bidi w:val="0"/>
                    <w:snapToGrid/>
                    <w:spacing w:line="240" w:lineRule="auto"/>
                    <w:jc w:val="center"/>
                    <w:textAlignment w:val="auto"/>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氢氧化钠</w:t>
                  </w:r>
                </w:p>
              </w:tc>
              <w:tc>
                <w:tcPr>
                  <w:tcW w:w="3124" w:type="dxa"/>
                  <w:tcBorders>
                    <w:tl2br w:val="nil"/>
                    <w:tr2bl w:val="nil"/>
                  </w:tcBorders>
                  <w:shd w:val="clear" w:color="auto" w:fill="auto"/>
                  <w:noWrap w:val="0"/>
                  <w:tcMar>
                    <w:top w:w="0" w:type="dxa"/>
                    <w:left w:w="108" w:type="dxa"/>
                    <w:bottom w:w="0" w:type="dxa"/>
                    <w:right w:w="108" w:type="dxa"/>
                  </w:tcMar>
                  <w:vAlign w:val="center"/>
                </w:tcPr>
                <w:p w14:paraId="7F98241F">
                  <w:pPr>
                    <w:keepNext w:val="0"/>
                    <w:keepLines w:val="0"/>
                    <w:pageBreakBefore w:val="0"/>
                    <w:widowControl w:val="0"/>
                    <w:kinsoku/>
                    <w:wordWrap/>
                    <w:overflowPunct/>
                    <w:topLinePunct w:val="0"/>
                    <w:bidi w:val="0"/>
                    <w:snapToGrid/>
                    <w:spacing w:line="240" w:lineRule="auto"/>
                    <w:jc w:val="both"/>
                    <w:textAlignment w:val="auto"/>
                    <w:rPr>
                      <w:rFonts w:hint="default" w:ascii="Times New Roman" w:hAnsi="Times New Roman" w:eastAsia="宋体" w:cs="Times New Roman"/>
                      <w:color w:val="auto"/>
                      <w:sz w:val="18"/>
                      <w:szCs w:val="18"/>
                    </w:rPr>
                  </w:pPr>
                  <w:r>
                    <w:rPr>
                      <w:rFonts w:hint="eastAsia" w:cs="Times New Roman"/>
                      <w:color w:val="auto"/>
                      <w:sz w:val="18"/>
                      <w:szCs w:val="18"/>
                      <w:lang w:val="en-US" w:eastAsia="zh-CN"/>
                    </w:rPr>
                    <w:t>NaOH，分子量40，</w:t>
                  </w:r>
                  <w:r>
                    <w:rPr>
                      <w:rFonts w:hint="default" w:ascii="Times New Roman" w:hAnsi="Times New Roman" w:eastAsia="宋体" w:cs="Times New Roman"/>
                      <w:color w:val="auto"/>
                      <w:sz w:val="18"/>
                      <w:szCs w:val="18"/>
                    </w:rPr>
                    <w:t>纯品为白色片状、粒状、棒状或粉末状固体，工业品略带浅色</w:t>
                  </w:r>
                  <w:r>
                    <w:rPr>
                      <w:rFonts w:hint="eastAsia" w:ascii="Times New Roman" w:hAnsi="Times New Roman" w:eastAsia="宋体" w:cs="Times New Roman"/>
                      <w:color w:val="auto"/>
                      <w:sz w:val="18"/>
                      <w:szCs w:val="18"/>
                      <w:lang w:eastAsia="zh-CN"/>
                    </w:rPr>
                    <w:t>，</w:t>
                  </w:r>
                  <w:r>
                    <w:rPr>
                      <w:rFonts w:hint="default" w:ascii="Times New Roman" w:hAnsi="Times New Roman" w:eastAsia="宋体" w:cs="Times New Roman"/>
                      <w:color w:val="auto"/>
                      <w:sz w:val="18"/>
                      <w:szCs w:val="18"/>
                    </w:rPr>
                    <w:t>密度：2.13 g/cm³</w:t>
                  </w:r>
                </w:p>
                <w:p w14:paraId="5DE13CBB">
                  <w:pPr>
                    <w:keepNext w:val="0"/>
                    <w:keepLines w:val="0"/>
                    <w:pageBreakBefore w:val="0"/>
                    <w:widowControl w:val="0"/>
                    <w:kinsoku/>
                    <w:wordWrap/>
                    <w:overflowPunct/>
                    <w:topLinePunct w:val="0"/>
                    <w:bidi w:val="0"/>
                    <w:snapToGrid/>
                    <w:spacing w:line="240" w:lineRule="auto"/>
                    <w:jc w:val="both"/>
                    <w:textAlignment w:val="auto"/>
                    <w:rPr>
                      <w:rFonts w:hint="eastAsia"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溶解性：极易溶于水，溶解时剧烈放热</w:t>
                  </w:r>
                  <w:r>
                    <w:rPr>
                      <w:rFonts w:hint="eastAsia" w:ascii="Times New Roman" w:hAnsi="Times New Roman" w:eastAsia="宋体" w:cs="Times New Roman"/>
                      <w:color w:val="auto"/>
                      <w:sz w:val="18"/>
                      <w:szCs w:val="18"/>
                      <w:lang w:eastAsia="zh-CN"/>
                    </w:rPr>
                    <w:t>，</w:t>
                  </w:r>
                  <w:r>
                    <w:rPr>
                      <w:rFonts w:hint="default" w:ascii="Times New Roman" w:hAnsi="Times New Roman" w:eastAsia="宋体" w:cs="Times New Roman"/>
                      <w:color w:val="auto"/>
                      <w:sz w:val="18"/>
                      <w:szCs w:val="18"/>
                    </w:rPr>
                    <w:t>可溶于乙醇、甘油</w:t>
                  </w:r>
                  <w:r>
                    <w:rPr>
                      <w:rFonts w:hint="eastAsia" w:ascii="Times New Roman" w:hAnsi="Times New Roman" w:eastAsia="宋体" w:cs="Times New Roman"/>
                      <w:color w:val="auto"/>
                      <w:sz w:val="18"/>
                      <w:szCs w:val="18"/>
                      <w:lang w:eastAsia="zh-CN"/>
                    </w:rPr>
                    <w:t>，</w:t>
                  </w:r>
                  <w:r>
                    <w:rPr>
                      <w:rFonts w:hint="default" w:ascii="Times New Roman" w:hAnsi="Times New Roman" w:eastAsia="宋体" w:cs="Times New Roman"/>
                      <w:color w:val="auto"/>
                      <w:sz w:val="18"/>
                      <w:szCs w:val="18"/>
                    </w:rPr>
                    <w:t>不溶于乙醚、丙酮、苯等有机溶剂</w:t>
                  </w:r>
                </w:p>
              </w:tc>
              <w:tc>
                <w:tcPr>
                  <w:tcW w:w="2291" w:type="dxa"/>
                  <w:tcBorders>
                    <w:tl2br w:val="nil"/>
                    <w:tr2bl w:val="nil"/>
                  </w:tcBorders>
                  <w:shd w:val="clear" w:color="auto" w:fill="auto"/>
                  <w:noWrap w:val="0"/>
                  <w:tcMar>
                    <w:top w:w="0" w:type="dxa"/>
                    <w:left w:w="108" w:type="dxa"/>
                    <w:bottom w:w="0" w:type="dxa"/>
                    <w:right w:w="108" w:type="dxa"/>
                  </w:tcMar>
                  <w:vAlign w:val="center"/>
                </w:tcPr>
                <w:p w14:paraId="612C7A88">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无特殊燃烧爆炸性</w:t>
                  </w:r>
                </w:p>
              </w:tc>
              <w:tc>
                <w:tcPr>
                  <w:tcW w:w="2085" w:type="dxa"/>
                  <w:tcBorders>
                    <w:tl2br w:val="nil"/>
                    <w:tr2bl w:val="nil"/>
                  </w:tcBorders>
                  <w:shd w:val="clear" w:color="auto" w:fill="auto"/>
                  <w:noWrap w:val="0"/>
                  <w:tcMar>
                    <w:top w:w="0" w:type="dxa"/>
                    <w:left w:w="108" w:type="dxa"/>
                    <w:bottom w:w="0" w:type="dxa"/>
                    <w:right w:w="108" w:type="dxa"/>
                  </w:tcMar>
                  <w:vAlign w:val="center"/>
                </w:tcPr>
                <w:p w14:paraId="573AF292">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18"/>
                      <w:szCs w:val="18"/>
                    </w:rPr>
                  </w:pPr>
                  <w:r>
                    <w:rPr>
                      <w:rFonts w:hint="default" w:ascii="Times New Roman" w:hAnsi="Times New Roman" w:eastAsia="宋体" w:cs="Times New Roman"/>
                      <w:color w:val="auto"/>
                      <w:sz w:val="18"/>
                      <w:szCs w:val="18"/>
                    </w:rPr>
                    <w:t>大鼠经口LD₅₀：约 3600～4200 mg/kg属低急性毒性物质</w:t>
                  </w:r>
                </w:p>
              </w:tc>
            </w:tr>
            <w:tr w14:paraId="1C9B58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858" w:type="dxa"/>
                  <w:tcBorders>
                    <w:tl2br w:val="nil"/>
                    <w:tr2bl w:val="nil"/>
                  </w:tcBorders>
                  <w:shd w:val="clear" w:color="auto" w:fill="auto"/>
                  <w:noWrap w:val="0"/>
                  <w:tcMar>
                    <w:top w:w="0" w:type="dxa"/>
                    <w:left w:w="108" w:type="dxa"/>
                    <w:bottom w:w="0" w:type="dxa"/>
                    <w:right w:w="108" w:type="dxa"/>
                  </w:tcMar>
                  <w:vAlign w:val="center"/>
                </w:tcPr>
                <w:p w14:paraId="7E6F2EDE">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硫酸</w:t>
                  </w:r>
                </w:p>
              </w:tc>
              <w:tc>
                <w:tcPr>
                  <w:tcW w:w="3124" w:type="dxa"/>
                  <w:tcBorders>
                    <w:tl2br w:val="nil"/>
                    <w:tr2bl w:val="nil"/>
                  </w:tcBorders>
                  <w:shd w:val="clear" w:color="auto" w:fill="auto"/>
                  <w:noWrap w:val="0"/>
                  <w:tcMar>
                    <w:top w:w="0" w:type="dxa"/>
                    <w:left w:w="108" w:type="dxa"/>
                    <w:bottom w:w="0" w:type="dxa"/>
                    <w:right w:w="108" w:type="dxa"/>
                  </w:tcMar>
                  <w:vAlign w:val="center"/>
                </w:tcPr>
                <w:p w14:paraId="36F29F05">
                  <w:pPr>
                    <w:keepNext w:val="0"/>
                    <w:keepLines w:val="0"/>
                    <w:pageBreakBefore w:val="0"/>
                    <w:widowControl w:val="0"/>
                    <w:kinsoku/>
                    <w:wordWrap/>
                    <w:overflowPunct/>
                    <w:topLinePunct w:val="0"/>
                    <w:bidi w:val="0"/>
                    <w:snapToGrid/>
                    <w:spacing w:line="240" w:lineRule="auto"/>
                    <w:jc w:val="both"/>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H</w:t>
                  </w:r>
                  <w:r>
                    <w:rPr>
                      <w:rFonts w:hint="default" w:ascii="Times New Roman" w:hAnsi="Times New Roman" w:cs="Times New Roman"/>
                      <w:color w:val="auto"/>
                      <w:sz w:val="18"/>
                      <w:szCs w:val="18"/>
                      <w:vertAlign w:val="subscript"/>
                    </w:rPr>
                    <w:t>2</w:t>
                  </w:r>
                  <w:r>
                    <w:rPr>
                      <w:rFonts w:hint="default" w:ascii="Times New Roman" w:hAnsi="Times New Roman" w:cs="Times New Roman"/>
                      <w:color w:val="auto"/>
                      <w:sz w:val="18"/>
                      <w:szCs w:val="18"/>
                    </w:rPr>
                    <w:t>SO</w:t>
                  </w:r>
                  <w:r>
                    <w:rPr>
                      <w:rFonts w:hint="default" w:ascii="Times New Roman" w:hAnsi="Times New Roman" w:cs="Times New Roman"/>
                      <w:color w:val="auto"/>
                      <w:sz w:val="18"/>
                      <w:szCs w:val="18"/>
                      <w:vertAlign w:val="subscript"/>
                    </w:rPr>
                    <w:t>4</w:t>
                  </w:r>
                  <w:r>
                    <w:rPr>
                      <w:rFonts w:hint="default" w:ascii="Times New Roman" w:hAnsi="Times New Roman" w:cs="Times New Roman"/>
                      <w:color w:val="auto"/>
                      <w:sz w:val="18"/>
                      <w:szCs w:val="18"/>
                    </w:rPr>
                    <w:t>，分子量98，无色液体。98%硫酸，熔点10℃；沸点338℃，是一种高沸点难挥发的强酸，易溶于水，能以任意比与水混溶，密度1.84</w:t>
                  </w:r>
                </w:p>
              </w:tc>
              <w:tc>
                <w:tcPr>
                  <w:tcW w:w="2291" w:type="dxa"/>
                  <w:tcBorders>
                    <w:tl2br w:val="nil"/>
                    <w:tr2bl w:val="nil"/>
                  </w:tcBorders>
                  <w:shd w:val="clear" w:color="auto" w:fill="auto"/>
                  <w:noWrap w:val="0"/>
                  <w:tcMar>
                    <w:top w:w="0" w:type="dxa"/>
                    <w:left w:w="108" w:type="dxa"/>
                    <w:bottom w:w="0" w:type="dxa"/>
                    <w:right w:w="108" w:type="dxa"/>
                  </w:tcMar>
                  <w:vAlign w:val="center"/>
                </w:tcPr>
                <w:p w14:paraId="600FAA7E">
                  <w:pPr>
                    <w:keepNext w:val="0"/>
                    <w:keepLines w:val="0"/>
                    <w:pageBreakBefore w:val="0"/>
                    <w:widowControl w:val="0"/>
                    <w:kinsoku/>
                    <w:wordWrap/>
                    <w:overflowPunct/>
                    <w:topLinePunct w:val="0"/>
                    <w:autoSpaceDE w:val="0"/>
                    <w:autoSpaceDN w:val="0"/>
                    <w:bidi w:val="0"/>
                    <w:snapToGrid/>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无特殊燃烧爆炸性</w:t>
                  </w:r>
                </w:p>
              </w:tc>
              <w:tc>
                <w:tcPr>
                  <w:tcW w:w="2085" w:type="dxa"/>
                  <w:tcBorders>
                    <w:tl2br w:val="nil"/>
                    <w:tr2bl w:val="nil"/>
                  </w:tcBorders>
                  <w:shd w:val="clear" w:color="auto" w:fill="auto"/>
                  <w:noWrap w:val="0"/>
                  <w:tcMar>
                    <w:top w:w="0" w:type="dxa"/>
                    <w:left w:w="108" w:type="dxa"/>
                    <w:bottom w:w="0" w:type="dxa"/>
                    <w:right w:w="108" w:type="dxa"/>
                  </w:tcMar>
                  <w:vAlign w:val="center"/>
                </w:tcPr>
                <w:p w14:paraId="7BC79CB9">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LD</w:t>
                  </w:r>
                  <w:r>
                    <w:rPr>
                      <w:rFonts w:hint="default" w:ascii="Times New Roman" w:hAnsi="Times New Roman" w:cs="Times New Roman"/>
                      <w:color w:val="auto"/>
                      <w:sz w:val="18"/>
                      <w:szCs w:val="18"/>
                      <w:vertAlign w:val="subscript"/>
                    </w:rPr>
                    <w:t>50</w:t>
                  </w:r>
                  <w:r>
                    <w:rPr>
                      <w:rFonts w:hint="default" w:ascii="Times New Roman" w:hAnsi="Times New Roman" w:cs="Times New Roman"/>
                      <w:color w:val="auto"/>
                      <w:sz w:val="18"/>
                      <w:szCs w:val="18"/>
                    </w:rPr>
                    <w:t>2140mg/kg</w:t>
                  </w:r>
                </w:p>
                <w:p w14:paraId="0AC43D66">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LC</w:t>
                  </w:r>
                  <w:r>
                    <w:rPr>
                      <w:rFonts w:hint="default" w:ascii="Times New Roman" w:hAnsi="Times New Roman" w:cs="Times New Roman"/>
                      <w:color w:val="auto"/>
                      <w:sz w:val="18"/>
                      <w:szCs w:val="18"/>
                      <w:vertAlign w:val="subscript"/>
                    </w:rPr>
                    <w:t>50</w:t>
                  </w:r>
                  <w:r>
                    <w:rPr>
                      <w:rFonts w:hint="default" w:ascii="Times New Roman" w:hAnsi="Times New Roman" w:cs="Times New Roman"/>
                      <w:color w:val="auto"/>
                      <w:sz w:val="18"/>
                      <w:szCs w:val="18"/>
                    </w:rPr>
                    <w:t>510mg/m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/2hr</w:t>
                  </w:r>
                </w:p>
              </w:tc>
            </w:tr>
            <w:tr w14:paraId="0E59276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858" w:type="dxa"/>
                  <w:tcBorders>
                    <w:tl2br w:val="nil"/>
                    <w:tr2bl w:val="nil"/>
                  </w:tcBorders>
                  <w:shd w:val="clear" w:color="auto" w:fill="auto"/>
                  <w:noWrap w:val="0"/>
                  <w:tcMar>
                    <w:top w:w="0" w:type="dxa"/>
                    <w:left w:w="108" w:type="dxa"/>
                    <w:bottom w:w="0" w:type="dxa"/>
                    <w:right w:w="108" w:type="dxa"/>
                  </w:tcMar>
                  <w:vAlign w:val="center"/>
                </w:tcPr>
                <w:p w14:paraId="4D854116">
                  <w:pPr>
                    <w:keepNext w:val="0"/>
                    <w:keepLines w:val="0"/>
                    <w:pageBreakBefore w:val="0"/>
                    <w:widowControl w:val="0"/>
                    <w:kinsoku/>
                    <w:wordWrap/>
                    <w:overflowPunct/>
                    <w:topLinePunct w:val="0"/>
                    <w:bidi w:val="0"/>
                    <w:snapToGrid/>
                    <w:spacing w:line="240" w:lineRule="auto"/>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液氨</w:t>
                  </w:r>
                </w:p>
              </w:tc>
              <w:tc>
                <w:tcPr>
                  <w:tcW w:w="3124" w:type="dxa"/>
                  <w:tcBorders>
                    <w:tl2br w:val="nil"/>
                    <w:tr2bl w:val="nil"/>
                  </w:tcBorders>
                  <w:shd w:val="clear" w:color="auto" w:fill="auto"/>
                  <w:noWrap w:val="0"/>
                  <w:tcMar>
                    <w:top w:w="0" w:type="dxa"/>
                    <w:left w:w="108" w:type="dxa"/>
                    <w:bottom w:w="0" w:type="dxa"/>
                    <w:right w:w="108" w:type="dxa"/>
                  </w:tcMar>
                  <w:vAlign w:val="center"/>
                </w:tcPr>
                <w:p w14:paraId="25A277BC">
                  <w:pPr>
                    <w:keepNext w:val="0"/>
                    <w:keepLines w:val="0"/>
                    <w:pageBreakBefore w:val="0"/>
                    <w:widowControl w:val="0"/>
                    <w:kinsoku/>
                    <w:wordWrap/>
                    <w:overflowPunct/>
                    <w:topLinePunct w:val="0"/>
                    <w:bidi w:val="0"/>
                    <w:snapToGrid/>
                    <w:spacing w:line="240" w:lineRule="auto"/>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无色透明液体，有强烈的刺激性臭味，分子式为NH</w:t>
                  </w:r>
                  <w:r>
                    <w:rPr>
                      <w:rFonts w:hint="eastAsia" w:ascii="Times New Roman" w:hAnsi="Times New Roman" w:cs="Times New Roman"/>
                      <w:color w:val="auto"/>
                      <w:sz w:val="18"/>
                      <w:szCs w:val="18"/>
                      <w:vertAlign w:val="subscript"/>
                      <w:lang w:val="en-US" w:eastAsia="zh-CN"/>
                    </w:rPr>
                    <w:t>3</w:t>
                  </w:r>
                  <w:r>
                    <w:rPr>
                      <w:rFonts w:hint="default" w:ascii="Times New Roman" w:hAnsi="Times New Roman" w:cs="Times New Roman"/>
                      <w:color w:val="auto"/>
                      <w:sz w:val="18"/>
                      <w:szCs w:val="18"/>
                    </w:rPr>
                    <w:t>，分子量为</w:t>
                  </w:r>
                  <w:r>
                    <w:rPr>
                      <w:rFonts w:hint="eastAsia" w:ascii="Times New Roman" w:hAnsi="Times New Roman" w:cs="Times New Roman"/>
                      <w:color w:val="auto"/>
                      <w:sz w:val="18"/>
                      <w:szCs w:val="18"/>
                      <w:lang w:val="en-US" w:eastAsia="zh-CN"/>
                    </w:rPr>
                    <w:t>17</w:t>
                  </w:r>
                  <w:r>
                    <w:rPr>
                      <w:rFonts w:hint="default" w:ascii="Times New Roman" w:hAnsi="Times New Roman" w:cs="Times New Roman"/>
                      <w:color w:val="auto"/>
                      <w:sz w:val="18"/>
                      <w:szCs w:val="18"/>
                    </w:rPr>
                    <w:t>，相对密度0.</w:t>
                  </w:r>
                  <w:r>
                    <w:rPr>
                      <w:rFonts w:hint="eastAsia" w:ascii="Times New Roman" w:hAnsi="Times New Roman" w:cs="Times New Roman"/>
                      <w:color w:val="auto"/>
                      <w:sz w:val="18"/>
                      <w:szCs w:val="18"/>
                      <w:lang w:val="en-US" w:eastAsia="zh-CN"/>
                    </w:rPr>
                    <w:t>82</w:t>
                  </w:r>
                  <w:r>
                    <w:rPr>
                      <w:rFonts w:hint="default" w:ascii="Times New Roman" w:hAnsi="Times New Roman" w:cs="Times New Roman"/>
                      <w:color w:val="auto"/>
                      <w:sz w:val="18"/>
                      <w:szCs w:val="18"/>
                    </w:rPr>
                    <w:t>，易溶于水、乙醇、乙醚</w:t>
                  </w:r>
                  <w:r>
                    <w:rPr>
                      <w:rFonts w:hint="eastAsia" w:ascii="Times New Roman" w:hAnsi="Times New Roman" w:cs="Times New Roman"/>
                      <w:color w:val="auto"/>
                      <w:sz w:val="18"/>
                      <w:szCs w:val="18"/>
                      <w:lang w:eastAsia="zh-CN"/>
                    </w:rPr>
                    <w:t>，</w:t>
                  </w:r>
                  <w:r>
                    <w:rPr>
                      <w:rFonts w:hint="eastAsia" w:ascii="Times New Roman" w:hAnsi="Times New Roman" w:cs="Times New Roman"/>
                      <w:color w:val="auto"/>
                      <w:sz w:val="18"/>
                      <w:szCs w:val="18"/>
                      <w:lang w:val="en-US" w:eastAsia="zh-CN"/>
                    </w:rPr>
                    <w:t>熔点-77.7℃，沸点-33.5℃</w:t>
                  </w:r>
                </w:p>
              </w:tc>
              <w:tc>
                <w:tcPr>
                  <w:tcW w:w="2291" w:type="dxa"/>
                  <w:tcBorders>
                    <w:tl2br w:val="nil"/>
                    <w:tr2bl w:val="nil"/>
                  </w:tcBorders>
                  <w:shd w:val="clear" w:color="auto" w:fill="auto"/>
                  <w:noWrap w:val="0"/>
                  <w:tcMar>
                    <w:top w:w="0" w:type="dxa"/>
                    <w:left w:w="108" w:type="dxa"/>
                    <w:bottom w:w="0" w:type="dxa"/>
                    <w:right w:w="108" w:type="dxa"/>
                  </w:tcMar>
                  <w:vAlign w:val="center"/>
                </w:tcPr>
                <w:p w14:paraId="3D55FDF4">
                  <w:pPr>
                    <w:keepNext w:val="0"/>
                    <w:keepLines w:val="0"/>
                    <w:pageBreakBefore w:val="0"/>
                    <w:widowControl w:val="0"/>
                    <w:kinsoku/>
                    <w:wordWrap/>
                    <w:overflowPunct/>
                    <w:topLinePunct w:val="0"/>
                    <w:autoSpaceDE w:val="0"/>
                    <w:autoSpaceDN w:val="0"/>
                    <w:bidi w:val="0"/>
                    <w:snapToGrid/>
                    <w:spacing w:line="240" w:lineRule="auto"/>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易燃易爆</w:t>
                  </w:r>
                </w:p>
              </w:tc>
              <w:tc>
                <w:tcPr>
                  <w:tcW w:w="2085" w:type="dxa"/>
                  <w:tcBorders>
                    <w:tl2br w:val="nil"/>
                    <w:tr2bl w:val="nil"/>
                  </w:tcBorders>
                  <w:shd w:val="clear" w:color="auto" w:fill="auto"/>
                  <w:noWrap w:val="0"/>
                  <w:tcMar>
                    <w:top w:w="0" w:type="dxa"/>
                    <w:left w:w="108" w:type="dxa"/>
                    <w:bottom w:w="0" w:type="dxa"/>
                    <w:right w:w="108" w:type="dxa"/>
                  </w:tcMar>
                  <w:vAlign w:val="center"/>
                </w:tcPr>
                <w:p w14:paraId="011BC7D5">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18"/>
                      <w:szCs w:val="18"/>
                    </w:rPr>
                  </w:pPr>
                  <w:r>
                    <w:rPr>
                      <w:rFonts w:ascii="Times New Roman" w:hAnsi="Times New Roman"/>
                      <w:color w:val="auto"/>
                      <w:sz w:val="18"/>
                      <w:szCs w:val="18"/>
                    </w:rPr>
                    <w:t>LD</w:t>
                  </w:r>
                  <w:r>
                    <w:rPr>
                      <w:rFonts w:ascii="Times New Roman" w:hAnsi="Times New Roman"/>
                      <w:color w:val="auto"/>
                      <w:sz w:val="18"/>
                      <w:szCs w:val="18"/>
                      <w:vertAlign w:val="subscript"/>
                    </w:rPr>
                    <w:t>50</w:t>
                  </w:r>
                  <w:r>
                    <w:rPr>
                      <w:rFonts w:ascii="Times New Roman" w:hAnsi="Times New Roman"/>
                      <w:color w:val="auto"/>
                      <w:sz w:val="18"/>
                      <w:szCs w:val="18"/>
                    </w:rPr>
                    <w:t>350mg/kg（大鼠经口）LC</w:t>
                  </w:r>
                  <w:r>
                    <w:rPr>
                      <w:rFonts w:ascii="Times New Roman" w:hAnsi="Times New Roman"/>
                      <w:color w:val="auto"/>
                      <w:sz w:val="18"/>
                      <w:szCs w:val="18"/>
                      <w:vertAlign w:val="subscript"/>
                    </w:rPr>
                    <w:t>50</w:t>
                  </w:r>
                  <w:r>
                    <w:rPr>
                      <w:rFonts w:ascii="Times New Roman" w:hAnsi="Times New Roman"/>
                      <w:color w:val="auto"/>
                      <w:sz w:val="18"/>
                      <w:szCs w:val="18"/>
                    </w:rPr>
                    <w:t>1390mg/m</w:t>
                  </w:r>
                  <w:r>
                    <w:rPr>
                      <w:rFonts w:ascii="Times New Roman" w:hAnsi="Times New Roman"/>
                      <w:color w:val="auto"/>
                      <w:sz w:val="18"/>
                      <w:szCs w:val="18"/>
                      <w:vertAlign w:val="superscript"/>
                    </w:rPr>
                    <w:t>3</w:t>
                  </w:r>
                  <w:r>
                    <w:rPr>
                      <w:rFonts w:ascii="Times New Roman" w:hAnsi="Times New Roman"/>
                      <w:color w:val="auto"/>
                      <w:sz w:val="18"/>
                      <w:szCs w:val="18"/>
                    </w:rPr>
                    <w:t>，4小时（大鼠吸入）</w:t>
                  </w:r>
                </w:p>
              </w:tc>
            </w:tr>
            <w:tr w14:paraId="75DD7C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858" w:type="dxa"/>
                  <w:tcBorders>
                    <w:tl2br w:val="nil"/>
                    <w:tr2bl w:val="nil"/>
                  </w:tcBorders>
                  <w:shd w:val="clear" w:color="auto" w:fill="auto"/>
                  <w:noWrap w:val="0"/>
                  <w:tcMar>
                    <w:top w:w="0" w:type="dxa"/>
                    <w:left w:w="108" w:type="dxa"/>
                    <w:bottom w:w="0" w:type="dxa"/>
                    <w:right w:w="108" w:type="dxa"/>
                  </w:tcMar>
                  <w:vAlign w:val="center"/>
                </w:tcPr>
                <w:p w14:paraId="5B6A0A87">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氧化镁涂料</w:t>
                  </w:r>
                </w:p>
              </w:tc>
              <w:tc>
                <w:tcPr>
                  <w:tcW w:w="3124" w:type="dxa"/>
                  <w:tcBorders>
                    <w:tl2br w:val="nil"/>
                    <w:tr2bl w:val="nil"/>
                  </w:tcBorders>
                  <w:shd w:val="clear" w:color="auto" w:fill="auto"/>
                  <w:noWrap w:val="0"/>
                  <w:tcMar>
                    <w:top w:w="0" w:type="dxa"/>
                    <w:left w:w="108" w:type="dxa"/>
                    <w:bottom w:w="0" w:type="dxa"/>
                    <w:right w:w="108" w:type="dxa"/>
                  </w:tcMar>
                  <w:vAlign w:val="center"/>
                </w:tcPr>
                <w:p w14:paraId="50CA85D4">
                  <w:pPr>
                    <w:keepNext w:val="0"/>
                    <w:keepLines w:val="0"/>
                    <w:widowControl/>
                    <w:suppressLineNumbers w:val="0"/>
                    <w:jc w:val="left"/>
                    <w:rPr>
                      <w:rFonts w:hint="default" w:ascii="Times New Roman" w:hAnsi="Times New Roman" w:cs="Times New Roman"/>
                      <w:color w:val="auto"/>
                      <w:sz w:val="18"/>
                      <w:szCs w:val="18"/>
                    </w:rPr>
                  </w:pPr>
                  <w:r>
                    <w:rPr>
                      <w:rFonts w:hint="eastAsia" w:ascii="宋体" w:hAnsi="宋体" w:eastAsia="宋体" w:cs="宋体"/>
                      <w:color w:val="auto"/>
                      <w:kern w:val="0"/>
                      <w:sz w:val="18"/>
                      <w:szCs w:val="18"/>
                      <w:lang w:val="en-US" w:eastAsia="zh-CN" w:bidi="ar"/>
                    </w:rPr>
                    <w:t>主要由氧化镁、二氧化钛等加纯水配置而成，粘度：</w:t>
                  </w:r>
                  <w:r>
                    <w:rPr>
                      <w:rFonts w:hint="default" w:ascii="Times New Roman" w:hAnsi="Times New Roman" w:eastAsia="宋体" w:cs="Times New Roman"/>
                      <w:color w:val="auto"/>
                      <w:kern w:val="0"/>
                      <w:sz w:val="18"/>
                      <w:szCs w:val="18"/>
                      <w:lang w:val="en-US" w:eastAsia="zh-CN" w:bidi="ar"/>
                    </w:rPr>
                    <w:t>10.5~11.0</w:t>
                  </w:r>
                  <w:r>
                    <w:rPr>
                      <w:rFonts w:hint="eastAsia" w:ascii="宋体" w:hAnsi="宋体" w:eastAsia="宋体" w:cs="宋体"/>
                      <w:color w:val="auto"/>
                      <w:kern w:val="0"/>
                      <w:sz w:val="18"/>
                      <w:szCs w:val="18"/>
                      <w:lang w:val="en-US" w:eastAsia="zh-CN" w:bidi="ar"/>
                    </w:rPr>
                    <w:t>秒，温度控制在</w:t>
                  </w:r>
                  <w:r>
                    <w:rPr>
                      <w:rFonts w:hint="default" w:ascii="Times New Roman" w:hAnsi="Times New Roman" w:eastAsia="宋体" w:cs="Times New Roman"/>
                      <w:color w:val="auto"/>
                      <w:kern w:val="0"/>
                      <w:sz w:val="18"/>
                      <w:szCs w:val="18"/>
                      <w:lang w:val="en-US" w:eastAsia="zh-CN" w:bidi="ar"/>
                    </w:rPr>
                    <w:t>5℃</w:t>
                  </w:r>
                  <w:r>
                    <w:rPr>
                      <w:rFonts w:hint="eastAsia" w:ascii="宋体" w:hAnsi="宋体" w:eastAsia="宋体" w:cs="宋体"/>
                      <w:color w:val="auto"/>
                      <w:kern w:val="0"/>
                      <w:sz w:val="18"/>
                      <w:szCs w:val="18"/>
                      <w:lang w:val="en-US" w:eastAsia="zh-CN" w:bidi="ar"/>
                    </w:rPr>
                    <w:t>以内。</w:t>
                  </w:r>
                </w:p>
              </w:tc>
              <w:tc>
                <w:tcPr>
                  <w:tcW w:w="2291" w:type="dxa"/>
                  <w:tcBorders>
                    <w:tl2br w:val="nil"/>
                    <w:tr2bl w:val="nil"/>
                  </w:tcBorders>
                  <w:shd w:val="clear" w:color="auto" w:fill="auto"/>
                  <w:noWrap w:val="0"/>
                  <w:tcMar>
                    <w:top w:w="0" w:type="dxa"/>
                    <w:left w:w="108" w:type="dxa"/>
                    <w:bottom w:w="0" w:type="dxa"/>
                    <w:right w:w="108" w:type="dxa"/>
                  </w:tcMar>
                  <w:vAlign w:val="center"/>
                </w:tcPr>
                <w:p w14:paraId="25BE02B7">
                  <w:pPr>
                    <w:keepNext w:val="0"/>
                    <w:keepLines w:val="0"/>
                    <w:pageBreakBefore w:val="0"/>
                    <w:widowControl w:val="0"/>
                    <w:kinsoku/>
                    <w:wordWrap/>
                    <w:overflowPunct/>
                    <w:topLinePunct w:val="0"/>
                    <w:autoSpaceDE w:val="0"/>
                    <w:autoSpaceDN w:val="0"/>
                    <w:bidi w:val="0"/>
                    <w:snapToGrid/>
                    <w:spacing w:line="240" w:lineRule="auto"/>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不燃</w:t>
                  </w:r>
                </w:p>
              </w:tc>
              <w:tc>
                <w:tcPr>
                  <w:tcW w:w="2085" w:type="dxa"/>
                  <w:tcBorders>
                    <w:tl2br w:val="nil"/>
                    <w:tr2bl w:val="nil"/>
                  </w:tcBorders>
                  <w:shd w:val="clear" w:color="auto" w:fill="auto"/>
                  <w:noWrap w:val="0"/>
                  <w:tcMar>
                    <w:top w:w="0" w:type="dxa"/>
                    <w:left w:w="108" w:type="dxa"/>
                    <w:bottom w:w="0" w:type="dxa"/>
                    <w:right w:w="108" w:type="dxa"/>
                  </w:tcMar>
                  <w:vAlign w:val="center"/>
                </w:tcPr>
                <w:p w14:paraId="04CD8596">
                  <w:pPr>
                    <w:keepNext w:val="0"/>
                    <w:keepLines w:val="0"/>
                    <w:pageBreakBefore w:val="0"/>
                    <w:widowControl w:val="0"/>
                    <w:kinsoku/>
                    <w:wordWrap/>
                    <w:overflowPunct/>
                    <w:topLinePunct w:val="0"/>
                    <w:autoSpaceDE w:val="0"/>
                    <w:autoSpaceDN w:val="0"/>
                    <w:bidi w:val="0"/>
                    <w:snapToGrid/>
                    <w:spacing w:line="240" w:lineRule="auto"/>
                    <w:jc w:val="center"/>
                    <w:textAlignment w:val="auto"/>
                    <w:rPr>
                      <w:rFonts w:hint="eastAsia" w:ascii="Times New Roman" w:hAnsi="Times New Roman" w:eastAsia="宋体" w:cs="Times New Roman"/>
                      <w:color w:val="auto"/>
                      <w:sz w:val="18"/>
                      <w:szCs w:val="18"/>
                      <w:shd w:val="clear" w:color="000000" w:fill="FFFFFF"/>
                      <w:lang w:val="en-US" w:eastAsia="zh-CN"/>
                    </w:rPr>
                  </w:pPr>
                  <w:r>
                    <w:rPr>
                      <w:rFonts w:hint="eastAsia" w:ascii="Times New Roman" w:hAnsi="Times New Roman" w:cs="Times New Roman"/>
                      <w:color w:val="auto"/>
                      <w:sz w:val="18"/>
                      <w:szCs w:val="18"/>
                      <w:lang w:val="en-US" w:eastAsia="zh-CN"/>
                    </w:rPr>
                    <w:t>低毒</w:t>
                  </w:r>
                </w:p>
              </w:tc>
            </w:tr>
            <w:tr w14:paraId="535103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858" w:type="dxa"/>
                  <w:tcBorders>
                    <w:tl2br w:val="nil"/>
                    <w:tr2bl w:val="nil"/>
                  </w:tcBorders>
                  <w:shd w:val="clear" w:color="auto" w:fill="auto"/>
                  <w:noWrap w:val="0"/>
                  <w:tcMar>
                    <w:top w:w="0" w:type="dxa"/>
                    <w:left w:w="108" w:type="dxa"/>
                    <w:bottom w:w="0" w:type="dxa"/>
                    <w:right w:w="108" w:type="dxa"/>
                  </w:tcMar>
                  <w:vAlign w:val="center"/>
                </w:tcPr>
                <w:p w14:paraId="008DCC4B">
                  <w:pPr>
                    <w:keepNext w:val="0"/>
                    <w:keepLines w:val="0"/>
                    <w:pageBreakBefore w:val="0"/>
                    <w:widowControl w:val="0"/>
                    <w:kinsoku/>
                    <w:wordWrap/>
                    <w:overflowPunct/>
                    <w:topLinePunct w:val="0"/>
                    <w:bidi w:val="0"/>
                    <w:snapToGrid/>
                    <w:spacing w:line="240" w:lineRule="auto"/>
                    <w:jc w:val="center"/>
                    <w:textAlignment w:val="auto"/>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环保绝缘</w:t>
                  </w:r>
                  <w:r>
                    <w:rPr>
                      <w:rFonts w:hint="eastAsia" w:ascii="Times New Roman" w:hAnsi="Times New Roman" w:cs="Times New Roman"/>
                      <w:color w:val="auto"/>
                      <w:sz w:val="18"/>
                      <w:szCs w:val="18"/>
                      <w:lang w:val="en-US" w:eastAsia="zh-CN"/>
                    </w:rPr>
                    <w:t>涂层液</w:t>
                  </w:r>
                </w:p>
              </w:tc>
              <w:tc>
                <w:tcPr>
                  <w:tcW w:w="3124" w:type="dxa"/>
                  <w:tcBorders>
                    <w:tl2br w:val="nil"/>
                    <w:tr2bl w:val="nil"/>
                  </w:tcBorders>
                  <w:shd w:val="clear" w:color="auto" w:fill="auto"/>
                  <w:noWrap w:val="0"/>
                  <w:tcMar>
                    <w:top w:w="0" w:type="dxa"/>
                    <w:left w:w="108" w:type="dxa"/>
                    <w:bottom w:w="0" w:type="dxa"/>
                    <w:right w:w="108" w:type="dxa"/>
                  </w:tcMar>
                  <w:vAlign w:val="center"/>
                </w:tcPr>
                <w:p w14:paraId="39386D2F">
                  <w:pPr>
                    <w:keepNext w:val="0"/>
                    <w:keepLines w:val="0"/>
                    <w:widowControl/>
                    <w:suppressLineNumbers w:val="0"/>
                    <w:jc w:val="both"/>
                    <w:rPr>
                      <w:rFonts w:hint="default" w:ascii="Times New Roman" w:hAnsi="Times New Roman" w:cs="Times New Roman"/>
                      <w:color w:val="auto"/>
                      <w:sz w:val="18"/>
                      <w:szCs w:val="18"/>
                    </w:rPr>
                  </w:pPr>
                  <w:r>
                    <w:rPr>
                      <w:rFonts w:hint="eastAsia" w:ascii="宋体" w:hAnsi="宋体" w:eastAsia="宋体" w:cs="宋体"/>
                      <w:color w:val="auto"/>
                      <w:kern w:val="0"/>
                      <w:sz w:val="18"/>
                      <w:szCs w:val="18"/>
                      <w:lang w:val="en-US" w:eastAsia="zh-CN" w:bidi="ar"/>
                    </w:rPr>
                    <w:t>以工业磷酸、氢氧化铝、钼酸盐、氧化镁、酸性硅溶胶等多种原料合成制取，主要用于取向硅钢片的涂层，与氧化镁涂层配合使用，使制成的取向硅钢片具有良好的绝缘性能、耐热性、耐腐蚀性和优良的焊接性能，且本产品不含铬元素，环保无毒</w:t>
                  </w:r>
                </w:p>
              </w:tc>
              <w:tc>
                <w:tcPr>
                  <w:tcW w:w="2291" w:type="dxa"/>
                  <w:tcBorders>
                    <w:tl2br w:val="nil"/>
                    <w:tr2bl w:val="nil"/>
                  </w:tcBorders>
                  <w:shd w:val="clear" w:color="auto" w:fill="auto"/>
                  <w:noWrap w:val="0"/>
                  <w:tcMar>
                    <w:top w:w="0" w:type="dxa"/>
                    <w:left w:w="108" w:type="dxa"/>
                    <w:bottom w:w="0" w:type="dxa"/>
                    <w:right w:w="108" w:type="dxa"/>
                  </w:tcMar>
                  <w:vAlign w:val="center"/>
                </w:tcPr>
                <w:p w14:paraId="72A3E9EA">
                  <w:pPr>
                    <w:keepNext w:val="0"/>
                    <w:keepLines w:val="0"/>
                    <w:pageBreakBefore w:val="0"/>
                    <w:widowControl w:val="0"/>
                    <w:kinsoku/>
                    <w:wordWrap/>
                    <w:overflowPunct/>
                    <w:topLinePunct w:val="0"/>
                    <w:autoSpaceDE w:val="0"/>
                    <w:autoSpaceDN w:val="0"/>
                    <w:bidi w:val="0"/>
                    <w:snapToGrid/>
                    <w:spacing w:line="240" w:lineRule="auto"/>
                    <w:jc w:val="center"/>
                    <w:textAlignment w:val="auto"/>
                    <w:rPr>
                      <w:rFonts w:hint="default"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不燃</w:t>
                  </w:r>
                </w:p>
              </w:tc>
              <w:tc>
                <w:tcPr>
                  <w:tcW w:w="2085" w:type="dxa"/>
                  <w:tcBorders>
                    <w:tl2br w:val="nil"/>
                    <w:tr2bl w:val="nil"/>
                  </w:tcBorders>
                  <w:shd w:val="clear" w:color="auto" w:fill="auto"/>
                  <w:noWrap w:val="0"/>
                  <w:tcMar>
                    <w:top w:w="0" w:type="dxa"/>
                    <w:left w:w="108" w:type="dxa"/>
                    <w:bottom w:w="0" w:type="dxa"/>
                    <w:right w:w="108" w:type="dxa"/>
                  </w:tcMar>
                  <w:vAlign w:val="center"/>
                </w:tcPr>
                <w:p w14:paraId="43E38836">
                  <w:pPr>
                    <w:keepNext w:val="0"/>
                    <w:keepLines w:val="0"/>
                    <w:pageBreakBefore w:val="0"/>
                    <w:widowControl w:val="0"/>
                    <w:kinsoku/>
                    <w:wordWrap/>
                    <w:overflowPunct/>
                    <w:topLinePunct w:val="0"/>
                    <w:autoSpaceDE w:val="0"/>
                    <w:autoSpaceDN w:val="0"/>
                    <w:bidi w:val="0"/>
                    <w:snapToGrid/>
                    <w:spacing w:line="240" w:lineRule="auto"/>
                    <w:jc w:val="center"/>
                    <w:textAlignment w:val="auto"/>
                    <w:rPr>
                      <w:rFonts w:hint="default" w:ascii="Times New Roman" w:hAnsi="Times New Roman" w:cs="Times New Roman"/>
                      <w:color w:val="auto"/>
                      <w:sz w:val="18"/>
                      <w:szCs w:val="18"/>
                      <w:shd w:val="clear" w:color="000000" w:fill="FFFFFF"/>
                    </w:rPr>
                  </w:pPr>
                  <w:r>
                    <w:rPr>
                      <w:rFonts w:hint="eastAsia" w:ascii="Times New Roman" w:hAnsi="Times New Roman" w:cs="Times New Roman"/>
                      <w:color w:val="auto"/>
                      <w:sz w:val="18"/>
                      <w:szCs w:val="18"/>
                      <w:lang w:val="en-US" w:eastAsia="zh-CN"/>
                    </w:rPr>
                    <w:t>低毒</w:t>
                  </w:r>
                </w:p>
              </w:tc>
            </w:tr>
            <w:tr w14:paraId="1F048C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858" w:type="dxa"/>
                  <w:tcBorders>
                    <w:tl2br w:val="nil"/>
                    <w:tr2bl w:val="nil"/>
                  </w:tcBorders>
                  <w:shd w:val="clear" w:color="auto" w:fill="auto"/>
                  <w:noWrap w:val="0"/>
                  <w:tcMar>
                    <w:top w:w="0" w:type="dxa"/>
                    <w:left w:w="108" w:type="dxa"/>
                    <w:bottom w:w="0" w:type="dxa"/>
                    <w:right w:w="108" w:type="dxa"/>
                  </w:tcMar>
                  <w:vAlign w:val="center"/>
                </w:tcPr>
                <w:p w14:paraId="520743BC">
                  <w:pPr>
                    <w:keepNext w:val="0"/>
                    <w:keepLines w:val="0"/>
                    <w:pageBreakBefore w:val="0"/>
                    <w:widowControl w:val="0"/>
                    <w:kinsoku/>
                    <w:wordWrap/>
                    <w:overflowPunct/>
                    <w:topLinePunct w:val="0"/>
                    <w:bidi w:val="0"/>
                    <w:snapToGrid/>
                    <w:spacing w:line="240" w:lineRule="auto"/>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氢气</w:t>
                  </w:r>
                </w:p>
              </w:tc>
              <w:tc>
                <w:tcPr>
                  <w:tcW w:w="3124" w:type="dxa"/>
                  <w:tcBorders>
                    <w:tl2br w:val="nil"/>
                    <w:tr2bl w:val="nil"/>
                  </w:tcBorders>
                  <w:shd w:val="clear" w:color="auto" w:fill="auto"/>
                  <w:noWrap w:val="0"/>
                  <w:tcMar>
                    <w:top w:w="0" w:type="dxa"/>
                    <w:left w:w="108" w:type="dxa"/>
                    <w:bottom w:w="0" w:type="dxa"/>
                    <w:right w:w="108" w:type="dxa"/>
                  </w:tcMar>
                  <w:vAlign w:val="center"/>
                </w:tcPr>
                <w:p w14:paraId="172FB65A">
                  <w:pPr>
                    <w:keepNext w:val="0"/>
                    <w:keepLines w:val="0"/>
                    <w:widowControl/>
                    <w:suppressLineNumbers w:val="0"/>
                    <w:jc w:val="both"/>
                    <w:rPr>
                      <w:rFonts w:hint="default" w:ascii="Times New Roman" w:hAnsi="Times New Roman" w:cs="Times New Roman"/>
                      <w:color w:val="auto"/>
                      <w:sz w:val="18"/>
                      <w:szCs w:val="18"/>
                      <w:lang w:val="zh-CN"/>
                    </w:rPr>
                  </w:pPr>
                  <w:r>
                    <w:rPr>
                      <w:rFonts w:hint="eastAsia" w:ascii="宋体" w:hAnsi="宋体" w:eastAsia="宋体" w:cs="宋体"/>
                      <w:color w:val="auto"/>
                      <w:kern w:val="0"/>
                      <w:sz w:val="18"/>
                      <w:szCs w:val="18"/>
                      <w:lang w:val="en-US" w:eastAsia="zh-CN" w:bidi="ar"/>
                    </w:rPr>
                    <w:t>无色、无味的易燃气体，分子量为</w:t>
                  </w:r>
                  <w:r>
                    <w:rPr>
                      <w:rFonts w:hint="default" w:ascii="Times New Roman" w:hAnsi="Times New Roman" w:eastAsia="宋体" w:cs="Times New Roman"/>
                      <w:color w:val="auto"/>
                      <w:kern w:val="0"/>
                      <w:sz w:val="18"/>
                      <w:szCs w:val="18"/>
                      <w:lang w:val="en-US" w:eastAsia="zh-CN" w:bidi="ar"/>
                    </w:rPr>
                    <w:t>2.01588</w:t>
                  </w:r>
                  <w:r>
                    <w:rPr>
                      <w:rFonts w:hint="eastAsia" w:ascii="宋体" w:hAnsi="宋体" w:eastAsia="宋体" w:cs="宋体"/>
                      <w:color w:val="auto"/>
                      <w:kern w:val="0"/>
                      <w:sz w:val="18"/>
                      <w:szCs w:val="18"/>
                      <w:lang w:val="en-US" w:eastAsia="zh-CN" w:bidi="ar"/>
                    </w:rPr>
                    <w:t>，熔点为</w:t>
                  </w:r>
                  <w:r>
                    <w:rPr>
                      <w:rFonts w:hint="default" w:ascii="Times New Roman" w:hAnsi="Times New Roman" w:eastAsia="宋体" w:cs="Times New Roman"/>
                      <w:color w:val="auto"/>
                      <w:kern w:val="0"/>
                      <w:sz w:val="18"/>
                      <w:szCs w:val="18"/>
                      <w:lang w:val="en-US" w:eastAsia="zh-CN" w:bidi="ar"/>
                    </w:rPr>
                    <w:t>-259.2°C</w:t>
                  </w:r>
                  <w:r>
                    <w:rPr>
                      <w:rFonts w:hint="eastAsia" w:ascii="宋体" w:hAnsi="宋体" w:eastAsia="宋体" w:cs="宋体"/>
                      <w:color w:val="auto"/>
                      <w:kern w:val="0"/>
                      <w:sz w:val="18"/>
                      <w:szCs w:val="18"/>
                      <w:lang w:val="en-US" w:eastAsia="zh-CN" w:bidi="ar"/>
                    </w:rPr>
                    <w:t>，沸点为</w:t>
                  </w:r>
                  <w:r>
                    <w:rPr>
                      <w:rFonts w:hint="default" w:ascii="Times New Roman" w:hAnsi="Times New Roman" w:eastAsia="宋体" w:cs="Times New Roman"/>
                      <w:color w:val="auto"/>
                      <w:kern w:val="0"/>
                      <w:sz w:val="18"/>
                      <w:szCs w:val="18"/>
                      <w:lang w:val="en-US" w:eastAsia="zh-CN" w:bidi="ar"/>
                    </w:rPr>
                    <w:t>-252.87°C</w:t>
                  </w:r>
                  <w:r>
                    <w:rPr>
                      <w:rFonts w:hint="eastAsia" w:ascii="宋体" w:hAnsi="宋体" w:eastAsia="宋体" w:cs="宋体"/>
                      <w:color w:val="auto"/>
                      <w:kern w:val="0"/>
                      <w:sz w:val="18"/>
                      <w:szCs w:val="18"/>
                      <w:lang w:val="en-US" w:eastAsia="zh-CN" w:bidi="ar"/>
                    </w:rPr>
                    <w:t>，相对密度（水</w:t>
                  </w:r>
                  <w:r>
                    <w:rPr>
                      <w:rFonts w:hint="default" w:ascii="Times New Roman" w:hAnsi="Times New Roman" w:eastAsia="宋体" w:cs="Times New Roman"/>
                      <w:color w:val="auto"/>
                      <w:kern w:val="0"/>
                      <w:sz w:val="18"/>
                      <w:szCs w:val="18"/>
                      <w:lang w:val="en-US" w:eastAsia="zh-CN" w:bidi="ar"/>
                    </w:rPr>
                    <w:t>=1</w:t>
                  </w:r>
                  <w:r>
                    <w:rPr>
                      <w:rFonts w:hint="eastAsia" w:ascii="宋体" w:hAnsi="宋体" w:eastAsia="宋体" w:cs="宋体"/>
                      <w:color w:val="auto"/>
                      <w:kern w:val="0"/>
                      <w:sz w:val="18"/>
                      <w:szCs w:val="18"/>
                      <w:lang w:val="en-US" w:eastAsia="zh-CN" w:bidi="ar"/>
                    </w:rPr>
                    <w:t>）为</w:t>
                  </w:r>
                  <w:r>
                    <w:rPr>
                      <w:rFonts w:hint="default" w:ascii="Times New Roman" w:hAnsi="Times New Roman" w:eastAsia="宋体" w:cs="Times New Roman"/>
                      <w:color w:val="auto"/>
                      <w:kern w:val="0"/>
                      <w:sz w:val="18"/>
                      <w:szCs w:val="18"/>
                      <w:lang w:val="en-US" w:eastAsia="zh-CN" w:bidi="ar"/>
                    </w:rPr>
                    <w:t>0.07</w:t>
                  </w:r>
                  <w:r>
                    <w:rPr>
                      <w:rFonts w:hint="eastAsia" w:ascii="宋体" w:hAnsi="宋体" w:eastAsia="宋体" w:cs="宋体"/>
                      <w:color w:val="auto"/>
                      <w:kern w:val="0"/>
                      <w:sz w:val="18"/>
                      <w:szCs w:val="18"/>
                      <w:lang w:val="en-US" w:eastAsia="zh-CN" w:bidi="ar"/>
                    </w:rPr>
                    <w:t>，闪点无意义，临界压力为</w:t>
                  </w:r>
                  <w:r>
                    <w:rPr>
                      <w:rFonts w:hint="default" w:ascii="Times New Roman" w:hAnsi="Times New Roman" w:eastAsia="宋体" w:cs="Times New Roman"/>
                      <w:color w:val="auto"/>
                      <w:kern w:val="0"/>
                      <w:sz w:val="18"/>
                      <w:szCs w:val="18"/>
                      <w:lang w:val="en-US" w:eastAsia="zh-CN" w:bidi="ar"/>
                    </w:rPr>
                    <w:t>1.30MPa</w:t>
                  </w:r>
                  <w:r>
                    <w:rPr>
                      <w:rFonts w:hint="eastAsia" w:ascii="宋体" w:hAnsi="宋体" w:eastAsia="宋体" w:cs="宋体"/>
                      <w:color w:val="auto"/>
                      <w:kern w:val="0"/>
                      <w:sz w:val="18"/>
                      <w:szCs w:val="18"/>
                      <w:lang w:val="en-US" w:eastAsia="zh-CN" w:bidi="ar"/>
                    </w:rPr>
                    <w:t>，临界温度为</w:t>
                  </w:r>
                  <w:r>
                    <w:rPr>
                      <w:rFonts w:hint="default" w:ascii="Times New Roman" w:hAnsi="Times New Roman" w:eastAsia="宋体" w:cs="Times New Roman"/>
                      <w:color w:val="auto"/>
                      <w:kern w:val="0"/>
                      <w:sz w:val="18"/>
                      <w:szCs w:val="18"/>
                      <w:lang w:val="en-US" w:eastAsia="zh-CN" w:bidi="ar"/>
                    </w:rPr>
                    <w:t>-240°C</w:t>
                  </w:r>
                  <w:r>
                    <w:rPr>
                      <w:rFonts w:hint="eastAsia" w:ascii="宋体" w:hAnsi="宋体" w:eastAsia="宋体" w:cs="宋体"/>
                      <w:color w:val="auto"/>
                      <w:kern w:val="0"/>
                      <w:sz w:val="18"/>
                      <w:szCs w:val="18"/>
                      <w:lang w:val="en-US" w:eastAsia="zh-CN" w:bidi="ar"/>
                    </w:rPr>
                    <w:t>。</w:t>
                  </w:r>
                </w:p>
              </w:tc>
              <w:tc>
                <w:tcPr>
                  <w:tcW w:w="2291" w:type="dxa"/>
                  <w:tcBorders>
                    <w:tl2br w:val="nil"/>
                    <w:tr2bl w:val="nil"/>
                  </w:tcBorders>
                  <w:shd w:val="clear" w:color="auto" w:fill="auto"/>
                  <w:noWrap w:val="0"/>
                  <w:tcMar>
                    <w:top w:w="0" w:type="dxa"/>
                    <w:left w:w="108" w:type="dxa"/>
                    <w:bottom w:w="0" w:type="dxa"/>
                    <w:right w:w="108" w:type="dxa"/>
                  </w:tcMar>
                  <w:vAlign w:val="center"/>
                </w:tcPr>
                <w:p w14:paraId="236716D9">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易燃易爆</w:t>
                  </w:r>
                </w:p>
              </w:tc>
              <w:tc>
                <w:tcPr>
                  <w:tcW w:w="2085" w:type="dxa"/>
                  <w:tcBorders>
                    <w:tl2br w:val="nil"/>
                    <w:tr2bl w:val="nil"/>
                  </w:tcBorders>
                  <w:shd w:val="clear" w:color="auto" w:fill="auto"/>
                  <w:noWrap w:val="0"/>
                  <w:tcMar>
                    <w:top w:w="0" w:type="dxa"/>
                    <w:left w:w="108" w:type="dxa"/>
                    <w:bottom w:w="0" w:type="dxa"/>
                    <w:right w:w="108" w:type="dxa"/>
                  </w:tcMar>
                  <w:vAlign w:val="center"/>
                </w:tcPr>
                <w:p w14:paraId="2BF0246A">
                  <w:pPr>
                    <w:keepNext w:val="0"/>
                    <w:keepLines w:val="0"/>
                    <w:pageBreakBefore w:val="0"/>
                    <w:widowControl w:val="0"/>
                    <w:kinsoku/>
                    <w:wordWrap/>
                    <w:overflowPunct/>
                    <w:topLinePunct w:val="0"/>
                    <w:bidi w:val="0"/>
                    <w:snapToGrid/>
                    <w:spacing w:line="240" w:lineRule="auto"/>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低毒</w:t>
                  </w:r>
                </w:p>
              </w:tc>
            </w:tr>
            <w:tr w14:paraId="63ED52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858" w:type="dxa"/>
                  <w:tcBorders>
                    <w:tl2br w:val="nil"/>
                    <w:tr2bl w:val="nil"/>
                  </w:tcBorders>
                  <w:shd w:val="clear" w:color="auto" w:fill="auto"/>
                  <w:noWrap w:val="0"/>
                  <w:tcMar>
                    <w:top w:w="0" w:type="dxa"/>
                    <w:left w:w="108" w:type="dxa"/>
                    <w:bottom w:w="0" w:type="dxa"/>
                    <w:right w:w="108" w:type="dxa"/>
                  </w:tcMar>
                  <w:vAlign w:val="center"/>
                </w:tcPr>
                <w:p w14:paraId="36260163">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乳化液</w:t>
                  </w:r>
                </w:p>
              </w:tc>
              <w:tc>
                <w:tcPr>
                  <w:tcW w:w="3124" w:type="dxa"/>
                  <w:tcBorders>
                    <w:tl2br w:val="nil"/>
                    <w:tr2bl w:val="nil"/>
                  </w:tcBorders>
                  <w:shd w:val="clear" w:color="auto" w:fill="auto"/>
                  <w:noWrap w:val="0"/>
                  <w:tcMar>
                    <w:top w:w="0" w:type="dxa"/>
                    <w:left w:w="108" w:type="dxa"/>
                    <w:bottom w:w="0" w:type="dxa"/>
                    <w:right w:w="108" w:type="dxa"/>
                  </w:tcMar>
                  <w:vAlign w:val="center"/>
                </w:tcPr>
                <w:p w14:paraId="2E437D31">
                  <w:pPr>
                    <w:keepNext w:val="0"/>
                    <w:keepLines w:val="0"/>
                    <w:widowControl/>
                    <w:suppressLineNumbers w:val="0"/>
                    <w:jc w:val="both"/>
                    <w:rPr>
                      <w:rFonts w:hint="eastAsia" w:ascii="宋体" w:hAnsi="宋体" w:eastAsia="宋体" w:cs="宋体"/>
                      <w:color w:val="auto"/>
                      <w:kern w:val="0"/>
                      <w:sz w:val="18"/>
                      <w:szCs w:val="18"/>
                      <w:lang w:val="en-US" w:eastAsia="zh-CN" w:bidi="ar"/>
                    </w:rPr>
                  </w:pPr>
                  <w:r>
                    <w:rPr>
                      <w:rFonts w:ascii="宋体" w:hAnsi="宋体" w:eastAsia="宋体" w:cs="宋体"/>
                      <w:color w:val="auto"/>
                      <w:sz w:val="18"/>
                      <w:szCs w:val="18"/>
                    </w:rPr>
                    <w:t>常温下为乳白色、半透明或透明的均匀乳状液（透明度随油相浓度降低、乳化颗粒细化而提升）</w:t>
                  </w:r>
                  <w:r>
                    <w:rPr>
                      <w:rFonts w:hint="eastAsia" w:ascii="宋体" w:hAnsi="宋体" w:eastAsia="宋体" w:cs="宋体"/>
                      <w:color w:val="auto"/>
                      <w:sz w:val="18"/>
                      <w:szCs w:val="18"/>
                      <w:lang w:eastAsia="zh-CN"/>
                    </w:rPr>
                    <w:t>，</w:t>
                  </w:r>
                  <w:r>
                    <w:rPr>
                      <w:rStyle w:val="36"/>
                      <w:rFonts w:hint="default" w:ascii="Times New Roman" w:hAnsi="Times New Roman" w:eastAsia="宋体" w:cs="Times New Roman"/>
                      <w:b w:val="0"/>
                      <w:bCs w:val="0"/>
                      <w:color w:val="auto"/>
                      <w:sz w:val="18"/>
                      <w:szCs w:val="18"/>
                    </w:rPr>
                    <w:t>密度</w:t>
                  </w:r>
                  <w:r>
                    <w:rPr>
                      <w:rFonts w:hint="default" w:ascii="Times New Roman" w:hAnsi="Times New Roman" w:eastAsia="宋体" w:cs="Times New Roman"/>
                      <w:b w:val="0"/>
                      <w:bCs w:val="0"/>
                      <w:color w:val="auto"/>
                      <w:sz w:val="18"/>
                      <w:szCs w:val="18"/>
                    </w:rPr>
                    <w:t>0.99~1.02g/cm³(20℃)</w:t>
                  </w:r>
                  <w:r>
                    <w:rPr>
                      <w:rFonts w:hint="default" w:ascii="Times New Roman" w:hAnsi="Times New Roman" w:eastAsia="宋体" w:cs="Times New Roman"/>
                      <w:b w:val="0"/>
                      <w:bCs w:val="0"/>
                      <w:color w:val="auto"/>
                      <w:sz w:val="18"/>
                      <w:szCs w:val="18"/>
                      <w:lang w:eastAsia="zh-CN"/>
                    </w:rPr>
                    <w:t>，</w:t>
                  </w:r>
                  <w:r>
                    <w:rPr>
                      <w:rStyle w:val="36"/>
                      <w:rFonts w:hint="default" w:ascii="Times New Roman" w:hAnsi="Times New Roman" w:eastAsia="宋体" w:cs="Times New Roman"/>
                      <w:b w:val="0"/>
                      <w:bCs w:val="0"/>
                      <w:color w:val="auto"/>
                      <w:sz w:val="18"/>
                      <w:szCs w:val="18"/>
                    </w:rPr>
                    <w:t>黏度(40℃)</w:t>
                  </w:r>
                  <w:r>
                    <w:rPr>
                      <w:rFonts w:hint="default" w:ascii="Times New Roman" w:hAnsi="Times New Roman" w:eastAsia="宋体" w:cs="Times New Roman"/>
                      <w:b w:val="0"/>
                      <w:bCs w:val="0"/>
                      <w:color w:val="auto"/>
                      <w:sz w:val="18"/>
                      <w:szCs w:val="18"/>
                    </w:rPr>
                    <w:t>2~5mm</w:t>
                  </w:r>
                  <w:r>
                    <w:rPr>
                      <w:rFonts w:hint="eastAsia" w:ascii="Times New Roman" w:hAnsi="Times New Roman" w:eastAsia="宋体" w:cs="Times New Roman"/>
                      <w:b w:val="0"/>
                      <w:bCs w:val="0"/>
                      <w:color w:val="auto"/>
                      <w:sz w:val="18"/>
                      <w:szCs w:val="18"/>
                      <w:vertAlign w:val="superscript"/>
                      <w:lang w:val="en-US" w:eastAsia="zh-CN"/>
                    </w:rPr>
                    <w:t>2</w:t>
                  </w:r>
                  <w:r>
                    <w:rPr>
                      <w:rFonts w:hint="default" w:ascii="Times New Roman" w:hAnsi="Times New Roman" w:eastAsia="宋体" w:cs="Times New Roman"/>
                      <w:b w:val="0"/>
                      <w:bCs w:val="0"/>
                      <w:color w:val="auto"/>
                      <w:sz w:val="18"/>
                      <w:szCs w:val="18"/>
                    </w:rPr>
                    <w:t>/s</w:t>
                  </w:r>
                  <w:r>
                    <w:rPr>
                      <w:rFonts w:hint="default" w:ascii="Times New Roman" w:hAnsi="Times New Roman" w:eastAsia="宋体" w:cs="Times New Roman"/>
                      <w:b w:val="0"/>
                      <w:bCs w:val="0"/>
                      <w:color w:val="auto"/>
                      <w:sz w:val="18"/>
                      <w:szCs w:val="18"/>
                      <w:lang w:eastAsia="zh-CN"/>
                    </w:rPr>
                    <w:t>，</w:t>
                  </w:r>
                  <w:r>
                    <w:rPr>
                      <w:rStyle w:val="36"/>
                      <w:rFonts w:hint="default" w:ascii="Times New Roman" w:hAnsi="Times New Roman" w:eastAsia="宋体" w:cs="Times New Roman"/>
                      <w:b w:val="0"/>
                      <w:bCs w:val="0"/>
                      <w:color w:val="auto"/>
                      <w:sz w:val="18"/>
                      <w:szCs w:val="18"/>
                    </w:rPr>
                    <w:t>含油量(油相浓度)</w:t>
                  </w:r>
                  <w:r>
                    <w:rPr>
                      <w:rFonts w:hint="default" w:ascii="Times New Roman" w:hAnsi="Times New Roman" w:eastAsia="宋体" w:cs="Times New Roman"/>
                      <w:b w:val="0"/>
                      <w:bCs w:val="0"/>
                      <w:color w:val="auto"/>
                      <w:sz w:val="18"/>
                      <w:szCs w:val="18"/>
                    </w:rPr>
                    <w:t>2~5%(质量分数)</w:t>
                  </w:r>
                </w:p>
              </w:tc>
              <w:tc>
                <w:tcPr>
                  <w:tcW w:w="2291" w:type="dxa"/>
                  <w:tcBorders>
                    <w:tl2br w:val="nil"/>
                    <w:tr2bl w:val="nil"/>
                  </w:tcBorders>
                  <w:shd w:val="clear" w:color="auto" w:fill="auto"/>
                  <w:noWrap w:val="0"/>
                  <w:tcMar>
                    <w:top w:w="0" w:type="dxa"/>
                    <w:left w:w="108" w:type="dxa"/>
                    <w:bottom w:w="0" w:type="dxa"/>
                    <w:right w:w="108" w:type="dxa"/>
                  </w:tcMar>
                  <w:vAlign w:val="center"/>
                </w:tcPr>
                <w:p w14:paraId="7F184752">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不燃</w:t>
                  </w:r>
                </w:p>
              </w:tc>
              <w:tc>
                <w:tcPr>
                  <w:tcW w:w="2085" w:type="dxa"/>
                  <w:tcBorders>
                    <w:tl2br w:val="nil"/>
                    <w:tr2bl w:val="nil"/>
                  </w:tcBorders>
                  <w:shd w:val="clear" w:color="auto" w:fill="auto"/>
                  <w:noWrap w:val="0"/>
                  <w:tcMar>
                    <w:top w:w="0" w:type="dxa"/>
                    <w:left w:w="108" w:type="dxa"/>
                    <w:bottom w:w="0" w:type="dxa"/>
                    <w:right w:w="108" w:type="dxa"/>
                  </w:tcMar>
                  <w:vAlign w:val="center"/>
                </w:tcPr>
                <w:p w14:paraId="636D4C27">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低毒</w:t>
                  </w:r>
                </w:p>
              </w:tc>
            </w:tr>
          </w:tbl>
          <w:p w14:paraId="128D40D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jc w:val="both"/>
              <w:textAlignment w:val="auto"/>
              <w:rPr>
                <w:rFonts w:hint="eastAsia" w:cs="Times New Roman"/>
                <w:b/>
                <w:bCs w:val="0"/>
                <w:color w:val="auto"/>
                <w:sz w:val="21"/>
                <w:szCs w:val="21"/>
                <w:highlight w:val="none"/>
                <w:lang w:val="en-US" w:eastAsia="zh-CN"/>
              </w:rPr>
            </w:pPr>
            <w:r>
              <w:rPr>
                <w:rFonts w:hint="eastAsia" w:cs="Times New Roman"/>
                <w:b/>
                <w:bCs w:val="0"/>
                <w:color w:val="auto"/>
                <w:kern w:val="2"/>
                <w:sz w:val="21"/>
                <w:szCs w:val="21"/>
                <w:lang w:val="en-US" w:eastAsia="zh-CN" w:bidi="ar-SA"/>
              </w:rPr>
              <w:t>6</w:t>
            </w:r>
            <w:r>
              <w:rPr>
                <w:rFonts w:hint="eastAsia" w:ascii="Times New Roman" w:hAnsi="Times New Roman" w:eastAsia="宋体" w:cs="Times New Roman"/>
                <w:b/>
                <w:bCs w:val="0"/>
                <w:color w:val="auto"/>
                <w:kern w:val="2"/>
                <w:sz w:val="21"/>
                <w:szCs w:val="21"/>
                <w:lang w:val="en-US" w:eastAsia="zh-CN" w:bidi="ar-SA"/>
              </w:rPr>
              <w:t>、</w:t>
            </w:r>
            <w:r>
              <w:rPr>
                <w:rFonts w:hint="eastAsia" w:cs="Times New Roman"/>
                <w:b/>
                <w:bCs w:val="0"/>
                <w:color w:val="auto"/>
                <w:sz w:val="21"/>
                <w:szCs w:val="21"/>
                <w:highlight w:val="none"/>
                <w:lang w:val="en-US" w:eastAsia="zh-CN"/>
              </w:rPr>
              <w:t>总平面布置</w:t>
            </w:r>
          </w:p>
          <w:p w14:paraId="41F10C06">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both"/>
              <w:textAlignment w:val="auto"/>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按照物流合理、流程顺畅并结合现有场地的现状</w:t>
            </w:r>
            <w:r>
              <w:rPr>
                <w:rFonts w:hint="eastAsia" w:cs="Times New Roman"/>
                <w:bCs/>
                <w:color w:val="auto"/>
                <w:sz w:val="21"/>
                <w:szCs w:val="21"/>
                <w:highlight w:val="none"/>
                <w:lang w:val="en-US" w:eastAsia="zh-CN"/>
              </w:rPr>
              <w:t>进行布置</w:t>
            </w:r>
            <w:r>
              <w:rPr>
                <w:rFonts w:hint="eastAsia" w:ascii="Times New Roman" w:hAnsi="Times New Roman" w:eastAsia="宋体" w:cs="Times New Roman"/>
                <w:bCs/>
                <w:color w:val="auto"/>
                <w:sz w:val="21"/>
                <w:szCs w:val="21"/>
                <w:highlight w:val="none"/>
                <w:lang w:val="en-US" w:eastAsia="zh-CN"/>
              </w:rPr>
              <w:t>。原料和成品从北侧或南侧进出。主要公辅设施贴车间布置。</w:t>
            </w:r>
          </w:p>
          <w:p w14:paraId="001E4CF6">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厂区西</w:t>
            </w:r>
            <w:r>
              <w:rPr>
                <w:rFonts w:hint="eastAsia" w:cs="Times New Roman"/>
                <w:bCs/>
                <w:color w:val="auto"/>
                <w:sz w:val="21"/>
                <w:szCs w:val="21"/>
                <w:highlight w:val="none"/>
                <w:lang w:val="en-US" w:eastAsia="zh-CN"/>
              </w:rPr>
              <w:t>南</w:t>
            </w:r>
            <w:r>
              <w:rPr>
                <w:rFonts w:hint="eastAsia" w:ascii="Times New Roman" w:hAnsi="Times New Roman" w:eastAsia="宋体" w:cs="Times New Roman"/>
                <w:bCs/>
                <w:color w:val="auto"/>
                <w:sz w:val="21"/>
                <w:szCs w:val="21"/>
                <w:highlight w:val="none"/>
                <w:lang w:val="en-US" w:eastAsia="zh-CN"/>
              </w:rPr>
              <w:t>部区域布置有</w:t>
            </w:r>
            <w:r>
              <w:rPr>
                <w:rFonts w:hint="eastAsia" w:cs="Times New Roman"/>
                <w:bCs/>
                <w:color w:val="auto"/>
                <w:sz w:val="21"/>
                <w:szCs w:val="21"/>
                <w:highlight w:val="none"/>
                <w:lang w:val="en-US" w:eastAsia="zh-CN"/>
              </w:rPr>
              <w:t>空压站、污水处理站、危废暂存库、锅炉房</w:t>
            </w:r>
            <w:r>
              <w:rPr>
                <w:rFonts w:hint="eastAsia" w:ascii="Times New Roman" w:hAnsi="Times New Roman" w:eastAsia="宋体" w:cs="Times New Roman"/>
                <w:bCs/>
                <w:color w:val="auto"/>
                <w:sz w:val="21"/>
                <w:szCs w:val="21"/>
                <w:highlight w:val="none"/>
                <w:lang w:val="en-US" w:eastAsia="zh-CN"/>
              </w:rPr>
              <w:t>。</w:t>
            </w:r>
            <w:r>
              <w:rPr>
                <w:rFonts w:hint="eastAsia" w:cs="Times New Roman"/>
                <w:bCs/>
                <w:color w:val="auto"/>
                <w:sz w:val="21"/>
                <w:szCs w:val="21"/>
                <w:highlight w:val="none"/>
                <w:lang w:val="en-US" w:eastAsia="zh-CN"/>
              </w:rPr>
              <w:t>硅钢车间位于厂区东侧，铁芯车间位于厂区西侧。厂区西北侧布置有研发中心、办公楼、变电站。</w:t>
            </w:r>
          </w:p>
          <w:p w14:paraId="3C994771">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both"/>
              <w:textAlignment w:val="auto"/>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硅钢</w:t>
            </w:r>
            <w:r>
              <w:rPr>
                <w:rFonts w:hint="eastAsia" w:ascii="Times New Roman" w:hAnsi="Times New Roman" w:eastAsia="宋体" w:cs="Times New Roman"/>
                <w:bCs/>
                <w:color w:val="auto"/>
                <w:sz w:val="21"/>
                <w:szCs w:val="21"/>
                <w:highlight w:val="none"/>
                <w:lang w:val="en-US" w:eastAsia="zh-CN"/>
              </w:rPr>
              <w:t>车间内部由</w:t>
            </w:r>
            <w:r>
              <w:rPr>
                <w:rFonts w:hint="eastAsia" w:cs="Times New Roman"/>
                <w:bCs/>
                <w:color w:val="auto"/>
                <w:sz w:val="21"/>
                <w:szCs w:val="21"/>
                <w:highlight w:val="none"/>
                <w:lang w:val="en-US" w:eastAsia="zh-CN"/>
              </w:rPr>
              <w:t>北</w:t>
            </w:r>
            <w:r>
              <w:rPr>
                <w:rFonts w:hint="eastAsia" w:ascii="Times New Roman" w:hAnsi="Times New Roman" w:eastAsia="宋体" w:cs="Times New Roman"/>
                <w:bCs/>
                <w:color w:val="auto"/>
                <w:sz w:val="21"/>
                <w:szCs w:val="21"/>
                <w:highlight w:val="none"/>
                <w:lang w:val="en-US" w:eastAsia="zh-CN"/>
              </w:rPr>
              <w:t>向</w:t>
            </w:r>
            <w:r>
              <w:rPr>
                <w:rFonts w:hint="eastAsia" w:cs="Times New Roman"/>
                <w:bCs/>
                <w:color w:val="auto"/>
                <w:sz w:val="21"/>
                <w:szCs w:val="21"/>
                <w:highlight w:val="none"/>
                <w:lang w:val="en-US" w:eastAsia="zh-CN"/>
              </w:rPr>
              <w:t>南</w:t>
            </w:r>
            <w:r>
              <w:rPr>
                <w:rFonts w:hint="eastAsia" w:ascii="Times New Roman" w:hAnsi="Times New Roman" w:eastAsia="宋体" w:cs="Times New Roman"/>
                <w:bCs/>
                <w:color w:val="auto"/>
                <w:sz w:val="21"/>
                <w:szCs w:val="21"/>
                <w:highlight w:val="none"/>
                <w:lang w:val="en-US" w:eastAsia="zh-CN"/>
              </w:rPr>
              <w:t>依次为原料跨、常化酸洗跨、轧制成品跨、DCL-FCL跨、高温退火跨。酸再生站贴建在主车间</w:t>
            </w:r>
            <w:r>
              <w:rPr>
                <w:rFonts w:hint="eastAsia" w:cs="Times New Roman"/>
                <w:bCs/>
                <w:color w:val="auto"/>
                <w:sz w:val="21"/>
                <w:szCs w:val="21"/>
                <w:highlight w:val="none"/>
                <w:lang w:val="en-US" w:eastAsia="zh-CN"/>
              </w:rPr>
              <w:t>东南侧</w:t>
            </w:r>
            <w:r>
              <w:rPr>
                <w:rFonts w:hint="eastAsia" w:ascii="Times New Roman" w:hAnsi="Times New Roman" w:eastAsia="宋体" w:cs="Times New Roman"/>
                <w:bCs/>
                <w:color w:val="auto"/>
                <w:sz w:val="21"/>
                <w:szCs w:val="21"/>
                <w:highlight w:val="none"/>
                <w:lang w:val="en-US" w:eastAsia="zh-CN"/>
              </w:rPr>
              <w:t>。</w:t>
            </w:r>
          </w:p>
          <w:p w14:paraId="735EEA2A">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both"/>
              <w:textAlignment w:val="auto"/>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本设计各建构筑物之间的间距设置均遵照《建筑设计防火规范》(GB50016-2022)的规定要求，满足安全、卫生、防火以及施工要求。在厂区内设有可供消防用的环形通道，通道宽度不小于4m，净空不小于5m，本工程消防工作由全厂统一考虑。本区内设计不考虑消防车及车库和人员的配备。为减少工厂烟尘对环境的污染，减少噪声的影响，美化厂容，改善厂区生产环境，在厂区道路沿线地带植树、在埋设管线的地面和零散地段种植草皮、花卉。</w:t>
            </w:r>
          </w:p>
          <w:p w14:paraId="5B3F9B3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eastAsia="宋体" w:cs="Times New Roman"/>
                <w:bCs/>
                <w:color w:val="auto"/>
                <w:sz w:val="21"/>
                <w:szCs w:val="21"/>
                <w:highlight w:val="none"/>
                <w:lang w:val="en-US" w:eastAsia="zh-CN"/>
              </w:rPr>
            </w:pPr>
            <w:r>
              <w:rPr>
                <w:rFonts w:hint="eastAsia" w:eastAsia="宋体" w:cs="Times New Roman"/>
                <w:bCs/>
                <w:color w:val="auto"/>
                <w:sz w:val="21"/>
                <w:szCs w:val="21"/>
                <w:highlight w:val="none"/>
                <w:lang w:val="en-US" w:eastAsia="zh-CN"/>
              </w:rPr>
              <w:t>本项目</w:t>
            </w:r>
            <w:r>
              <w:rPr>
                <w:rFonts w:hint="eastAsia" w:cs="Times New Roman"/>
                <w:bCs/>
                <w:color w:val="auto"/>
                <w:sz w:val="21"/>
                <w:szCs w:val="21"/>
                <w:highlight w:val="none"/>
                <w:lang w:val="en-US" w:eastAsia="zh-CN"/>
              </w:rPr>
              <w:t>厂区</w:t>
            </w:r>
            <w:r>
              <w:rPr>
                <w:rFonts w:hint="eastAsia" w:eastAsia="宋体" w:cs="Times New Roman"/>
                <w:bCs/>
                <w:color w:val="auto"/>
                <w:sz w:val="21"/>
                <w:szCs w:val="21"/>
                <w:highlight w:val="none"/>
                <w:lang w:val="en-US" w:eastAsia="zh-CN"/>
              </w:rPr>
              <w:t>平面布局图</w:t>
            </w:r>
            <w:r>
              <w:rPr>
                <w:rFonts w:hint="eastAsia" w:cs="Times New Roman"/>
                <w:bCs/>
                <w:color w:val="auto"/>
                <w:sz w:val="21"/>
                <w:szCs w:val="21"/>
                <w:highlight w:val="none"/>
                <w:lang w:val="en-US" w:eastAsia="zh-CN"/>
              </w:rPr>
              <w:t>和硅钢车间布局图</w:t>
            </w:r>
            <w:r>
              <w:rPr>
                <w:rFonts w:hint="eastAsia" w:eastAsia="宋体" w:cs="Times New Roman"/>
                <w:bCs/>
                <w:color w:val="auto"/>
                <w:sz w:val="21"/>
                <w:szCs w:val="21"/>
                <w:highlight w:val="none"/>
                <w:lang w:val="en-US" w:eastAsia="zh-CN"/>
              </w:rPr>
              <w:t>见</w:t>
            </w:r>
            <w:r>
              <w:rPr>
                <w:rFonts w:hint="eastAsia" w:cs="Times New Roman"/>
                <w:bCs/>
                <w:color w:val="auto"/>
                <w:sz w:val="21"/>
                <w:szCs w:val="21"/>
                <w:highlight w:val="none"/>
                <w:lang w:val="en-US" w:eastAsia="zh-CN"/>
              </w:rPr>
              <w:t>附图3和附图4</w:t>
            </w:r>
            <w:r>
              <w:rPr>
                <w:rFonts w:hint="eastAsia" w:eastAsia="宋体" w:cs="Times New Roman"/>
                <w:bCs/>
                <w:color w:val="auto"/>
                <w:sz w:val="21"/>
                <w:szCs w:val="21"/>
                <w:highlight w:val="none"/>
                <w:lang w:val="en-US" w:eastAsia="zh-CN"/>
              </w:rPr>
              <w:t>。</w:t>
            </w:r>
          </w:p>
          <w:p w14:paraId="2022045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jc w:val="both"/>
              <w:textAlignment w:val="auto"/>
              <w:rPr>
                <w:rFonts w:hint="default" w:cs="Times New Roman"/>
                <w:b/>
                <w:bCs w:val="0"/>
                <w:color w:val="auto"/>
                <w:sz w:val="21"/>
                <w:szCs w:val="21"/>
                <w:highlight w:val="none"/>
                <w:lang w:val="en-US" w:eastAsia="zh-CN"/>
              </w:rPr>
            </w:pPr>
            <w:r>
              <w:rPr>
                <w:rFonts w:hint="eastAsia" w:cs="Times New Roman"/>
                <w:b/>
                <w:bCs w:val="0"/>
                <w:color w:val="auto"/>
                <w:sz w:val="21"/>
                <w:szCs w:val="21"/>
                <w:highlight w:val="none"/>
                <w:lang w:val="en-US" w:eastAsia="zh-CN"/>
              </w:rPr>
              <w:t>7、公用工程</w:t>
            </w:r>
          </w:p>
          <w:p w14:paraId="3F120E60">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22" w:firstLineChars="200"/>
              <w:jc w:val="both"/>
              <w:textAlignment w:val="auto"/>
              <w:rPr>
                <w:rFonts w:hint="default" w:ascii="Times New Roman" w:hAnsi="Times New Roman" w:eastAsia="宋体" w:cs="Times New Roman"/>
                <w:b/>
                <w:bCs w:val="0"/>
                <w:color w:val="auto"/>
                <w:sz w:val="21"/>
                <w:szCs w:val="21"/>
                <w:highlight w:val="none"/>
                <w:lang w:val="en-US" w:eastAsia="zh-CN"/>
              </w:rPr>
            </w:pPr>
            <w:r>
              <w:rPr>
                <w:rFonts w:hint="eastAsia" w:cs="Times New Roman"/>
                <w:b/>
                <w:bCs w:val="0"/>
                <w:color w:val="auto"/>
                <w:sz w:val="21"/>
                <w:szCs w:val="21"/>
                <w:highlight w:val="none"/>
                <w:lang w:val="en-US" w:eastAsia="zh-CN"/>
              </w:rPr>
              <w:t>（1）</w:t>
            </w:r>
            <w:r>
              <w:rPr>
                <w:rFonts w:hint="default" w:ascii="Times New Roman" w:hAnsi="Times New Roman" w:eastAsia="宋体" w:cs="Times New Roman"/>
                <w:b/>
                <w:bCs w:val="0"/>
                <w:color w:val="auto"/>
                <w:sz w:val="21"/>
                <w:szCs w:val="21"/>
                <w:highlight w:val="none"/>
                <w:lang w:val="en-US" w:eastAsia="zh-CN"/>
              </w:rPr>
              <w:t>给</w:t>
            </w:r>
            <w:r>
              <w:rPr>
                <w:rFonts w:hint="eastAsia" w:cs="Times New Roman"/>
                <w:b/>
                <w:bCs w:val="0"/>
                <w:color w:val="auto"/>
                <w:sz w:val="21"/>
                <w:szCs w:val="21"/>
                <w:highlight w:val="none"/>
                <w:lang w:val="en-US" w:eastAsia="zh-CN"/>
              </w:rPr>
              <w:t>水</w:t>
            </w:r>
          </w:p>
          <w:p w14:paraId="2766D996">
            <w:pPr>
              <w:spacing w:line="360" w:lineRule="auto"/>
              <w:ind w:firstLine="420" w:firstLineChars="200"/>
              <w:rPr>
                <w:rFonts w:hint="eastAsia" w:ascii="Times New Roman" w:hAnsi="Times New Roman" w:eastAsia="宋体" w:cs="Times New Roman"/>
                <w:bCs/>
                <w:color w:val="auto"/>
                <w:lang w:eastAsia="zh-CN"/>
              </w:rPr>
            </w:pPr>
            <w:r>
              <w:rPr>
                <w:rFonts w:hint="default" w:ascii="Times New Roman" w:hAnsi="Times New Roman" w:cs="Times New Roman"/>
                <w:bCs/>
                <w:color w:val="auto"/>
              </w:rPr>
              <w:t>本项目用水环节主要为</w:t>
            </w:r>
            <w:r>
              <w:rPr>
                <w:rFonts w:hint="eastAsia" w:ascii="Times New Roman" w:hAnsi="Times New Roman" w:cs="Times New Roman"/>
                <w:bCs/>
                <w:color w:val="auto"/>
                <w:lang w:val="en-US" w:eastAsia="zh-CN"/>
              </w:rPr>
              <w:t>盐酸</w:t>
            </w:r>
            <w:r>
              <w:rPr>
                <w:rFonts w:hint="eastAsia" w:cs="Times New Roman"/>
                <w:bCs/>
                <w:color w:val="auto"/>
                <w:lang w:val="en-US" w:eastAsia="zh-CN"/>
              </w:rPr>
              <w:t>酸洗液配制用水</w:t>
            </w:r>
            <w:r>
              <w:rPr>
                <w:rFonts w:hint="default" w:ascii="Times New Roman" w:hAnsi="Times New Roman" w:cs="Times New Roman"/>
                <w:bCs/>
                <w:color w:val="auto"/>
              </w:rPr>
              <w:t>、</w:t>
            </w:r>
            <w:r>
              <w:rPr>
                <w:rFonts w:hint="eastAsia" w:cs="Times New Roman"/>
                <w:bCs/>
                <w:color w:val="auto"/>
                <w:lang w:val="en-US" w:eastAsia="zh-CN"/>
              </w:rPr>
              <w:t>酸洗后漂洗用水、乳化液配制用水、碱洗液配制用水、碱洗后水洗用水、硫酸酸洗液配制用水、硫酸酸洗后漂洗用水、</w:t>
            </w:r>
            <w:r>
              <w:rPr>
                <w:rFonts w:hint="default" w:ascii="Times New Roman" w:hAnsi="Times New Roman" w:cs="Times New Roman"/>
                <w:bCs/>
                <w:color w:val="auto"/>
              </w:rPr>
              <w:t>锅炉补水、</w:t>
            </w:r>
            <w:r>
              <w:rPr>
                <w:rFonts w:hint="eastAsia" w:cs="Times New Roman"/>
                <w:bCs/>
                <w:color w:val="auto"/>
                <w:lang w:val="en-US" w:eastAsia="zh-CN"/>
              </w:rPr>
              <w:t>带钢喷淋冷却清洗用水、MgO涂层配制用水、净</w:t>
            </w:r>
            <w:r>
              <w:rPr>
                <w:rFonts w:hint="default" w:ascii="Times New Roman" w:hAnsi="Times New Roman" w:cs="Times New Roman"/>
                <w:bCs/>
                <w:color w:val="auto"/>
              </w:rPr>
              <w:t>循环水系统补水、</w:t>
            </w:r>
            <w:r>
              <w:rPr>
                <w:rFonts w:hint="eastAsia" w:cs="Times New Roman"/>
                <w:bCs/>
                <w:color w:val="auto"/>
                <w:lang w:val="en-US" w:eastAsia="zh-CN"/>
              </w:rPr>
              <w:t>脱盐水</w:t>
            </w:r>
            <w:r>
              <w:rPr>
                <w:rFonts w:hint="default" w:ascii="Times New Roman" w:hAnsi="Times New Roman" w:cs="Times New Roman"/>
                <w:bCs/>
                <w:color w:val="auto"/>
              </w:rPr>
              <w:t>制备用水、喷淋塔用水</w:t>
            </w:r>
            <w:r>
              <w:rPr>
                <w:rFonts w:hint="eastAsia" w:cs="Times New Roman"/>
                <w:bCs/>
                <w:color w:val="auto"/>
                <w:lang w:eastAsia="zh-CN"/>
              </w:rPr>
              <w:t>、</w:t>
            </w:r>
            <w:r>
              <w:rPr>
                <w:rFonts w:hint="eastAsia" w:cs="Times New Roman"/>
                <w:bCs/>
                <w:color w:val="auto"/>
                <w:lang w:val="en-US" w:eastAsia="zh-CN"/>
              </w:rPr>
              <w:t>化验室用水、车间地面清洁用水</w:t>
            </w:r>
            <w:r>
              <w:rPr>
                <w:rFonts w:hint="default" w:ascii="Times New Roman" w:hAnsi="Times New Roman" w:cs="Times New Roman"/>
                <w:bCs/>
                <w:color w:val="auto"/>
              </w:rPr>
              <w:t>和生活用水。新鲜水由</w:t>
            </w:r>
            <w:r>
              <w:rPr>
                <w:rFonts w:hint="eastAsia" w:cs="Times New Roman"/>
                <w:bCs/>
                <w:color w:val="auto"/>
                <w:lang w:val="en-US" w:eastAsia="zh-CN"/>
              </w:rPr>
              <w:t>园区</w:t>
            </w:r>
            <w:r>
              <w:rPr>
                <w:rFonts w:hint="default" w:ascii="Times New Roman" w:hAnsi="Times New Roman" w:cs="Times New Roman"/>
                <w:bCs/>
                <w:color w:val="auto"/>
              </w:rPr>
              <w:t>供水管网提供</w:t>
            </w:r>
            <w:r>
              <w:rPr>
                <w:rFonts w:hint="eastAsia" w:cs="Times New Roman"/>
                <w:bCs/>
                <w:color w:val="auto"/>
                <w:lang w:eastAsia="zh-CN"/>
              </w:rPr>
              <w:t>。</w:t>
            </w:r>
          </w:p>
          <w:p w14:paraId="3F085055">
            <w:pPr>
              <w:spacing w:line="360" w:lineRule="auto"/>
              <w:ind w:firstLine="420" w:firstLineChars="200"/>
              <w:rPr>
                <w:rFonts w:hint="default" w:ascii="Times New Roman" w:hAnsi="Times New Roman" w:eastAsia="宋体" w:cs="Times New Roman"/>
                <w:bCs/>
                <w:color w:val="auto"/>
                <w:lang w:val="en-US" w:eastAsia="zh-CN"/>
              </w:rPr>
            </w:pPr>
            <w:r>
              <w:rPr>
                <w:rFonts w:hint="eastAsia" w:cs="Times New Roman"/>
                <w:bCs/>
                <w:color w:val="auto"/>
                <w:lang w:val="en-US" w:eastAsia="zh-CN"/>
              </w:rPr>
              <w:t>①盐酸酸洗液配制用水</w:t>
            </w:r>
          </w:p>
          <w:p w14:paraId="790956E2">
            <w:pPr>
              <w:spacing w:line="360" w:lineRule="auto"/>
              <w:ind w:firstLine="420" w:firstLineChars="200"/>
              <w:rPr>
                <w:rFonts w:hint="default" w:cs="Times New Roman"/>
                <w:bCs/>
                <w:color w:val="auto"/>
                <w:lang w:val="en-US" w:eastAsia="zh-CN"/>
              </w:rPr>
            </w:pPr>
            <w:r>
              <w:rPr>
                <w:rFonts w:hint="eastAsia" w:cs="Times New Roman"/>
                <w:bCs/>
                <w:color w:val="auto"/>
                <w:lang w:val="en-US" w:eastAsia="zh-CN"/>
              </w:rPr>
              <w:t>本项目盐酸酸洗液年用量约为6000t/a，浓度为18%左右，一部分使用外购31%盐酸新酸+脱盐水配制而成，大部分来自本项目新建的废酸再生装置得到的18%的再生酸，在酸洗过程中部分水分随带钢带出，部分蒸发，需定期补充，补充量约为1217.81</w:t>
            </w:r>
            <w:r>
              <w:rPr>
                <w:rFonts w:hint="default" w:cs="Times New Roman"/>
                <w:bCs/>
                <w:color w:val="auto"/>
                <w:lang w:val="en-US" w:eastAsia="zh-CN"/>
              </w:rPr>
              <w:t>m</w:t>
            </w:r>
            <w:r>
              <w:rPr>
                <w:rFonts w:hint="default" w:cs="Times New Roman"/>
                <w:bCs/>
                <w:color w:val="auto"/>
                <w:vertAlign w:val="superscript"/>
                <w:lang w:val="en-US" w:eastAsia="zh-CN"/>
              </w:rPr>
              <w:t>3</w:t>
            </w:r>
            <w:r>
              <w:rPr>
                <w:rFonts w:hint="default" w:cs="Times New Roman"/>
                <w:bCs/>
                <w:color w:val="auto"/>
                <w:lang w:val="en-US" w:eastAsia="zh-CN"/>
              </w:rPr>
              <w:t>/</w:t>
            </w:r>
            <w:r>
              <w:rPr>
                <w:rFonts w:hint="eastAsia" w:cs="Times New Roman"/>
                <w:bCs/>
                <w:color w:val="auto"/>
                <w:lang w:val="en-US" w:eastAsia="zh-CN"/>
              </w:rPr>
              <w:t>a。</w:t>
            </w:r>
          </w:p>
          <w:p w14:paraId="4840C013">
            <w:pPr>
              <w:spacing w:line="360" w:lineRule="auto"/>
              <w:ind w:firstLine="420" w:firstLineChars="200"/>
              <w:rPr>
                <w:rFonts w:hint="eastAsia" w:cs="Times New Roman"/>
                <w:bCs/>
                <w:color w:val="auto"/>
                <w:lang w:val="en-US" w:eastAsia="zh-CN"/>
              </w:rPr>
            </w:pPr>
            <w:r>
              <w:rPr>
                <w:rFonts w:hint="eastAsia" w:cs="Times New Roman"/>
                <w:bCs/>
                <w:color w:val="auto"/>
                <w:lang w:val="en-US" w:eastAsia="zh-CN"/>
              </w:rPr>
              <w:t>②盐酸酸洗后漂洗用水</w:t>
            </w:r>
          </w:p>
          <w:p w14:paraId="4F0754E3">
            <w:pPr>
              <w:spacing w:line="360" w:lineRule="auto"/>
              <w:ind w:firstLine="420" w:firstLineChars="200"/>
              <w:rPr>
                <w:rFonts w:hint="eastAsia" w:cs="Times New Roman"/>
                <w:bCs/>
                <w:color w:val="auto"/>
                <w:lang w:val="en-US" w:eastAsia="zh-CN"/>
              </w:rPr>
            </w:pPr>
            <w:r>
              <w:rPr>
                <w:rFonts w:hint="eastAsia" w:cs="Times New Roman"/>
                <w:bCs/>
                <w:color w:val="auto"/>
                <w:lang w:val="en-US" w:eastAsia="zh-CN"/>
              </w:rPr>
              <w:t>带钢</w:t>
            </w:r>
            <w:r>
              <w:rPr>
                <w:rFonts w:hint="default" w:cs="Times New Roman"/>
                <w:bCs/>
                <w:color w:val="auto"/>
                <w:lang w:val="en-US" w:eastAsia="zh-CN"/>
              </w:rPr>
              <w:t>经盐酸酸洗后进行逆流漂洗，即后道清洗水作为前道清洗水的补水，以减少水资源的消耗和废水产生量，去除残留的酸类，根据设计资料，盐酸漂洗溢流水量为</w:t>
            </w:r>
            <w:r>
              <w:rPr>
                <w:rFonts w:hint="eastAsia" w:cs="Times New Roman"/>
                <w:bCs/>
                <w:color w:val="auto"/>
                <w:lang w:val="en-US" w:eastAsia="zh-CN"/>
              </w:rPr>
              <w:t>5</w:t>
            </w:r>
            <w:r>
              <w:rPr>
                <w:rFonts w:hint="default" w:cs="Times New Roman"/>
                <w:bCs/>
                <w:color w:val="auto"/>
                <w:lang w:val="en-US" w:eastAsia="zh-CN"/>
              </w:rPr>
              <w:t>m</w:t>
            </w:r>
            <w:r>
              <w:rPr>
                <w:rFonts w:hint="default" w:cs="Times New Roman"/>
                <w:bCs/>
                <w:color w:val="auto"/>
                <w:vertAlign w:val="superscript"/>
                <w:lang w:val="en-US" w:eastAsia="zh-CN"/>
              </w:rPr>
              <w:t>3</w:t>
            </w:r>
            <w:r>
              <w:rPr>
                <w:rFonts w:hint="default" w:cs="Times New Roman"/>
                <w:bCs/>
                <w:color w:val="auto"/>
                <w:lang w:val="en-US" w:eastAsia="zh-CN"/>
              </w:rPr>
              <w:t>/h，</w:t>
            </w:r>
            <w:r>
              <w:rPr>
                <w:rFonts w:hint="eastAsia" w:cs="Times New Roman"/>
                <w:bCs/>
                <w:color w:val="auto"/>
                <w:lang w:val="en-US" w:eastAsia="zh-CN"/>
              </w:rPr>
              <w:t>35000</w:t>
            </w:r>
            <w:r>
              <w:rPr>
                <w:rFonts w:hint="default" w:cs="Times New Roman"/>
                <w:bCs/>
                <w:color w:val="auto"/>
                <w:lang w:val="en-US" w:eastAsia="zh-CN"/>
              </w:rPr>
              <w:t>m</w:t>
            </w:r>
            <w:r>
              <w:rPr>
                <w:rFonts w:hint="default" w:cs="Times New Roman"/>
                <w:bCs/>
                <w:color w:val="auto"/>
                <w:vertAlign w:val="superscript"/>
                <w:lang w:val="en-US" w:eastAsia="zh-CN"/>
              </w:rPr>
              <w:t>3</w:t>
            </w:r>
            <w:r>
              <w:rPr>
                <w:rFonts w:hint="default" w:cs="Times New Roman"/>
                <w:bCs/>
                <w:color w:val="auto"/>
                <w:lang w:val="en-US" w:eastAsia="zh-CN"/>
              </w:rPr>
              <w:t>/</w:t>
            </w:r>
            <w:r>
              <w:rPr>
                <w:rFonts w:hint="eastAsia" w:cs="Times New Roman"/>
                <w:bCs/>
                <w:color w:val="auto"/>
                <w:lang w:val="en-US" w:eastAsia="zh-CN"/>
              </w:rPr>
              <w:t>a，采用脱盐水。</w:t>
            </w:r>
          </w:p>
          <w:p w14:paraId="43312214">
            <w:pPr>
              <w:spacing w:line="360" w:lineRule="auto"/>
              <w:ind w:firstLine="420" w:firstLineChars="200"/>
              <w:rPr>
                <w:rFonts w:hint="eastAsia" w:cs="Times New Roman"/>
                <w:bCs/>
                <w:color w:val="auto"/>
                <w:lang w:val="en-US" w:eastAsia="zh-CN"/>
              </w:rPr>
            </w:pPr>
            <w:r>
              <w:rPr>
                <w:rFonts w:hint="eastAsia" w:cs="Times New Roman"/>
                <w:bCs/>
                <w:color w:val="auto"/>
                <w:lang w:val="en-US" w:eastAsia="zh-CN"/>
              </w:rPr>
              <w:t>③碱洗液配制用水</w:t>
            </w:r>
          </w:p>
          <w:p w14:paraId="7D139FB9">
            <w:pPr>
              <w:spacing w:line="360" w:lineRule="auto"/>
              <w:ind w:firstLine="420" w:firstLineChars="200"/>
              <w:rPr>
                <w:rFonts w:hint="default" w:cs="Times New Roman"/>
                <w:bCs/>
                <w:color w:val="auto"/>
                <w:lang w:val="en-US" w:eastAsia="zh-CN"/>
              </w:rPr>
            </w:pPr>
            <w:r>
              <w:rPr>
                <w:rFonts w:hint="eastAsia" w:cs="Times New Roman"/>
                <w:bCs/>
                <w:color w:val="auto"/>
                <w:lang w:val="en-US" w:eastAsia="zh-CN"/>
              </w:rPr>
              <w:t>本项目碱洗液浓度为3%~6%（本次按照平均4.5%计算），使用碱粉+脱盐水配制而成，碱粉年用量为200t/a，则脱盐水用量为4244.44t/a。在碱洗过程中部分水分随带钢带出，部分蒸发，需定期补充。碱洗液定期更换，本次按照全部更换计算。</w:t>
            </w:r>
          </w:p>
          <w:p w14:paraId="606E077B">
            <w:pPr>
              <w:spacing w:line="360" w:lineRule="auto"/>
              <w:ind w:firstLine="420" w:firstLineChars="200"/>
              <w:rPr>
                <w:rFonts w:hint="eastAsia" w:cs="Times New Roman"/>
                <w:bCs/>
                <w:color w:val="auto"/>
                <w:lang w:val="en-US" w:eastAsia="zh-CN"/>
              </w:rPr>
            </w:pPr>
            <w:r>
              <w:rPr>
                <w:rFonts w:hint="eastAsia" w:cs="Times New Roman"/>
                <w:bCs/>
                <w:color w:val="auto"/>
                <w:lang w:val="en-US" w:eastAsia="zh-CN"/>
              </w:rPr>
              <w:t>④碱洗后水洗用水</w:t>
            </w:r>
          </w:p>
          <w:p w14:paraId="0AF730BF">
            <w:pPr>
              <w:spacing w:line="360" w:lineRule="auto"/>
              <w:ind w:firstLine="420" w:firstLineChars="200"/>
              <w:rPr>
                <w:rFonts w:hint="eastAsia" w:cs="Times New Roman"/>
                <w:bCs/>
                <w:color w:val="auto"/>
                <w:lang w:val="en-US" w:eastAsia="zh-CN"/>
              </w:rPr>
            </w:pPr>
            <w:r>
              <w:rPr>
                <w:rFonts w:hint="default" w:cs="Times New Roman"/>
                <w:bCs/>
                <w:color w:val="auto"/>
                <w:lang w:val="en-US" w:eastAsia="zh-CN"/>
              </w:rPr>
              <w:t>根据设计资料，</w:t>
            </w:r>
            <w:r>
              <w:rPr>
                <w:rFonts w:hint="eastAsia" w:cs="Times New Roman"/>
                <w:bCs/>
                <w:color w:val="auto"/>
                <w:lang w:val="en-US" w:eastAsia="zh-CN"/>
              </w:rPr>
              <w:t>碱洗后水洗水用</w:t>
            </w:r>
            <w:r>
              <w:rPr>
                <w:rFonts w:hint="default" w:cs="Times New Roman"/>
                <w:bCs/>
                <w:color w:val="auto"/>
                <w:lang w:val="en-US" w:eastAsia="zh-CN"/>
              </w:rPr>
              <w:t>量为</w:t>
            </w:r>
            <w:r>
              <w:rPr>
                <w:rFonts w:hint="eastAsia" w:cs="Times New Roman"/>
                <w:bCs/>
                <w:color w:val="auto"/>
                <w:lang w:val="en-US" w:eastAsia="zh-CN"/>
              </w:rPr>
              <w:t>4</w:t>
            </w:r>
            <w:r>
              <w:rPr>
                <w:rFonts w:hint="default" w:cs="Times New Roman"/>
                <w:bCs/>
                <w:color w:val="auto"/>
                <w:lang w:val="en-US" w:eastAsia="zh-CN"/>
              </w:rPr>
              <w:t>m</w:t>
            </w:r>
            <w:r>
              <w:rPr>
                <w:rFonts w:hint="default" w:cs="Times New Roman"/>
                <w:bCs/>
                <w:color w:val="auto"/>
                <w:vertAlign w:val="superscript"/>
                <w:lang w:val="en-US" w:eastAsia="zh-CN"/>
              </w:rPr>
              <w:t>3</w:t>
            </w:r>
            <w:r>
              <w:rPr>
                <w:rFonts w:hint="default" w:cs="Times New Roman"/>
                <w:bCs/>
                <w:color w:val="auto"/>
                <w:lang w:val="en-US" w:eastAsia="zh-CN"/>
              </w:rPr>
              <w:t>/h</w:t>
            </w:r>
            <w:r>
              <w:rPr>
                <w:rFonts w:hint="eastAsia"/>
                <w:color w:val="auto"/>
                <w:lang w:eastAsia="zh-CN"/>
              </w:rPr>
              <w:t>，</w:t>
            </w:r>
            <w:r>
              <w:rPr>
                <w:rFonts w:hint="eastAsia" w:cs="Times New Roman"/>
                <w:bCs/>
                <w:color w:val="auto"/>
                <w:lang w:val="en-US" w:eastAsia="zh-CN"/>
              </w:rPr>
              <w:t>28000</w:t>
            </w:r>
            <w:r>
              <w:rPr>
                <w:rFonts w:hint="default" w:cs="Times New Roman"/>
                <w:bCs/>
                <w:color w:val="auto"/>
                <w:lang w:val="en-US" w:eastAsia="zh-CN"/>
              </w:rPr>
              <w:t>m</w:t>
            </w:r>
            <w:r>
              <w:rPr>
                <w:rFonts w:hint="default" w:cs="Times New Roman"/>
                <w:bCs/>
                <w:color w:val="auto"/>
                <w:vertAlign w:val="superscript"/>
                <w:lang w:val="en-US" w:eastAsia="zh-CN"/>
              </w:rPr>
              <w:t>3</w:t>
            </w:r>
            <w:r>
              <w:rPr>
                <w:rFonts w:hint="default" w:cs="Times New Roman"/>
                <w:bCs/>
                <w:color w:val="auto"/>
                <w:lang w:val="en-US" w:eastAsia="zh-CN"/>
              </w:rPr>
              <w:t>/d</w:t>
            </w:r>
            <w:r>
              <w:rPr>
                <w:rFonts w:hint="eastAsia" w:cs="Times New Roman"/>
                <w:bCs/>
                <w:color w:val="auto"/>
                <w:lang w:val="en-US" w:eastAsia="zh-CN"/>
              </w:rPr>
              <w:t>，采用脱盐水。</w:t>
            </w:r>
          </w:p>
          <w:p w14:paraId="04E10899">
            <w:pPr>
              <w:spacing w:line="360" w:lineRule="auto"/>
              <w:ind w:firstLine="420" w:firstLineChars="200"/>
              <w:rPr>
                <w:rFonts w:hint="default" w:ascii="Times New Roman" w:hAnsi="Times New Roman" w:eastAsia="宋体" w:cs="Times New Roman"/>
                <w:bCs/>
                <w:color w:val="auto"/>
                <w:lang w:val="en-US" w:eastAsia="zh-CN"/>
              </w:rPr>
            </w:pPr>
            <w:r>
              <w:rPr>
                <w:rFonts w:hint="eastAsia" w:cs="Times New Roman"/>
                <w:bCs/>
                <w:color w:val="auto"/>
                <w:lang w:val="en-US" w:eastAsia="zh-CN"/>
              </w:rPr>
              <w:t>⑤硫酸酸洗液配制用水</w:t>
            </w:r>
          </w:p>
          <w:p w14:paraId="716AD4B6">
            <w:pPr>
              <w:spacing w:line="360" w:lineRule="auto"/>
              <w:ind w:firstLine="420" w:firstLineChars="200"/>
              <w:rPr>
                <w:rFonts w:hint="default" w:cs="Times New Roman"/>
                <w:bCs/>
                <w:color w:val="auto"/>
                <w:lang w:val="en-US" w:eastAsia="zh-CN"/>
              </w:rPr>
            </w:pPr>
            <w:r>
              <w:rPr>
                <w:rFonts w:hint="eastAsia" w:cs="Times New Roman"/>
                <w:bCs/>
                <w:color w:val="auto"/>
                <w:lang w:val="en-US" w:eastAsia="zh-CN"/>
              </w:rPr>
              <w:t>本项目硫酸酸洗液浓度为3%~18%（本次按照平均10.5%计算），使用98%硫酸+脱盐水配制而成，根据设计资料，在酸洗过程中部分水分（3%）随带钢带出，部分蒸发，需定期补充。酸洗液定期更换，本次按照全部更换计算。</w:t>
            </w:r>
          </w:p>
          <w:p w14:paraId="0B16E49D">
            <w:pPr>
              <w:spacing w:line="360" w:lineRule="auto"/>
              <w:ind w:firstLine="420" w:firstLineChars="200"/>
              <w:rPr>
                <w:rFonts w:hint="eastAsia" w:cs="Times New Roman"/>
                <w:bCs/>
                <w:color w:val="auto"/>
                <w:lang w:val="en-US" w:eastAsia="zh-CN"/>
              </w:rPr>
            </w:pPr>
            <w:r>
              <w:rPr>
                <w:rFonts w:hint="eastAsia" w:cs="Times New Roman"/>
                <w:bCs/>
                <w:color w:val="auto"/>
                <w:lang w:val="en-US" w:eastAsia="zh-CN"/>
              </w:rPr>
              <w:t>⑥硫酸酸洗后漂洗用水</w:t>
            </w:r>
          </w:p>
          <w:p w14:paraId="18323C02">
            <w:pPr>
              <w:spacing w:line="360" w:lineRule="auto"/>
              <w:ind w:firstLine="420" w:firstLineChars="200"/>
              <w:rPr>
                <w:rFonts w:hint="eastAsia" w:cs="Times New Roman"/>
                <w:bCs/>
                <w:color w:val="auto"/>
                <w:lang w:val="en-US" w:eastAsia="zh-CN"/>
              </w:rPr>
            </w:pPr>
            <w:r>
              <w:rPr>
                <w:rFonts w:hint="eastAsia" w:cs="Times New Roman"/>
                <w:bCs/>
                <w:color w:val="auto"/>
                <w:lang w:val="en-US" w:eastAsia="zh-CN"/>
              </w:rPr>
              <w:t>带钢</w:t>
            </w:r>
            <w:r>
              <w:rPr>
                <w:rFonts w:hint="default" w:cs="Times New Roman"/>
                <w:bCs/>
                <w:color w:val="auto"/>
                <w:lang w:val="en-US" w:eastAsia="zh-CN"/>
              </w:rPr>
              <w:t>经</w:t>
            </w:r>
            <w:r>
              <w:rPr>
                <w:rFonts w:hint="eastAsia" w:cs="Times New Roman"/>
                <w:bCs/>
                <w:color w:val="auto"/>
                <w:lang w:val="en-US" w:eastAsia="zh-CN"/>
              </w:rPr>
              <w:t>硫酸</w:t>
            </w:r>
            <w:r>
              <w:rPr>
                <w:rFonts w:hint="default" w:cs="Times New Roman"/>
                <w:bCs/>
                <w:color w:val="auto"/>
                <w:lang w:val="en-US" w:eastAsia="zh-CN"/>
              </w:rPr>
              <w:t>酸洗后进行逆流漂洗，即后道清洗水作为前道清洗水的补水，以减少水资源的消耗和废水产生量，去除残留的酸类，根据设计资料，水量为</w:t>
            </w:r>
            <w:r>
              <w:rPr>
                <w:rFonts w:hint="eastAsia" w:cs="Times New Roman"/>
                <w:bCs/>
                <w:color w:val="auto"/>
                <w:lang w:val="en-US" w:eastAsia="zh-CN"/>
              </w:rPr>
              <w:t>5</w:t>
            </w:r>
            <w:r>
              <w:rPr>
                <w:rFonts w:hint="default" w:cs="Times New Roman"/>
                <w:bCs/>
                <w:color w:val="auto"/>
                <w:lang w:val="en-US" w:eastAsia="zh-CN"/>
              </w:rPr>
              <w:t>m</w:t>
            </w:r>
            <w:r>
              <w:rPr>
                <w:rFonts w:hint="default" w:cs="Times New Roman"/>
                <w:bCs/>
                <w:color w:val="auto"/>
                <w:vertAlign w:val="superscript"/>
                <w:lang w:val="en-US" w:eastAsia="zh-CN"/>
              </w:rPr>
              <w:t>3</w:t>
            </w:r>
            <w:r>
              <w:rPr>
                <w:rFonts w:hint="default" w:cs="Times New Roman"/>
                <w:bCs/>
                <w:color w:val="auto"/>
                <w:lang w:val="en-US" w:eastAsia="zh-CN"/>
              </w:rPr>
              <w:t>/h，</w:t>
            </w:r>
            <w:r>
              <w:rPr>
                <w:rFonts w:hint="eastAsia" w:cs="Times New Roman"/>
                <w:bCs/>
                <w:color w:val="auto"/>
                <w:lang w:val="en-US" w:eastAsia="zh-CN"/>
              </w:rPr>
              <w:t>35000</w:t>
            </w:r>
            <w:r>
              <w:rPr>
                <w:rFonts w:hint="default" w:cs="Times New Roman"/>
                <w:bCs/>
                <w:color w:val="auto"/>
                <w:lang w:val="en-US" w:eastAsia="zh-CN"/>
              </w:rPr>
              <w:t>m</w:t>
            </w:r>
            <w:r>
              <w:rPr>
                <w:rFonts w:hint="default" w:cs="Times New Roman"/>
                <w:bCs/>
                <w:color w:val="auto"/>
                <w:vertAlign w:val="superscript"/>
                <w:lang w:val="en-US" w:eastAsia="zh-CN"/>
              </w:rPr>
              <w:t>3</w:t>
            </w:r>
            <w:r>
              <w:rPr>
                <w:rFonts w:hint="default" w:cs="Times New Roman"/>
                <w:bCs/>
                <w:color w:val="auto"/>
                <w:lang w:val="en-US" w:eastAsia="zh-CN"/>
              </w:rPr>
              <w:t>/</w:t>
            </w:r>
            <w:r>
              <w:rPr>
                <w:rFonts w:hint="eastAsia" w:cs="Times New Roman"/>
                <w:bCs/>
                <w:color w:val="auto"/>
                <w:lang w:val="en-US" w:eastAsia="zh-CN"/>
              </w:rPr>
              <w:t>a，采用脱盐水。</w:t>
            </w:r>
          </w:p>
          <w:p w14:paraId="03B22470">
            <w:pPr>
              <w:spacing w:line="360" w:lineRule="auto"/>
              <w:ind w:firstLine="420" w:firstLineChars="200"/>
              <w:rPr>
                <w:rFonts w:hint="eastAsia" w:cs="Times New Roman"/>
                <w:bCs/>
                <w:color w:val="auto"/>
                <w:lang w:val="en-US" w:eastAsia="zh-CN"/>
              </w:rPr>
            </w:pPr>
            <w:r>
              <w:rPr>
                <w:rFonts w:hint="eastAsia" w:cs="Times New Roman"/>
                <w:bCs/>
                <w:color w:val="auto"/>
                <w:lang w:val="en-US" w:eastAsia="zh-CN"/>
              </w:rPr>
              <w:t>⑦MgO涂层配制用水和涂层液收集槽清洗用水</w:t>
            </w:r>
          </w:p>
          <w:p w14:paraId="094A86D5">
            <w:pPr>
              <w:spacing w:line="360" w:lineRule="auto"/>
              <w:ind w:firstLine="420" w:firstLineChars="200"/>
              <w:rPr>
                <w:rFonts w:hint="eastAsia" w:cs="Times New Roman"/>
                <w:snapToGrid w:val="0"/>
                <w:color w:val="auto"/>
                <w:highlight w:val="none"/>
                <w:lang w:val="en-US" w:eastAsia="zh-CN"/>
              </w:rPr>
            </w:pPr>
            <w:r>
              <w:rPr>
                <w:rFonts w:hint="eastAsia" w:cs="Times New Roman"/>
                <w:bCs/>
                <w:color w:val="auto"/>
                <w:lang w:val="en-US" w:eastAsia="zh-CN"/>
              </w:rPr>
              <w:t>取向硅钢脱碳退火涂层机组（DCL）MgO</w:t>
            </w:r>
            <w:r>
              <w:rPr>
                <w:rFonts w:hint="eastAsia" w:cs="Times New Roman"/>
                <w:snapToGrid w:val="0"/>
                <w:color w:val="auto"/>
                <w:highlight w:val="none"/>
                <w:lang w:val="en-US" w:eastAsia="zh-CN"/>
              </w:rPr>
              <w:t>涂层涂料由</w:t>
            </w:r>
            <w:r>
              <w:rPr>
                <w:rFonts w:hint="default" w:cs="Times New Roman"/>
                <w:snapToGrid w:val="0"/>
                <w:color w:val="auto"/>
                <w:highlight w:val="none"/>
                <w:lang w:val="en-US" w:eastAsia="zh-CN"/>
              </w:rPr>
              <w:t>MgO</w:t>
            </w:r>
            <w:r>
              <w:rPr>
                <w:rFonts w:hint="eastAsia" w:cs="Times New Roman"/>
                <w:snapToGrid w:val="0"/>
                <w:color w:val="auto"/>
                <w:highlight w:val="none"/>
                <w:lang w:val="en-US" w:eastAsia="zh-CN"/>
              </w:rPr>
              <w:t>加</w:t>
            </w:r>
            <w:r>
              <w:rPr>
                <w:rFonts w:hint="eastAsia" w:cs="Times New Roman"/>
                <w:bCs/>
                <w:color w:val="auto"/>
                <w:lang w:val="en-US" w:eastAsia="zh-CN"/>
              </w:rPr>
              <w:t>脱盐水配制</w:t>
            </w:r>
            <w:r>
              <w:rPr>
                <w:rFonts w:hint="eastAsia" w:cs="Times New Roman"/>
                <w:snapToGrid w:val="0"/>
                <w:color w:val="auto"/>
                <w:highlight w:val="none"/>
                <w:lang w:val="en-US" w:eastAsia="zh-CN"/>
              </w:rPr>
              <w:t>而成，浓度约为10%，本项目MgO涂料用量为800t/a，则水用量为7200t/a。</w:t>
            </w:r>
          </w:p>
          <w:p w14:paraId="155B1EBC">
            <w:pPr>
              <w:spacing w:line="360" w:lineRule="auto"/>
              <w:ind w:firstLine="420" w:firstLineChars="200"/>
              <w:rPr>
                <w:rFonts w:hint="default" w:cs="Times New Roman"/>
                <w:bCs/>
                <w:color w:val="auto"/>
                <w:lang w:val="en-US" w:eastAsia="zh-CN"/>
              </w:rPr>
            </w:pPr>
            <w:r>
              <w:rPr>
                <w:rFonts w:hint="eastAsia" w:cs="Times New Roman"/>
                <w:snapToGrid w:val="0"/>
                <w:color w:val="auto"/>
                <w:highlight w:val="none"/>
                <w:lang w:val="en-US" w:eastAsia="zh-CN"/>
              </w:rPr>
              <w:t>涂层液收集槽内收集的MgO涂层液循环使用，涂层液收集槽定期清洗时产生含MgO废水，根据设计资料，用水量为0.93m</w:t>
            </w:r>
            <w:r>
              <w:rPr>
                <w:rFonts w:hint="eastAsia" w:cs="Times New Roman"/>
                <w:snapToGrid w:val="0"/>
                <w:color w:val="auto"/>
                <w:highlight w:val="none"/>
                <w:vertAlign w:val="superscript"/>
                <w:lang w:val="en-US" w:eastAsia="zh-CN"/>
              </w:rPr>
              <w:t>3</w:t>
            </w:r>
            <w:r>
              <w:rPr>
                <w:rFonts w:hint="eastAsia" w:cs="Times New Roman"/>
                <w:snapToGrid w:val="0"/>
                <w:color w:val="auto"/>
                <w:highlight w:val="none"/>
                <w:lang w:val="en-US" w:eastAsia="zh-CN"/>
              </w:rPr>
              <w:t>/h（补充水+回用水），6510m</w:t>
            </w:r>
            <w:r>
              <w:rPr>
                <w:rFonts w:hint="eastAsia" w:cs="Times New Roman"/>
                <w:snapToGrid w:val="0"/>
                <w:color w:val="auto"/>
                <w:highlight w:val="none"/>
                <w:vertAlign w:val="superscript"/>
                <w:lang w:val="en-US" w:eastAsia="zh-CN"/>
              </w:rPr>
              <w:t>3</w:t>
            </w:r>
            <w:r>
              <w:rPr>
                <w:rFonts w:hint="eastAsia" w:cs="Times New Roman"/>
                <w:snapToGrid w:val="0"/>
                <w:color w:val="auto"/>
                <w:highlight w:val="none"/>
                <w:lang w:val="en-US" w:eastAsia="zh-CN"/>
              </w:rPr>
              <w:t>/a。</w:t>
            </w:r>
            <w:r>
              <w:rPr>
                <w:rFonts w:hint="eastAsia" w:cs="Times New Roman"/>
                <w:bCs/>
                <w:color w:val="auto"/>
                <w:lang w:val="en-US" w:eastAsia="zh-CN"/>
              </w:rPr>
              <w:t>新建</w:t>
            </w:r>
            <w:r>
              <w:rPr>
                <w:rFonts w:hint="eastAsia" w:cs="Times New Roman"/>
                <w:snapToGrid w:val="0"/>
                <w:color w:val="auto"/>
                <w:highlight w:val="none"/>
                <w:lang w:val="en-US" w:eastAsia="zh-CN"/>
              </w:rPr>
              <w:t>MgO</w:t>
            </w:r>
            <w:r>
              <w:rPr>
                <w:rFonts w:hint="eastAsia" w:cs="Times New Roman"/>
                <w:bCs/>
                <w:color w:val="auto"/>
                <w:lang w:val="en-US" w:eastAsia="zh-CN"/>
              </w:rPr>
              <w:t>废水处理设施进行处理，经沉淀处理后，底部沉淀固体收集处理，上清液回用于MgO收集槽清洗，无废水外排。该过程有一定的损耗，约为产生量的15%，即损耗量为0.139m</w:t>
            </w:r>
            <w:r>
              <w:rPr>
                <w:rFonts w:hint="eastAsia" w:cs="Times New Roman"/>
                <w:bCs/>
                <w:color w:val="auto"/>
                <w:vertAlign w:val="superscript"/>
                <w:lang w:val="en-US" w:eastAsia="zh-CN"/>
              </w:rPr>
              <w:t>3</w:t>
            </w:r>
            <w:r>
              <w:rPr>
                <w:rFonts w:hint="eastAsia" w:cs="Times New Roman"/>
                <w:bCs/>
                <w:color w:val="auto"/>
                <w:lang w:val="en-US" w:eastAsia="zh-CN"/>
              </w:rPr>
              <w:t>/h，946.5m</w:t>
            </w:r>
            <w:r>
              <w:rPr>
                <w:rFonts w:hint="eastAsia" w:cs="Times New Roman"/>
                <w:bCs/>
                <w:color w:val="auto"/>
                <w:vertAlign w:val="superscript"/>
                <w:lang w:val="en-US" w:eastAsia="zh-CN"/>
              </w:rPr>
              <w:t>3</w:t>
            </w:r>
            <w:r>
              <w:rPr>
                <w:rFonts w:hint="eastAsia" w:cs="Times New Roman"/>
                <w:bCs/>
                <w:color w:val="auto"/>
                <w:lang w:val="en-US" w:eastAsia="zh-CN"/>
              </w:rPr>
              <w:t>/a。经过沉淀后压滤底部产生的MgO沉渣产生量约为60t/a，含水率约为30%，则固体成分带走的水量约为18m</w:t>
            </w:r>
            <w:r>
              <w:rPr>
                <w:rFonts w:hint="eastAsia" w:cs="Times New Roman"/>
                <w:bCs/>
                <w:color w:val="auto"/>
                <w:vertAlign w:val="superscript"/>
                <w:lang w:val="en-US" w:eastAsia="zh-CN"/>
              </w:rPr>
              <w:t>3</w:t>
            </w:r>
            <w:r>
              <w:rPr>
                <w:rFonts w:hint="eastAsia" w:cs="Times New Roman"/>
                <w:bCs/>
                <w:color w:val="auto"/>
                <w:lang w:val="en-US" w:eastAsia="zh-CN"/>
              </w:rPr>
              <w:t>/a。因此，该工序补水量为964.5，采用脱盐水。</w:t>
            </w:r>
          </w:p>
          <w:p w14:paraId="4DCFDC17">
            <w:pPr>
              <w:spacing w:line="360" w:lineRule="auto"/>
              <w:ind w:firstLine="420" w:firstLineChars="200"/>
              <w:rPr>
                <w:rFonts w:hint="eastAsia" w:cs="Times New Roman"/>
                <w:bCs/>
                <w:color w:val="auto"/>
                <w:lang w:val="en-US" w:eastAsia="zh-CN"/>
              </w:rPr>
            </w:pPr>
            <w:r>
              <w:rPr>
                <w:rFonts w:hint="eastAsia" w:cs="Times New Roman"/>
                <w:bCs/>
                <w:color w:val="auto"/>
                <w:lang w:val="en-US" w:eastAsia="zh-CN"/>
              </w:rPr>
              <w:t>⑧乳化液配制用水</w:t>
            </w:r>
          </w:p>
          <w:p w14:paraId="565516F3">
            <w:pPr>
              <w:spacing w:line="360" w:lineRule="auto"/>
              <w:ind w:firstLine="420" w:firstLineChars="200"/>
              <w:rPr>
                <w:rFonts w:hint="default" w:cs="Times New Roman"/>
                <w:bCs/>
                <w:color w:val="auto"/>
                <w:lang w:val="en-US" w:eastAsia="zh-CN"/>
              </w:rPr>
            </w:pPr>
            <w:r>
              <w:rPr>
                <w:rFonts w:hint="eastAsia" w:cs="Times New Roman"/>
                <w:bCs/>
                <w:color w:val="auto"/>
                <w:lang w:val="en-US" w:eastAsia="zh-CN"/>
              </w:rPr>
              <w:t>本项目冷轧用乳化液浓度为3%，使用轧制油及脱盐水配制而成，轧制油年用量50t，则脱盐水用量为1616.67t/a。</w:t>
            </w:r>
          </w:p>
          <w:p w14:paraId="331CCF0C">
            <w:pPr>
              <w:spacing w:line="360" w:lineRule="auto"/>
              <w:ind w:firstLine="420" w:firstLineChars="200"/>
              <w:rPr>
                <w:rFonts w:hint="default" w:ascii="Times New Roman" w:hAnsi="Times New Roman" w:cs="Times New Roman"/>
                <w:bCs/>
                <w:color w:val="auto"/>
              </w:rPr>
            </w:pPr>
            <w:r>
              <w:rPr>
                <w:rFonts w:hint="eastAsia" w:cs="Times New Roman"/>
                <w:bCs/>
                <w:color w:val="auto"/>
                <w:lang w:val="en-US" w:eastAsia="zh-CN"/>
              </w:rPr>
              <w:t>⑨</w:t>
            </w:r>
            <w:r>
              <w:rPr>
                <w:rFonts w:hint="default" w:ascii="Times New Roman" w:hAnsi="Times New Roman" w:cs="Times New Roman"/>
                <w:bCs/>
                <w:color w:val="auto"/>
              </w:rPr>
              <w:t>锅炉补水</w:t>
            </w:r>
          </w:p>
          <w:p w14:paraId="27738977">
            <w:pPr>
              <w:spacing w:line="360" w:lineRule="auto"/>
              <w:ind w:firstLine="420" w:firstLineChars="200"/>
              <w:rPr>
                <w:rFonts w:hint="default" w:ascii="Times New Roman" w:hAnsi="Times New Roman" w:cs="Times New Roman"/>
                <w:color w:val="auto"/>
              </w:rPr>
            </w:pPr>
            <w:r>
              <w:rPr>
                <w:rFonts w:ascii="Times New Roman" w:hAnsi="Times New Roman"/>
                <w:bCs/>
                <w:color w:val="auto"/>
              </w:rPr>
              <w:t>拟建项目新增</w:t>
            </w:r>
            <w:r>
              <w:rPr>
                <w:rFonts w:hint="eastAsia" w:ascii="Times New Roman" w:hAnsi="Times New Roman"/>
                <w:bCs/>
                <w:color w:val="auto"/>
                <w:lang w:val="en-US" w:eastAsia="zh-CN"/>
              </w:rPr>
              <w:t>2</w:t>
            </w:r>
            <w:r>
              <w:rPr>
                <w:rFonts w:ascii="Times New Roman" w:hAnsi="Times New Roman"/>
                <w:bCs/>
                <w:color w:val="auto"/>
              </w:rPr>
              <w:t>×</w:t>
            </w:r>
            <w:r>
              <w:rPr>
                <w:rFonts w:hint="eastAsia" w:ascii="Times New Roman" w:hAnsi="Times New Roman"/>
                <w:bCs/>
                <w:color w:val="auto"/>
                <w:lang w:val="en-US" w:eastAsia="zh-CN"/>
              </w:rPr>
              <w:t>15</w:t>
            </w:r>
            <w:r>
              <w:rPr>
                <w:rFonts w:hint="eastAsia" w:ascii="Times New Roman" w:hAnsi="Times New Roman"/>
                <w:bCs/>
                <w:color w:val="auto"/>
              </w:rPr>
              <w:t>t/</w:t>
            </w:r>
            <w:r>
              <w:rPr>
                <w:rFonts w:ascii="Times New Roman" w:hAnsi="Times New Roman"/>
                <w:bCs/>
                <w:color w:val="auto"/>
              </w:rPr>
              <w:t>h</w:t>
            </w:r>
            <w:r>
              <w:rPr>
                <w:rFonts w:hint="eastAsia"/>
                <w:bCs/>
                <w:color w:val="auto"/>
                <w:lang w:val="en-US" w:eastAsia="zh-CN"/>
              </w:rPr>
              <w:t>电</w:t>
            </w:r>
            <w:r>
              <w:rPr>
                <w:rFonts w:hint="eastAsia" w:ascii="Times New Roman" w:hAnsi="Times New Roman"/>
                <w:bCs/>
                <w:color w:val="auto"/>
                <w:lang w:val="en-US" w:eastAsia="zh-CN"/>
              </w:rPr>
              <w:t>蒸汽</w:t>
            </w:r>
            <w:r>
              <w:rPr>
                <w:rFonts w:ascii="Times New Roman" w:hAnsi="Times New Roman"/>
                <w:bCs/>
                <w:color w:val="auto"/>
              </w:rPr>
              <w:t>锅炉</w:t>
            </w:r>
            <w:r>
              <w:rPr>
                <w:rFonts w:hint="eastAsia" w:ascii="Times New Roman" w:hAnsi="Times New Roman"/>
                <w:bCs/>
                <w:color w:val="auto"/>
                <w:lang w:val="en-US" w:eastAsia="zh-CN"/>
              </w:rPr>
              <w:t>+</w:t>
            </w:r>
            <w:r>
              <w:rPr>
                <w:rFonts w:hint="eastAsia"/>
                <w:bCs/>
                <w:color w:val="auto"/>
                <w:lang w:val="en-US" w:eastAsia="zh-CN"/>
              </w:rPr>
              <w:t>2t/h</w:t>
            </w:r>
            <w:r>
              <w:rPr>
                <w:rFonts w:hint="eastAsia" w:ascii="Times New Roman" w:hAnsi="Times New Roman"/>
                <w:bCs/>
                <w:color w:val="auto"/>
                <w:lang w:val="en-US" w:eastAsia="zh-CN"/>
              </w:rPr>
              <w:t>余热锅炉，</w:t>
            </w:r>
            <w:r>
              <w:rPr>
                <w:rFonts w:ascii="Times New Roman" w:hAnsi="Times New Roman"/>
                <w:bCs/>
                <w:color w:val="auto"/>
              </w:rPr>
              <w:t>为拟建项目提供蒸汽，拟建项目建成后全厂蒸汽用量为</w:t>
            </w:r>
            <w:r>
              <w:rPr>
                <w:rFonts w:hint="eastAsia"/>
                <w:bCs/>
                <w:color w:val="auto"/>
                <w:lang w:val="en-US" w:eastAsia="zh-CN"/>
              </w:rPr>
              <w:t>27</w:t>
            </w:r>
            <w:r>
              <w:rPr>
                <w:rFonts w:ascii="Times New Roman" w:hAnsi="Times New Roman"/>
                <w:bCs/>
                <w:color w:val="auto"/>
              </w:rPr>
              <w:t>t</w:t>
            </w:r>
            <w:r>
              <w:rPr>
                <w:rFonts w:hint="eastAsia" w:ascii="Times New Roman" w:hAnsi="Times New Roman"/>
                <w:bCs/>
                <w:color w:val="auto"/>
              </w:rPr>
              <w:t>/</w:t>
            </w:r>
            <w:r>
              <w:rPr>
                <w:rFonts w:ascii="Times New Roman" w:hAnsi="Times New Roman"/>
                <w:bCs/>
                <w:color w:val="auto"/>
              </w:rPr>
              <w:t>h</w:t>
            </w:r>
            <w:r>
              <w:rPr>
                <w:rFonts w:hint="eastAsia"/>
                <w:bCs/>
                <w:color w:val="auto"/>
                <w:lang w:eastAsia="zh-CN"/>
              </w:rPr>
              <w:t>（</w:t>
            </w:r>
            <w:r>
              <w:rPr>
                <w:rFonts w:hint="eastAsia"/>
                <w:bCs/>
                <w:color w:val="auto"/>
                <w:lang w:val="en-US" w:eastAsia="zh-CN"/>
              </w:rPr>
              <w:t>其中电</w:t>
            </w:r>
            <w:r>
              <w:rPr>
                <w:rFonts w:hint="eastAsia" w:ascii="Times New Roman" w:hAnsi="Times New Roman"/>
                <w:bCs/>
                <w:color w:val="auto"/>
                <w:lang w:val="en-US" w:eastAsia="zh-CN"/>
              </w:rPr>
              <w:t>蒸汽</w:t>
            </w:r>
            <w:r>
              <w:rPr>
                <w:rFonts w:ascii="Times New Roman" w:hAnsi="Times New Roman"/>
                <w:bCs/>
                <w:color w:val="auto"/>
              </w:rPr>
              <w:t>锅炉</w:t>
            </w:r>
            <w:r>
              <w:rPr>
                <w:rFonts w:hint="eastAsia"/>
                <w:bCs/>
                <w:color w:val="auto"/>
                <w:lang w:val="en-US" w:eastAsia="zh-CN"/>
              </w:rPr>
              <w:t>供汽量25t/h，</w:t>
            </w:r>
            <w:r>
              <w:rPr>
                <w:rFonts w:hint="eastAsia" w:ascii="Times New Roman" w:hAnsi="Times New Roman"/>
                <w:bCs/>
                <w:color w:val="auto"/>
                <w:lang w:val="en-US" w:eastAsia="zh-CN"/>
              </w:rPr>
              <w:t>余热锅炉</w:t>
            </w:r>
            <w:r>
              <w:rPr>
                <w:rFonts w:hint="eastAsia"/>
                <w:bCs/>
                <w:color w:val="auto"/>
                <w:lang w:val="en-US" w:eastAsia="zh-CN"/>
              </w:rPr>
              <w:t>供汽量2t/h</w:t>
            </w:r>
            <w:r>
              <w:rPr>
                <w:rFonts w:hint="eastAsia"/>
                <w:bCs/>
                <w:color w:val="auto"/>
                <w:lang w:eastAsia="zh-CN"/>
              </w:rPr>
              <w:t>）</w:t>
            </w:r>
            <w:r>
              <w:rPr>
                <w:rFonts w:ascii="Times New Roman" w:hAnsi="Times New Roman"/>
                <w:bCs/>
                <w:color w:val="auto"/>
              </w:rPr>
              <w:t>，锅炉排污量按照</w:t>
            </w:r>
            <w:r>
              <w:rPr>
                <w:rFonts w:hint="eastAsia" w:ascii="Times New Roman" w:hAnsi="Times New Roman"/>
                <w:bCs/>
                <w:color w:val="auto"/>
              </w:rPr>
              <w:t>3</w:t>
            </w:r>
            <w:r>
              <w:rPr>
                <w:rFonts w:ascii="Times New Roman" w:hAnsi="Times New Roman"/>
                <w:bCs/>
                <w:color w:val="auto"/>
              </w:rPr>
              <w:t>%计算，则</w:t>
            </w:r>
            <w:r>
              <w:rPr>
                <w:rFonts w:hint="eastAsia"/>
                <w:bCs/>
                <w:color w:val="auto"/>
                <w:lang w:val="en-US" w:eastAsia="zh-CN"/>
              </w:rPr>
              <w:t>电</w:t>
            </w:r>
            <w:r>
              <w:rPr>
                <w:rFonts w:ascii="Times New Roman" w:hAnsi="Times New Roman"/>
                <w:bCs/>
                <w:color w:val="auto"/>
              </w:rPr>
              <w:t>锅炉</w:t>
            </w:r>
            <w:r>
              <w:rPr>
                <w:rFonts w:hint="eastAsia"/>
                <w:bCs/>
                <w:color w:val="auto"/>
                <w:lang w:eastAsia="zh-CN"/>
              </w:rPr>
              <w:t>、</w:t>
            </w:r>
            <w:r>
              <w:rPr>
                <w:rFonts w:hint="eastAsia"/>
                <w:bCs/>
                <w:color w:val="auto"/>
                <w:lang w:val="en-US" w:eastAsia="zh-CN"/>
              </w:rPr>
              <w:t>余热锅炉</w:t>
            </w:r>
            <w:r>
              <w:rPr>
                <w:rFonts w:ascii="Times New Roman" w:hAnsi="Times New Roman"/>
                <w:bCs/>
                <w:color w:val="auto"/>
              </w:rPr>
              <w:t>用水量为</w:t>
            </w:r>
            <w:r>
              <w:rPr>
                <w:rFonts w:hint="eastAsia"/>
                <w:bCs/>
                <w:color w:val="auto"/>
                <w:lang w:val="en-US" w:eastAsia="zh-CN"/>
              </w:rPr>
              <w:t>27.83</w:t>
            </w:r>
            <w:r>
              <w:rPr>
                <w:rFonts w:ascii="Times New Roman" w:hAnsi="Times New Roman"/>
                <w:bCs/>
                <w:color w:val="auto"/>
              </w:rPr>
              <w:t>t</w:t>
            </w:r>
            <w:r>
              <w:rPr>
                <w:rFonts w:hint="eastAsia" w:ascii="Times New Roman" w:hAnsi="Times New Roman"/>
                <w:bCs/>
                <w:color w:val="auto"/>
              </w:rPr>
              <w:t>/</w:t>
            </w:r>
            <w:r>
              <w:rPr>
                <w:rFonts w:ascii="Times New Roman" w:hAnsi="Times New Roman"/>
                <w:bCs/>
                <w:color w:val="auto"/>
              </w:rPr>
              <w:t>h，</w:t>
            </w:r>
            <w:r>
              <w:rPr>
                <w:rFonts w:hint="eastAsia"/>
                <w:bCs/>
                <w:color w:val="auto"/>
                <w:lang w:val="en-US" w:eastAsia="zh-CN"/>
              </w:rPr>
              <w:t>194810t/a</w:t>
            </w:r>
            <w:r>
              <w:rPr>
                <w:rFonts w:ascii="Times New Roman" w:hAnsi="Times New Roman"/>
                <w:bCs/>
                <w:color w:val="auto"/>
              </w:rPr>
              <w:t>水源为</w:t>
            </w:r>
            <w:r>
              <w:rPr>
                <w:rFonts w:hint="eastAsia"/>
                <w:bCs/>
                <w:color w:val="auto"/>
                <w:lang w:val="en-US" w:eastAsia="zh-CN"/>
              </w:rPr>
              <w:t>脱盐水（43610t/a）+蒸汽冷凝水（151200t/a）</w:t>
            </w:r>
            <w:r>
              <w:rPr>
                <w:rFonts w:ascii="Times New Roman" w:hAnsi="Times New Roman"/>
                <w:bCs/>
                <w:color w:val="auto"/>
              </w:rPr>
              <w:t>。</w:t>
            </w:r>
          </w:p>
          <w:p w14:paraId="60D569B0">
            <w:pPr>
              <w:spacing w:line="360" w:lineRule="auto"/>
              <w:ind w:firstLine="420" w:firstLineChars="200"/>
              <w:rPr>
                <w:rFonts w:hint="default" w:ascii="Times New Roman" w:hAnsi="Times New Roman" w:cs="Times New Roman"/>
                <w:bCs/>
                <w:color w:val="auto"/>
              </w:rPr>
            </w:pPr>
            <w:r>
              <w:rPr>
                <w:rFonts w:hint="eastAsia" w:cs="Times New Roman"/>
                <w:bCs/>
                <w:color w:val="auto"/>
                <w:lang w:val="en-US" w:eastAsia="zh-CN"/>
              </w:rPr>
              <w:fldChar w:fldCharType="begin"/>
            </w:r>
            <w:r>
              <w:rPr>
                <w:rFonts w:hint="eastAsia" w:cs="Times New Roman"/>
                <w:bCs/>
                <w:color w:val="auto"/>
                <w:lang w:val="en-US" w:eastAsia="zh-CN"/>
              </w:rPr>
              <w:instrText xml:space="preserve"> EQ \o\ac(</w:instrText>
            </w:r>
            <w:r>
              <w:rPr>
                <w:rFonts w:hint="eastAsia" w:ascii="Times New Roman" w:hAnsi="Times New Roman" w:eastAsia="宋体" w:cs="Times New Roman"/>
                <w:bCs/>
                <w:color w:val="auto"/>
                <w:kern w:val="2"/>
                <w:position w:val="-4"/>
                <w:sz w:val="31"/>
                <w:szCs w:val="24"/>
                <w:lang w:val="en-US" w:eastAsia="zh-CN" w:bidi="ar-SA"/>
              </w:rPr>
              <w:instrText xml:space="preserve">○</w:instrText>
            </w:r>
            <w:r>
              <w:rPr>
                <w:rFonts w:hint="eastAsia" w:cs="Times New Roman"/>
                <w:bCs/>
                <w:color w:val="auto"/>
                <w:lang w:val="en-US" w:eastAsia="zh-CN"/>
              </w:rPr>
              <w:instrText xml:space="preserve">,10)</w:instrText>
            </w:r>
            <w:r>
              <w:rPr>
                <w:rFonts w:hint="eastAsia" w:cs="Times New Roman"/>
                <w:bCs/>
                <w:color w:val="auto"/>
                <w:lang w:val="en-US" w:eastAsia="zh-CN"/>
              </w:rPr>
              <w:fldChar w:fldCharType="end"/>
            </w:r>
            <w:r>
              <w:rPr>
                <w:rFonts w:hint="eastAsia" w:cs="Times New Roman"/>
                <w:bCs/>
                <w:color w:val="auto"/>
                <w:lang w:val="en-US" w:eastAsia="zh-CN"/>
              </w:rPr>
              <w:t>脱盐水系统</w:t>
            </w:r>
            <w:r>
              <w:rPr>
                <w:rFonts w:hint="default" w:ascii="Times New Roman" w:hAnsi="Times New Roman" w:cs="Times New Roman"/>
                <w:bCs/>
                <w:color w:val="auto"/>
              </w:rPr>
              <w:t>用水</w:t>
            </w:r>
          </w:p>
          <w:p w14:paraId="727DD6E7">
            <w:pPr>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项目建设制水能力</w:t>
            </w:r>
            <w:r>
              <w:rPr>
                <w:rFonts w:hint="eastAsia" w:cs="Times New Roman"/>
                <w:bCs/>
                <w:color w:val="auto"/>
                <w:lang w:val="en-US" w:eastAsia="zh-CN"/>
              </w:rPr>
              <w:t>50</w:t>
            </w:r>
            <w:r>
              <w:rPr>
                <w:rFonts w:hint="default" w:ascii="Times New Roman" w:hAnsi="Times New Roman" w:cs="Times New Roman"/>
                <w:bCs/>
                <w:color w:val="auto"/>
              </w:rPr>
              <w:t>m</w:t>
            </w:r>
            <w:r>
              <w:rPr>
                <w:rFonts w:hint="default" w:ascii="Times New Roman" w:hAnsi="Times New Roman" w:cs="Times New Roman"/>
                <w:bCs/>
                <w:color w:val="auto"/>
                <w:vertAlign w:val="superscript"/>
              </w:rPr>
              <w:t>3</w:t>
            </w:r>
            <w:r>
              <w:rPr>
                <w:rFonts w:hint="default" w:ascii="Times New Roman" w:hAnsi="Times New Roman" w:cs="Times New Roman"/>
                <w:bCs/>
                <w:color w:val="auto"/>
              </w:rPr>
              <w:t>/h的</w:t>
            </w:r>
            <w:r>
              <w:rPr>
                <w:rFonts w:hint="eastAsia" w:cs="Times New Roman"/>
                <w:bCs/>
                <w:color w:val="auto"/>
                <w:lang w:val="en-US" w:eastAsia="zh-CN"/>
              </w:rPr>
              <w:t>脱盐水系统</w:t>
            </w:r>
            <w:r>
              <w:rPr>
                <w:rFonts w:hint="default" w:ascii="Times New Roman" w:hAnsi="Times New Roman" w:cs="Times New Roman"/>
                <w:bCs/>
                <w:color w:val="auto"/>
              </w:rPr>
              <w:t>，主要工艺为“</w:t>
            </w:r>
            <w:r>
              <w:rPr>
                <w:rFonts w:hint="eastAsia" w:cs="Times New Roman"/>
                <w:bCs/>
                <w:color w:val="auto"/>
                <w:lang w:val="en-US" w:eastAsia="zh-CN"/>
              </w:rPr>
              <w:t>多介质过滤+活性炭过滤+</w:t>
            </w:r>
            <w:r>
              <w:rPr>
                <w:rFonts w:hint="default" w:ascii="Times New Roman" w:hAnsi="Times New Roman" w:cs="Times New Roman"/>
                <w:bCs/>
                <w:color w:val="auto"/>
              </w:rPr>
              <w:t>反渗透”，</w:t>
            </w:r>
            <w:r>
              <w:rPr>
                <w:rFonts w:hint="eastAsia" w:cs="Times New Roman"/>
                <w:bCs/>
                <w:color w:val="auto"/>
                <w:lang w:val="en-US" w:eastAsia="zh-CN"/>
              </w:rPr>
              <w:t>制水效率70%，制备的脱盐水用于酸洗液、碱洗液配制及水洗、锅炉补水等工序，根据计算统计，本项目脱盐水总用量为159234.65</w:t>
            </w:r>
            <w:r>
              <w:rPr>
                <w:rFonts w:hint="default" w:ascii="Times New Roman" w:hAnsi="Times New Roman" w:cs="Times New Roman"/>
                <w:bCs/>
                <w:color w:val="auto"/>
              </w:rPr>
              <w:t>m</w:t>
            </w:r>
            <w:r>
              <w:rPr>
                <w:rFonts w:hint="default" w:ascii="Times New Roman" w:hAnsi="Times New Roman" w:cs="Times New Roman"/>
                <w:bCs/>
                <w:color w:val="auto"/>
                <w:vertAlign w:val="superscript"/>
              </w:rPr>
              <w:t>3</w:t>
            </w:r>
            <w:r>
              <w:rPr>
                <w:rFonts w:hint="default" w:ascii="Times New Roman" w:hAnsi="Times New Roman" w:cs="Times New Roman"/>
                <w:bCs/>
                <w:color w:val="auto"/>
              </w:rPr>
              <w:t>/a</w:t>
            </w:r>
            <w:r>
              <w:rPr>
                <w:rFonts w:hint="eastAsia" w:cs="Times New Roman"/>
                <w:bCs/>
                <w:color w:val="auto"/>
                <w:lang w:eastAsia="zh-CN"/>
              </w:rPr>
              <w:t>（</w:t>
            </w:r>
            <w:r>
              <w:rPr>
                <w:rFonts w:hint="eastAsia" w:cs="Times New Roman"/>
                <w:bCs/>
                <w:color w:val="auto"/>
                <w:lang w:val="en-US" w:eastAsia="zh-CN"/>
              </w:rPr>
              <w:t>22.75</w:t>
            </w:r>
            <w:r>
              <w:rPr>
                <w:rFonts w:hint="default" w:ascii="Times New Roman" w:hAnsi="Times New Roman" w:cs="Times New Roman"/>
                <w:bCs/>
                <w:color w:val="auto"/>
              </w:rPr>
              <w:t>m</w:t>
            </w:r>
            <w:r>
              <w:rPr>
                <w:rFonts w:hint="default" w:ascii="Times New Roman" w:hAnsi="Times New Roman" w:cs="Times New Roman"/>
                <w:bCs/>
                <w:color w:val="auto"/>
                <w:vertAlign w:val="superscript"/>
              </w:rPr>
              <w:t>3</w:t>
            </w:r>
            <w:r>
              <w:rPr>
                <w:rFonts w:hint="default" w:ascii="Times New Roman" w:hAnsi="Times New Roman" w:cs="Times New Roman"/>
                <w:bCs/>
                <w:color w:val="auto"/>
              </w:rPr>
              <w:t>/h</w:t>
            </w:r>
            <w:r>
              <w:rPr>
                <w:rFonts w:hint="eastAsia" w:cs="Times New Roman"/>
                <w:bCs/>
                <w:color w:val="auto"/>
                <w:lang w:eastAsia="zh-CN"/>
              </w:rPr>
              <w:t>）</w:t>
            </w:r>
            <w:r>
              <w:rPr>
                <w:rFonts w:hint="eastAsia" w:cs="Times New Roman"/>
                <w:bCs/>
                <w:color w:val="auto"/>
                <w:lang w:val="en-US" w:eastAsia="zh-CN"/>
              </w:rPr>
              <w:t>，</w:t>
            </w:r>
            <w:r>
              <w:rPr>
                <w:rFonts w:hint="default" w:ascii="Times New Roman" w:hAnsi="Times New Roman" w:cs="Times New Roman"/>
                <w:bCs/>
                <w:color w:val="auto"/>
              </w:rPr>
              <w:t>则新鲜水量为</w:t>
            </w:r>
            <w:r>
              <w:rPr>
                <w:rFonts w:hint="eastAsia" w:cs="Times New Roman"/>
                <w:bCs/>
                <w:color w:val="auto"/>
                <w:lang w:val="en-US" w:eastAsia="zh-CN"/>
              </w:rPr>
              <w:t>227478.07</w:t>
            </w:r>
            <w:r>
              <w:rPr>
                <w:rFonts w:hint="default" w:ascii="Times New Roman" w:hAnsi="Times New Roman" w:cs="Times New Roman"/>
                <w:bCs/>
                <w:color w:val="auto"/>
              </w:rPr>
              <w:t>m</w:t>
            </w:r>
            <w:r>
              <w:rPr>
                <w:rFonts w:hint="default" w:ascii="Times New Roman" w:hAnsi="Times New Roman" w:cs="Times New Roman"/>
                <w:bCs/>
                <w:color w:val="auto"/>
                <w:vertAlign w:val="superscript"/>
              </w:rPr>
              <w:t>3</w:t>
            </w:r>
            <w:r>
              <w:rPr>
                <w:rFonts w:hint="default" w:ascii="Times New Roman" w:hAnsi="Times New Roman" w:cs="Times New Roman"/>
                <w:bCs/>
                <w:color w:val="auto"/>
              </w:rPr>
              <w:t>/a。</w:t>
            </w:r>
          </w:p>
          <w:p w14:paraId="08B5080E">
            <w:pPr>
              <w:spacing w:line="360" w:lineRule="auto"/>
              <w:ind w:firstLine="420" w:firstLineChars="200"/>
              <w:rPr>
                <w:rFonts w:hint="default" w:ascii="Times New Roman" w:hAnsi="Times New Roman" w:cs="Times New Roman"/>
                <w:bCs/>
                <w:color w:val="auto"/>
              </w:rPr>
            </w:pPr>
            <w:r>
              <w:rPr>
                <w:rFonts w:hint="eastAsia" w:cs="Times New Roman"/>
                <w:bCs/>
                <w:color w:val="auto"/>
                <w:lang w:val="en-US" w:eastAsia="zh-CN"/>
              </w:rPr>
              <w:fldChar w:fldCharType="begin"/>
            </w:r>
            <w:r>
              <w:rPr>
                <w:rFonts w:hint="eastAsia" w:cs="Times New Roman"/>
                <w:bCs/>
                <w:color w:val="auto"/>
                <w:lang w:val="en-US" w:eastAsia="zh-CN"/>
              </w:rPr>
              <w:instrText xml:space="preserve"> EQ \o\ac(</w:instrText>
            </w:r>
            <w:r>
              <w:rPr>
                <w:rFonts w:hint="eastAsia" w:ascii="Times New Roman" w:hAnsi="Times New Roman" w:eastAsia="宋体" w:cs="Times New Roman"/>
                <w:bCs/>
                <w:color w:val="auto"/>
                <w:kern w:val="2"/>
                <w:position w:val="-4"/>
                <w:sz w:val="31"/>
                <w:szCs w:val="24"/>
                <w:lang w:val="en-US" w:eastAsia="zh-CN" w:bidi="ar-SA"/>
              </w:rPr>
              <w:instrText xml:space="preserve">○</w:instrText>
            </w:r>
            <w:r>
              <w:rPr>
                <w:rFonts w:hint="eastAsia" w:cs="Times New Roman"/>
                <w:bCs/>
                <w:color w:val="auto"/>
                <w:lang w:val="en-US" w:eastAsia="zh-CN"/>
              </w:rPr>
              <w:instrText xml:space="preserve">,11)</w:instrText>
            </w:r>
            <w:r>
              <w:rPr>
                <w:rFonts w:hint="eastAsia" w:cs="Times New Roman"/>
                <w:bCs/>
                <w:color w:val="auto"/>
                <w:lang w:val="en-US" w:eastAsia="zh-CN"/>
              </w:rPr>
              <w:fldChar w:fldCharType="end"/>
            </w:r>
            <w:r>
              <w:rPr>
                <w:rFonts w:hint="eastAsia" w:ascii="Times New Roman" w:hAnsi="Times New Roman" w:cs="Times New Roman"/>
                <w:bCs/>
                <w:color w:val="auto"/>
                <w:lang w:val="en-US" w:eastAsia="zh-CN"/>
              </w:rPr>
              <w:t>净</w:t>
            </w:r>
            <w:r>
              <w:rPr>
                <w:rFonts w:hint="default" w:ascii="Times New Roman" w:hAnsi="Times New Roman" w:cs="Times New Roman"/>
                <w:bCs/>
                <w:color w:val="auto"/>
              </w:rPr>
              <w:t>循环冷却水补水</w:t>
            </w:r>
          </w:p>
          <w:p w14:paraId="39344DA1">
            <w:pPr>
              <w:spacing w:line="360" w:lineRule="auto"/>
              <w:ind w:firstLine="420" w:firstLineChars="200"/>
              <w:rPr>
                <w:rFonts w:hint="eastAsia" w:ascii="Times New Roman" w:hAnsi="Times New Roman" w:eastAsia="宋体" w:cs="Times New Roman"/>
                <w:bCs/>
                <w:color w:val="auto"/>
                <w:lang w:val="en-US" w:eastAsia="zh-CN"/>
              </w:rPr>
            </w:pPr>
            <w:r>
              <w:rPr>
                <w:rFonts w:hint="default" w:ascii="Times New Roman" w:hAnsi="Times New Roman" w:eastAsia="宋体" w:cs="Times New Roman"/>
                <w:bCs/>
                <w:color w:val="auto"/>
                <w:lang w:val="en-US" w:eastAsia="zh-CN"/>
              </w:rPr>
              <w:t>净环冷却水系统主要供给常化酸洗机组、二十辊轧机、硅钢脱碳渗氮，热拉伸平整机组等用水户的间接冷却水。</w:t>
            </w:r>
            <w:r>
              <w:rPr>
                <w:rFonts w:hint="eastAsia" w:ascii="Times New Roman" w:hAnsi="Times New Roman" w:eastAsia="宋体" w:cs="Times New Roman"/>
                <w:bCs/>
                <w:color w:val="auto"/>
                <w:lang w:val="en-US" w:eastAsia="zh-CN"/>
              </w:rPr>
              <w:t>本项目新建一座净循环冷却循环水系统，冷却方式为空气冷却，冷却塔进口温度为</w:t>
            </w:r>
            <w:r>
              <w:rPr>
                <w:rFonts w:hint="default" w:ascii="Times New Roman" w:hAnsi="Times New Roman" w:eastAsia="宋体" w:cs="Times New Roman"/>
                <w:bCs/>
                <w:color w:val="auto"/>
                <w:lang w:val="en-US" w:eastAsia="zh-CN"/>
              </w:rPr>
              <w:t>42℃</w:t>
            </w:r>
            <w:r>
              <w:rPr>
                <w:rFonts w:hint="eastAsia" w:ascii="Times New Roman" w:hAnsi="Times New Roman" w:eastAsia="宋体" w:cs="Times New Roman"/>
                <w:bCs/>
                <w:color w:val="auto"/>
                <w:lang w:val="en-US" w:eastAsia="zh-CN"/>
              </w:rPr>
              <w:t>，压力</w:t>
            </w:r>
            <w:r>
              <w:rPr>
                <w:rFonts w:hint="default" w:ascii="Times New Roman" w:hAnsi="Times New Roman" w:eastAsia="宋体" w:cs="Times New Roman"/>
                <w:bCs/>
                <w:color w:val="auto"/>
                <w:lang w:val="en-US" w:eastAsia="zh-CN"/>
              </w:rPr>
              <w:t>0.</w:t>
            </w:r>
            <w:r>
              <w:rPr>
                <w:rFonts w:hint="eastAsia" w:ascii="Times New Roman" w:hAnsi="Times New Roman" w:eastAsia="宋体" w:cs="Times New Roman"/>
                <w:bCs/>
                <w:color w:val="auto"/>
                <w:lang w:val="en-US" w:eastAsia="zh-CN"/>
              </w:rPr>
              <w:t>4</w:t>
            </w:r>
            <w:r>
              <w:rPr>
                <w:rFonts w:hint="default" w:ascii="Times New Roman" w:hAnsi="Times New Roman" w:eastAsia="宋体" w:cs="Times New Roman"/>
                <w:bCs/>
                <w:color w:val="auto"/>
                <w:lang w:val="en-US" w:eastAsia="zh-CN"/>
              </w:rPr>
              <w:t>~0.</w:t>
            </w:r>
            <w:r>
              <w:rPr>
                <w:rFonts w:hint="eastAsia" w:ascii="Times New Roman" w:hAnsi="Times New Roman" w:eastAsia="宋体" w:cs="Times New Roman"/>
                <w:bCs/>
                <w:color w:val="auto"/>
                <w:lang w:val="en-US" w:eastAsia="zh-CN"/>
              </w:rPr>
              <w:t>6</w:t>
            </w:r>
            <w:r>
              <w:rPr>
                <w:rFonts w:hint="default" w:ascii="Times New Roman" w:hAnsi="Times New Roman" w:eastAsia="宋体" w:cs="Times New Roman"/>
                <w:bCs/>
                <w:color w:val="auto"/>
                <w:lang w:val="en-US" w:eastAsia="zh-CN"/>
              </w:rPr>
              <w:t>MPa</w:t>
            </w:r>
            <w:r>
              <w:rPr>
                <w:rFonts w:hint="eastAsia" w:ascii="Times New Roman" w:hAnsi="Times New Roman" w:eastAsia="宋体" w:cs="Times New Roman"/>
                <w:bCs/>
                <w:color w:val="auto"/>
                <w:lang w:val="en-US" w:eastAsia="zh-CN"/>
              </w:rPr>
              <w:t>，出口温度为</w:t>
            </w:r>
            <w:r>
              <w:rPr>
                <w:rFonts w:hint="default" w:ascii="Times New Roman" w:hAnsi="Times New Roman" w:eastAsia="宋体" w:cs="Times New Roman"/>
                <w:bCs/>
                <w:color w:val="auto"/>
                <w:lang w:val="en-US" w:eastAsia="zh-CN"/>
              </w:rPr>
              <w:t>3</w:t>
            </w:r>
            <w:r>
              <w:rPr>
                <w:rFonts w:hint="eastAsia" w:ascii="Times New Roman" w:hAnsi="Times New Roman" w:eastAsia="宋体" w:cs="Times New Roman"/>
                <w:bCs/>
                <w:color w:val="auto"/>
                <w:lang w:val="en-US" w:eastAsia="zh-CN"/>
              </w:rPr>
              <w:t>2</w:t>
            </w:r>
            <w:r>
              <w:rPr>
                <w:rFonts w:hint="default" w:ascii="Times New Roman" w:hAnsi="Times New Roman" w:eastAsia="宋体" w:cs="Times New Roman"/>
                <w:bCs/>
                <w:color w:val="auto"/>
                <w:lang w:val="en-US" w:eastAsia="zh-CN"/>
              </w:rPr>
              <w:t>℃</w:t>
            </w:r>
            <w:r>
              <w:rPr>
                <w:rFonts w:hint="eastAsia" w:ascii="Times New Roman" w:hAnsi="Times New Roman" w:eastAsia="宋体" w:cs="Times New Roman"/>
                <w:bCs/>
                <w:color w:val="auto"/>
                <w:lang w:val="en-US" w:eastAsia="zh-CN"/>
              </w:rPr>
              <w:t>。根据设计资料，冷却循环水平均循环水量约</w:t>
            </w:r>
            <w:r>
              <w:rPr>
                <w:rFonts w:hint="eastAsia" w:cs="Times New Roman"/>
                <w:bCs/>
                <w:color w:val="auto"/>
                <w:lang w:val="en-US" w:eastAsia="zh-CN"/>
              </w:rPr>
              <w:t>4050</w:t>
            </w:r>
            <w:r>
              <w:rPr>
                <w:rFonts w:hint="default" w:ascii="Times New Roman" w:hAnsi="Times New Roman" w:eastAsia="宋体" w:cs="Times New Roman"/>
                <w:bCs/>
                <w:color w:val="auto"/>
                <w:lang w:val="en-US" w:eastAsia="zh-CN"/>
              </w:rPr>
              <w:t>m</w:t>
            </w:r>
            <w:r>
              <w:rPr>
                <w:rFonts w:hint="default" w:ascii="Times New Roman" w:hAnsi="Times New Roman" w:eastAsia="宋体" w:cs="Times New Roman"/>
                <w:bCs/>
                <w:color w:val="auto"/>
                <w:vertAlign w:val="superscript"/>
                <w:lang w:val="en-US" w:eastAsia="zh-CN"/>
              </w:rPr>
              <w:t>3</w:t>
            </w:r>
            <w:r>
              <w:rPr>
                <w:rFonts w:hint="default" w:ascii="Times New Roman" w:hAnsi="Times New Roman" w:eastAsia="宋体" w:cs="Times New Roman"/>
                <w:bCs/>
                <w:color w:val="auto"/>
                <w:lang w:val="en-US" w:eastAsia="zh-CN"/>
              </w:rPr>
              <w:t>/h</w:t>
            </w:r>
            <w:r>
              <w:rPr>
                <w:rFonts w:hint="eastAsia" w:ascii="Times New Roman" w:hAnsi="Times New Roman" w:eastAsia="宋体" w:cs="Times New Roman"/>
                <w:bCs/>
                <w:color w:val="auto"/>
                <w:lang w:val="en-US" w:eastAsia="zh-CN"/>
              </w:rPr>
              <w:t>，由于热量蒸发等有一定量的损失，为防止结垢定期排污，因此，需要一定量的补充，根据设计资料，循环水补充使用新鲜水，补水量约为</w:t>
            </w:r>
            <w:r>
              <w:rPr>
                <w:rFonts w:hint="eastAsia" w:cs="Times New Roman"/>
                <w:bCs/>
                <w:color w:val="auto"/>
                <w:lang w:val="en-US" w:eastAsia="zh-CN"/>
              </w:rPr>
              <w:t>81</w:t>
            </w:r>
            <w:r>
              <w:rPr>
                <w:rFonts w:hint="default" w:ascii="Times New Roman" w:hAnsi="Times New Roman" w:eastAsia="宋体" w:cs="Times New Roman"/>
                <w:bCs/>
                <w:color w:val="auto"/>
                <w:lang w:val="en-US" w:eastAsia="zh-CN"/>
              </w:rPr>
              <w:t>m</w:t>
            </w:r>
            <w:r>
              <w:rPr>
                <w:rFonts w:hint="default" w:ascii="Times New Roman" w:hAnsi="Times New Roman" w:eastAsia="宋体" w:cs="Times New Roman"/>
                <w:bCs/>
                <w:color w:val="auto"/>
                <w:vertAlign w:val="superscript"/>
                <w:lang w:val="en-US" w:eastAsia="zh-CN"/>
              </w:rPr>
              <w:t>3</w:t>
            </w:r>
            <w:r>
              <w:rPr>
                <w:rFonts w:hint="default" w:ascii="Times New Roman" w:hAnsi="Times New Roman" w:eastAsia="宋体" w:cs="Times New Roman"/>
                <w:bCs/>
                <w:color w:val="auto"/>
                <w:lang w:val="en-US" w:eastAsia="zh-CN"/>
              </w:rPr>
              <w:t>/h</w:t>
            </w:r>
            <w:r>
              <w:rPr>
                <w:rFonts w:hint="eastAsia" w:ascii="Times New Roman" w:hAnsi="Times New Roman" w:eastAsia="宋体" w:cs="Times New Roman"/>
                <w:bCs/>
                <w:color w:val="auto"/>
                <w:lang w:val="en-US" w:eastAsia="zh-CN"/>
              </w:rPr>
              <w:t>（其中蒸发损失</w:t>
            </w:r>
            <w:r>
              <w:rPr>
                <w:rFonts w:hint="eastAsia" w:cs="Times New Roman"/>
                <w:bCs/>
                <w:color w:val="auto"/>
                <w:lang w:val="en-US" w:eastAsia="zh-CN"/>
              </w:rPr>
              <w:t>64</w:t>
            </w:r>
            <w:r>
              <w:rPr>
                <w:rFonts w:hint="default" w:ascii="Times New Roman" w:hAnsi="Times New Roman" w:eastAsia="宋体" w:cs="Times New Roman"/>
                <w:bCs/>
                <w:color w:val="auto"/>
                <w:lang w:val="en-US" w:eastAsia="zh-CN"/>
              </w:rPr>
              <w:t>m</w:t>
            </w:r>
            <w:r>
              <w:rPr>
                <w:rFonts w:hint="default" w:ascii="Times New Roman" w:hAnsi="Times New Roman" w:eastAsia="宋体" w:cs="Times New Roman"/>
                <w:bCs/>
                <w:color w:val="auto"/>
                <w:vertAlign w:val="superscript"/>
                <w:lang w:val="en-US" w:eastAsia="zh-CN"/>
              </w:rPr>
              <w:t>3</w:t>
            </w:r>
            <w:r>
              <w:rPr>
                <w:rFonts w:hint="default" w:ascii="Times New Roman" w:hAnsi="Times New Roman" w:eastAsia="宋体" w:cs="Times New Roman"/>
                <w:bCs/>
                <w:color w:val="auto"/>
                <w:lang w:val="en-US" w:eastAsia="zh-CN"/>
              </w:rPr>
              <w:t>/h</w:t>
            </w:r>
            <w:r>
              <w:rPr>
                <w:rFonts w:hint="eastAsia" w:ascii="Times New Roman" w:hAnsi="Times New Roman" w:eastAsia="宋体" w:cs="Times New Roman"/>
                <w:bCs/>
                <w:color w:val="auto"/>
                <w:lang w:val="en-US" w:eastAsia="zh-CN"/>
              </w:rPr>
              <w:t>，排污损失</w:t>
            </w:r>
            <w:r>
              <w:rPr>
                <w:rFonts w:hint="eastAsia" w:cs="Times New Roman"/>
                <w:bCs/>
                <w:color w:val="auto"/>
                <w:lang w:val="en-US" w:eastAsia="zh-CN"/>
              </w:rPr>
              <w:t>17</w:t>
            </w:r>
            <w:r>
              <w:rPr>
                <w:rFonts w:hint="default" w:ascii="Times New Roman" w:hAnsi="Times New Roman" w:eastAsia="宋体" w:cs="Times New Roman"/>
                <w:bCs/>
                <w:color w:val="auto"/>
                <w:lang w:val="en-US" w:eastAsia="zh-CN"/>
              </w:rPr>
              <w:t>m</w:t>
            </w:r>
            <w:r>
              <w:rPr>
                <w:rFonts w:hint="default" w:ascii="Times New Roman" w:hAnsi="Times New Roman" w:eastAsia="宋体" w:cs="Times New Roman"/>
                <w:bCs/>
                <w:color w:val="auto"/>
                <w:vertAlign w:val="superscript"/>
                <w:lang w:val="en-US" w:eastAsia="zh-CN"/>
              </w:rPr>
              <w:t>3</w:t>
            </w:r>
            <w:r>
              <w:rPr>
                <w:rFonts w:hint="default" w:ascii="Times New Roman" w:hAnsi="Times New Roman" w:eastAsia="宋体" w:cs="Times New Roman"/>
                <w:bCs/>
                <w:color w:val="auto"/>
                <w:lang w:val="en-US" w:eastAsia="zh-CN"/>
              </w:rPr>
              <w:t>/h</w:t>
            </w:r>
            <w:r>
              <w:rPr>
                <w:rFonts w:hint="eastAsia" w:ascii="Times New Roman" w:hAnsi="Times New Roman" w:eastAsia="宋体" w:cs="Times New Roman"/>
                <w:bCs/>
                <w:color w:val="auto"/>
                <w:lang w:val="en-US" w:eastAsia="zh-CN"/>
              </w:rPr>
              <w:t>），</w:t>
            </w:r>
            <w:r>
              <w:rPr>
                <w:rFonts w:hint="eastAsia" w:cs="Times New Roman"/>
                <w:bCs/>
                <w:color w:val="auto"/>
                <w:lang w:val="en-US" w:eastAsia="zh-CN"/>
              </w:rPr>
              <w:t>567000</w:t>
            </w:r>
            <w:r>
              <w:rPr>
                <w:rFonts w:hint="default" w:ascii="Times New Roman" w:hAnsi="Times New Roman" w:eastAsia="宋体" w:cs="Times New Roman"/>
                <w:bCs/>
                <w:color w:val="auto"/>
                <w:lang w:val="en-US" w:eastAsia="zh-CN"/>
              </w:rPr>
              <w:t>m</w:t>
            </w:r>
            <w:r>
              <w:rPr>
                <w:rFonts w:hint="default" w:ascii="Times New Roman" w:hAnsi="Times New Roman" w:eastAsia="宋体" w:cs="Times New Roman"/>
                <w:bCs/>
                <w:color w:val="auto"/>
                <w:vertAlign w:val="superscript"/>
                <w:lang w:val="en-US" w:eastAsia="zh-CN"/>
              </w:rPr>
              <w:t>3</w:t>
            </w:r>
            <w:r>
              <w:rPr>
                <w:rFonts w:hint="default" w:ascii="Times New Roman" w:hAnsi="Times New Roman" w:eastAsia="宋体" w:cs="Times New Roman"/>
                <w:bCs/>
                <w:color w:val="auto"/>
                <w:lang w:val="en-US" w:eastAsia="zh-CN"/>
              </w:rPr>
              <w:t>/</w:t>
            </w:r>
            <w:r>
              <w:rPr>
                <w:rFonts w:hint="eastAsia" w:cs="Times New Roman"/>
                <w:bCs/>
                <w:color w:val="auto"/>
                <w:lang w:val="en-US" w:eastAsia="zh-CN"/>
              </w:rPr>
              <w:t>a</w:t>
            </w:r>
            <w:r>
              <w:rPr>
                <w:rFonts w:hint="eastAsia" w:ascii="Times New Roman" w:hAnsi="Times New Roman" w:eastAsia="宋体" w:cs="Times New Roman"/>
                <w:bCs/>
                <w:color w:val="auto"/>
                <w:lang w:val="en-US" w:eastAsia="zh-CN"/>
              </w:rPr>
              <w:t>（其中蒸发损失</w:t>
            </w:r>
            <w:r>
              <w:rPr>
                <w:rFonts w:hint="eastAsia" w:cs="Times New Roman"/>
                <w:bCs/>
                <w:color w:val="auto"/>
                <w:lang w:val="en-US" w:eastAsia="zh-CN"/>
              </w:rPr>
              <w:t>448000</w:t>
            </w:r>
            <w:r>
              <w:rPr>
                <w:rFonts w:hint="default" w:ascii="Times New Roman" w:hAnsi="Times New Roman" w:eastAsia="宋体" w:cs="Times New Roman"/>
                <w:bCs/>
                <w:color w:val="auto"/>
                <w:lang w:val="en-US" w:eastAsia="zh-CN"/>
              </w:rPr>
              <w:t>m</w:t>
            </w:r>
            <w:r>
              <w:rPr>
                <w:rFonts w:hint="default" w:ascii="Times New Roman" w:hAnsi="Times New Roman" w:eastAsia="宋体" w:cs="Times New Roman"/>
                <w:bCs/>
                <w:color w:val="auto"/>
                <w:vertAlign w:val="superscript"/>
                <w:lang w:val="en-US" w:eastAsia="zh-CN"/>
              </w:rPr>
              <w:t>3</w:t>
            </w:r>
            <w:r>
              <w:rPr>
                <w:rFonts w:hint="default" w:ascii="Times New Roman" w:hAnsi="Times New Roman" w:eastAsia="宋体" w:cs="Times New Roman"/>
                <w:bCs/>
                <w:color w:val="auto"/>
                <w:lang w:val="en-US" w:eastAsia="zh-CN"/>
              </w:rPr>
              <w:t>/</w:t>
            </w:r>
            <w:r>
              <w:rPr>
                <w:rFonts w:hint="eastAsia" w:cs="Times New Roman"/>
                <w:bCs/>
                <w:color w:val="auto"/>
                <w:lang w:val="en-US" w:eastAsia="zh-CN"/>
              </w:rPr>
              <w:t>a</w:t>
            </w:r>
            <w:r>
              <w:rPr>
                <w:rFonts w:hint="eastAsia" w:ascii="Times New Roman" w:hAnsi="Times New Roman" w:eastAsia="宋体" w:cs="Times New Roman"/>
                <w:bCs/>
                <w:color w:val="auto"/>
                <w:lang w:val="en-US" w:eastAsia="zh-CN"/>
              </w:rPr>
              <w:t>，排污损失</w:t>
            </w:r>
            <w:r>
              <w:rPr>
                <w:rFonts w:hint="eastAsia" w:cs="Times New Roman"/>
                <w:bCs/>
                <w:color w:val="auto"/>
                <w:lang w:val="en-US" w:eastAsia="zh-CN"/>
              </w:rPr>
              <w:t>119000</w:t>
            </w:r>
            <w:r>
              <w:rPr>
                <w:rFonts w:hint="default" w:ascii="Times New Roman" w:hAnsi="Times New Roman" w:eastAsia="宋体" w:cs="Times New Roman"/>
                <w:bCs/>
                <w:color w:val="auto"/>
                <w:lang w:val="en-US" w:eastAsia="zh-CN"/>
              </w:rPr>
              <w:t>m</w:t>
            </w:r>
            <w:r>
              <w:rPr>
                <w:rFonts w:hint="default" w:ascii="Times New Roman" w:hAnsi="Times New Roman" w:eastAsia="宋体" w:cs="Times New Roman"/>
                <w:bCs/>
                <w:color w:val="auto"/>
                <w:vertAlign w:val="superscript"/>
                <w:lang w:val="en-US" w:eastAsia="zh-CN"/>
              </w:rPr>
              <w:t>3</w:t>
            </w:r>
            <w:r>
              <w:rPr>
                <w:rFonts w:hint="default" w:ascii="Times New Roman" w:hAnsi="Times New Roman" w:eastAsia="宋体" w:cs="Times New Roman"/>
                <w:bCs/>
                <w:color w:val="auto"/>
                <w:lang w:val="en-US" w:eastAsia="zh-CN"/>
              </w:rPr>
              <w:t>/</w:t>
            </w:r>
            <w:r>
              <w:rPr>
                <w:rFonts w:hint="eastAsia" w:cs="Times New Roman"/>
                <w:bCs/>
                <w:color w:val="auto"/>
                <w:lang w:val="en-US" w:eastAsia="zh-CN"/>
              </w:rPr>
              <w:t>a</w:t>
            </w:r>
            <w:r>
              <w:rPr>
                <w:rFonts w:hint="eastAsia" w:ascii="Times New Roman" w:hAnsi="Times New Roman" w:eastAsia="宋体" w:cs="Times New Roman"/>
                <w:bCs/>
                <w:color w:val="auto"/>
                <w:lang w:val="en-US" w:eastAsia="zh-CN"/>
              </w:rPr>
              <w:t>）。</w:t>
            </w:r>
          </w:p>
          <w:p w14:paraId="6A54B3AF">
            <w:pPr>
              <w:spacing w:line="360" w:lineRule="auto"/>
              <w:ind w:firstLine="420" w:firstLineChars="200"/>
              <w:rPr>
                <w:rFonts w:hint="eastAsia" w:cs="Times New Roman"/>
                <w:bCs/>
                <w:color w:val="auto"/>
                <w:lang w:val="en-US" w:eastAsia="zh-CN"/>
              </w:rPr>
            </w:pPr>
            <w:r>
              <w:rPr>
                <w:rFonts w:hint="eastAsia" w:cs="Times New Roman"/>
                <w:bCs/>
                <w:color w:val="auto"/>
                <w:lang w:val="en-US" w:eastAsia="zh-CN"/>
              </w:rPr>
              <w:fldChar w:fldCharType="begin"/>
            </w:r>
            <w:r>
              <w:rPr>
                <w:rFonts w:hint="eastAsia" w:cs="Times New Roman"/>
                <w:bCs/>
                <w:color w:val="auto"/>
                <w:lang w:val="en-US" w:eastAsia="zh-CN"/>
              </w:rPr>
              <w:instrText xml:space="preserve"> EQ \o\ac(</w:instrText>
            </w:r>
            <w:r>
              <w:rPr>
                <w:rFonts w:hint="eastAsia" w:ascii="Times New Roman" w:hAnsi="Times New Roman" w:eastAsia="宋体" w:cs="Times New Roman"/>
                <w:bCs/>
                <w:color w:val="auto"/>
                <w:kern w:val="2"/>
                <w:position w:val="-4"/>
                <w:sz w:val="31"/>
                <w:szCs w:val="24"/>
                <w:lang w:val="en-US" w:eastAsia="zh-CN" w:bidi="ar-SA"/>
              </w:rPr>
              <w:instrText xml:space="preserve">○</w:instrText>
            </w:r>
            <w:r>
              <w:rPr>
                <w:rFonts w:hint="eastAsia" w:cs="Times New Roman"/>
                <w:bCs/>
                <w:color w:val="auto"/>
                <w:lang w:val="en-US" w:eastAsia="zh-CN"/>
              </w:rPr>
              <w:instrText xml:space="preserve">,12)</w:instrText>
            </w:r>
            <w:r>
              <w:rPr>
                <w:rFonts w:hint="eastAsia" w:cs="Times New Roman"/>
                <w:bCs/>
                <w:color w:val="auto"/>
                <w:lang w:val="en-US" w:eastAsia="zh-CN"/>
              </w:rPr>
              <w:fldChar w:fldCharType="end"/>
            </w:r>
            <w:r>
              <w:rPr>
                <w:rFonts w:hint="eastAsia" w:cs="Times New Roman"/>
                <w:bCs/>
                <w:color w:val="auto"/>
                <w:lang w:val="en-US" w:eastAsia="zh-CN"/>
              </w:rPr>
              <w:t>带钢喷淋冷却清洗用水</w:t>
            </w:r>
          </w:p>
          <w:p w14:paraId="0FB3EA1E">
            <w:pPr>
              <w:spacing w:line="360" w:lineRule="auto"/>
              <w:ind w:firstLine="420" w:firstLineChars="200"/>
              <w:rPr>
                <w:rFonts w:hint="default" w:cs="Times New Roman"/>
                <w:bCs/>
                <w:color w:val="auto"/>
                <w:lang w:val="en-US" w:eastAsia="zh-CN"/>
              </w:rPr>
            </w:pPr>
            <w:r>
              <w:rPr>
                <w:rFonts w:hint="eastAsia" w:ascii="Times New Roman" w:hAnsi="Times New Roman" w:eastAsia="宋体" w:cs="Times New Roman"/>
                <w:bCs/>
                <w:color w:val="auto"/>
                <w:lang w:val="en-US" w:eastAsia="zh-CN"/>
              </w:rPr>
              <w:t>本项目新建一座300</w:t>
            </w:r>
            <w:r>
              <w:rPr>
                <w:rFonts w:hint="default" w:ascii="Times New Roman" w:hAnsi="Times New Roman" w:eastAsia="宋体" w:cs="Times New Roman"/>
                <w:bCs/>
                <w:color w:val="auto"/>
                <w:lang w:val="en-US" w:eastAsia="zh-CN"/>
              </w:rPr>
              <w:t>m</w:t>
            </w:r>
            <w:r>
              <w:rPr>
                <w:rFonts w:hint="default" w:ascii="Times New Roman" w:hAnsi="Times New Roman" w:eastAsia="宋体" w:cs="Times New Roman"/>
                <w:bCs/>
                <w:color w:val="auto"/>
                <w:vertAlign w:val="superscript"/>
                <w:lang w:val="en-US" w:eastAsia="zh-CN"/>
              </w:rPr>
              <w:t>3</w:t>
            </w:r>
            <w:r>
              <w:rPr>
                <w:rFonts w:hint="default" w:ascii="Times New Roman" w:hAnsi="Times New Roman" w:eastAsia="宋体" w:cs="Times New Roman"/>
                <w:bCs/>
                <w:color w:val="auto"/>
                <w:lang w:val="en-US" w:eastAsia="zh-CN"/>
              </w:rPr>
              <w:t>/h</w:t>
            </w:r>
            <w:r>
              <w:rPr>
                <w:rFonts w:hint="eastAsia" w:ascii="Times New Roman" w:hAnsi="Times New Roman" w:eastAsia="宋体" w:cs="Times New Roman"/>
                <w:bCs/>
                <w:color w:val="auto"/>
                <w:lang w:val="en-US" w:eastAsia="zh-CN"/>
              </w:rPr>
              <w:t>浊环水系统，用于带钢喷淋冷却清洗。</w:t>
            </w:r>
            <w:r>
              <w:rPr>
                <w:rFonts w:hint="default" w:ascii="Times New Roman" w:hAnsi="Times New Roman" w:eastAsia="宋体" w:cs="Times New Roman"/>
                <w:bCs/>
                <w:color w:val="auto"/>
                <w:lang w:val="en-US" w:eastAsia="zh-CN"/>
              </w:rPr>
              <w:t>带</w:t>
            </w:r>
            <w:r>
              <w:rPr>
                <w:rFonts w:hint="default" w:cs="Times New Roman"/>
                <w:bCs/>
                <w:color w:val="auto"/>
                <w:lang w:val="en-US" w:eastAsia="zh-CN"/>
              </w:rPr>
              <w:t>钢喷淋使用后的水含有铁皮等，需要进行处理，带钢喷淋使用后的水收集后用管道送室外沉淀池，沉淀池内去除大的铁皮后，出水经泵提升至过滤器过滤，过滤器出水至冷却塔冷却后进入冷水池，用泵加压送机组</w:t>
            </w:r>
            <w:r>
              <w:rPr>
                <w:rFonts w:hint="eastAsia" w:cs="Times New Roman"/>
                <w:bCs/>
                <w:color w:val="auto"/>
                <w:lang w:val="en-US" w:eastAsia="zh-CN"/>
              </w:rPr>
              <w:t>循环</w:t>
            </w:r>
            <w:r>
              <w:rPr>
                <w:rFonts w:hint="default" w:cs="Times New Roman"/>
                <w:bCs/>
                <w:color w:val="auto"/>
                <w:lang w:val="en-US" w:eastAsia="zh-CN"/>
              </w:rPr>
              <w:t>使用，系统</w:t>
            </w:r>
            <w:r>
              <w:rPr>
                <w:rFonts w:hint="eastAsia" w:ascii="Times New Roman" w:hAnsi="Times New Roman" w:eastAsia="宋体" w:cs="Times New Roman"/>
                <w:bCs/>
                <w:color w:val="auto"/>
                <w:lang w:val="en-US" w:eastAsia="zh-CN"/>
              </w:rPr>
              <w:t>循环水量约</w:t>
            </w:r>
            <w:r>
              <w:rPr>
                <w:rFonts w:hint="eastAsia" w:cs="Times New Roman"/>
                <w:bCs/>
                <w:color w:val="auto"/>
                <w:lang w:val="en-US" w:eastAsia="zh-CN"/>
              </w:rPr>
              <w:t>250</w:t>
            </w:r>
            <w:r>
              <w:rPr>
                <w:rFonts w:hint="default" w:ascii="Times New Roman" w:hAnsi="Times New Roman" w:eastAsia="宋体" w:cs="Times New Roman"/>
                <w:bCs/>
                <w:color w:val="auto"/>
                <w:lang w:val="en-US" w:eastAsia="zh-CN"/>
              </w:rPr>
              <w:t>m</w:t>
            </w:r>
            <w:r>
              <w:rPr>
                <w:rFonts w:hint="default" w:ascii="Times New Roman" w:hAnsi="Times New Roman" w:eastAsia="宋体" w:cs="Times New Roman"/>
                <w:bCs/>
                <w:color w:val="auto"/>
                <w:vertAlign w:val="superscript"/>
                <w:lang w:val="en-US" w:eastAsia="zh-CN"/>
              </w:rPr>
              <w:t>3</w:t>
            </w:r>
            <w:r>
              <w:rPr>
                <w:rFonts w:hint="default" w:ascii="Times New Roman" w:hAnsi="Times New Roman" w:eastAsia="宋体" w:cs="Times New Roman"/>
                <w:bCs/>
                <w:color w:val="auto"/>
                <w:lang w:val="en-US" w:eastAsia="zh-CN"/>
              </w:rPr>
              <w:t>/h</w:t>
            </w:r>
            <w:r>
              <w:rPr>
                <w:rFonts w:hint="eastAsia" w:ascii="Times New Roman" w:hAnsi="Times New Roman" w:eastAsia="宋体" w:cs="Times New Roman"/>
                <w:bCs/>
                <w:color w:val="auto"/>
                <w:lang w:val="en-US" w:eastAsia="zh-CN"/>
              </w:rPr>
              <w:t>，</w:t>
            </w:r>
            <w:r>
              <w:rPr>
                <w:rFonts w:hint="default" w:cs="Times New Roman"/>
                <w:bCs/>
                <w:color w:val="auto"/>
                <w:lang w:val="en-US" w:eastAsia="zh-CN"/>
              </w:rPr>
              <w:t>补水量10m</w:t>
            </w:r>
            <w:r>
              <w:rPr>
                <w:rFonts w:hint="default" w:cs="Times New Roman"/>
                <w:bCs/>
                <w:color w:val="auto"/>
                <w:vertAlign w:val="superscript"/>
                <w:lang w:val="en-US" w:eastAsia="zh-CN"/>
              </w:rPr>
              <w:t>3</w:t>
            </w:r>
            <w:r>
              <w:rPr>
                <w:rFonts w:hint="default" w:cs="Times New Roman"/>
                <w:bCs/>
                <w:color w:val="auto"/>
                <w:lang w:val="en-US" w:eastAsia="zh-CN"/>
              </w:rPr>
              <w:t>/</w:t>
            </w:r>
            <w:r>
              <w:rPr>
                <w:rFonts w:hint="eastAsia" w:cs="Times New Roman"/>
                <w:bCs/>
                <w:color w:val="auto"/>
                <w:lang w:val="en-US" w:eastAsia="zh-CN"/>
              </w:rPr>
              <w:t>h（回用水+新鲜水）</w:t>
            </w:r>
            <w:r>
              <w:rPr>
                <w:rFonts w:hint="default" w:cs="Times New Roman"/>
                <w:bCs/>
                <w:color w:val="auto"/>
                <w:lang w:val="en-US" w:eastAsia="zh-CN"/>
              </w:rPr>
              <w:t>，补水水源</w:t>
            </w:r>
            <w:r>
              <w:rPr>
                <w:rFonts w:hint="eastAsia" w:cs="Times New Roman"/>
                <w:bCs/>
                <w:color w:val="auto"/>
                <w:lang w:val="en-US" w:eastAsia="zh-CN"/>
              </w:rPr>
              <w:t>采用新鲜水。</w:t>
            </w:r>
          </w:p>
          <w:p w14:paraId="14D8C1EB">
            <w:pPr>
              <w:spacing w:line="360" w:lineRule="auto"/>
              <w:ind w:firstLine="420" w:firstLineChars="200"/>
              <w:rPr>
                <w:rFonts w:hint="default" w:ascii="Times New Roman" w:hAnsi="Times New Roman" w:cs="Times New Roman"/>
                <w:bCs/>
                <w:color w:val="auto"/>
              </w:rPr>
            </w:pPr>
            <w:r>
              <w:rPr>
                <w:rFonts w:hint="eastAsia" w:cs="Times New Roman"/>
                <w:bCs/>
                <w:color w:val="auto"/>
                <w:lang w:val="en-US" w:eastAsia="zh-CN"/>
              </w:rPr>
              <w:fldChar w:fldCharType="begin"/>
            </w:r>
            <w:r>
              <w:rPr>
                <w:rFonts w:hint="eastAsia" w:cs="Times New Roman"/>
                <w:bCs/>
                <w:color w:val="auto"/>
                <w:lang w:val="en-US" w:eastAsia="zh-CN"/>
              </w:rPr>
              <w:instrText xml:space="preserve"> EQ \o\ac(</w:instrText>
            </w:r>
            <w:r>
              <w:rPr>
                <w:rFonts w:hint="eastAsia" w:ascii="Times New Roman" w:hAnsi="Times New Roman" w:eastAsia="宋体" w:cs="Times New Roman"/>
                <w:bCs/>
                <w:color w:val="auto"/>
                <w:kern w:val="2"/>
                <w:position w:val="-4"/>
                <w:sz w:val="31"/>
                <w:szCs w:val="24"/>
                <w:lang w:val="en-US" w:eastAsia="zh-CN" w:bidi="ar-SA"/>
              </w:rPr>
              <w:instrText xml:space="preserve">○</w:instrText>
            </w:r>
            <w:r>
              <w:rPr>
                <w:rFonts w:hint="eastAsia" w:cs="Times New Roman"/>
                <w:bCs/>
                <w:color w:val="auto"/>
                <w:lang w:val="en-US" w:eastAsia="zh-CN"/>
              </w:rPr>
              <w:instrText xml:space="preserve">,13)</w:instrText>
            </w:r>
            <w:r>
              <w:rPr>
                <w:rFonts w:hint="eastAsia" w:cs="Times New Roman"/>
                <w:bCs/>
                <w:color w:val="auto"/>
                <w:lang w:val="en-US" w:eastAsia="zh-CN"/>
              </w:rPr>
              <w:fldChar w:fldCharType="end"/>
            </w:r>
            <w:r>
              <w:rPr>
                <w:rFonts w:hint="default" w:ascii="Times New Roman" w:hAnsi="Times New Roman" w:cs="Times New Roman"/>
                <w:bCs/>
                <w:color w:val="auto"/>
              </w:rPr>
              <w:t>喷淋塔用水</w:t>
            </w:r>
          </w:p>
          <w:p w14:paraId="3E0ED641">
            <w:pPr>
              <w:spacing w:line="360" w:lineRule="auto"/>
              <w:ind w:firstLine="420" w:firstLineChars="200"/>
              <w:rPr>
                <w:rFonts w:hint="eastAsia" w:ascii="Times New Roman" w:hAnsi="Times New Roman" w:eastAsia="宋体" w:cs="Times New Roman"/>
                <w:color w:val="auto"/>
                <w:lang w:val="en-US" w:eastAsia="zh-CN"/>
              </w:rPr>
            </w:pPr>
            <w:r>
              <w:rPr>
                <w:rFonts w:hint="eastAsia" w:cs="Times New Roman"/>
                <w:bCs/>
                <w:color w:val="auto"/>
                <w:lang w:val="en-US" w:eastAsia="zh-CN"/>
              </w:rPr>
              <w:t>盐酸酸洗工序喷淋塔</w:t>
            </w:r>
            <w:r>
              <w:rPr>
                <w:rFonts w:hint="default" w:ascii="Times New Roman" w:hAnsi="Times New Roman" w:cs="Times New Roman"/>
                <w:bCs/>
                <w:color w:val="auto"/>
              </w:rPr>
              <w:t>、</w:t>
            </w:r>
            <w:r>
              <w:rPr>
                <w:rFonts w:hint="eastAsia" w:cs="Times New Roman"/>
                <w:bCs/>
                <w:color w:val="auto"/>
                <w:lang w:val="en-US" w:eastAsia="zh-CN"/>
              </w:rPr>
              <w:t>硫酸酸洗工序喷淋塔、碱洗工序、酸再生喷淋塔</w:t>
            </w:r>
            <w:r>
              <w:rPr>
                <w:rFonts w:hint="default" w:ascii="Times New Roman" w:hAnsi="Times New Roman" w:cs="Times New Roman"/>
                <w:bCs/>
                <w:color w:val="auto"/>
              </w:rPr>
              <w:t>补水为新鲜水，每个喷淋塔容水量为</w:t>
            </w:r>
            <w:r>
              <w:rPr>
                <w:rFonts w:hint="eastAsia" w:cs="Times New Roman"/>
                <w:bCs/>
                <w:color w:val="auto"/>
                <w:lang w:val="en-US" w:eastAsia="zh-CN"/>
              </w:rPr>
              <w:t>3</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w:t>
            </w:r>
            <w:r>
              <w:rPr>
                <w:rFonts w:hint="default" w:ascii="Times New Roman" w:hAnsi="Times New Roman" w:cs="Times New Roman"/>
                <w:bCs/>
                <w:color w:val="auto"/>
              </w:rPr>
              <w:t>循环量为</w:t>
            </w:r>
            <w:r>
              <w:rPr>
                <w:rFonts w:hint="eastAsia" w:cs="Times New Roman"/>
                <w:bCs/>
                <w:color w:val="auto"/>
                <w:lang w:val="en-US" w:eastAsia="zh-CN"/>
              </w:rPr>
              <w:t>22.5</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/h，喷淋塔循环水蒸发损耗量以循环水量的1.5%计，排污量为循环水量的0.5%，则每座喷淋塔新鲜水补水量为循环量的2%，即</w:t>
            </w:r>
            <w:r>
              <w:rPr>
                <w:rFonts w:hint="eastAsia" w:cs="Times New Roman"/>
                <w:color w:val="auto"/>
                <w:lang w:val="en-US" w:eastAsia="zh-CN"/>
              </w:rPr>
              <w:t>18</w:t>
            </w:r>
            <w:r>
              <w:rPr>
                <w:rFonts w:hint="default" w:ascii="Times New Roman" w:hAnsi="Times New Roman" w:cs="Times New Roman"/>
                <w:color w:val="auto"/>
              </w:rPr>
              <w:t>m³/d，</w:t>
            </w:r>
            <w:r>
              <w:rPr>
                <w:rFonts w:hint="eastAsia" w:cs="Times New Roman"/>
                <w:color w:val="auto"/>
                <w:lang w:val="en-US" w:eastAsia="zh-CN"/>
              </w:rPr>
              <w:t>4</w:t>
            </w:r>
            <w:r>
              <w:rPr>
                <w:rFonts w:hint="default" w:ascii="Times New Roman" w:hAnsi="Times New Roman" w:cs="Times New Roman"/>
                <w:color w:val="auto"/>
              </w:rPr>
              <w:t>座</w:t>
            </w:r>
            <w:r>
              <w:rPr>
                <w:rFonts w:hint="eastAsia" w:cs="Times New Roman"/>
                <w:color w:val="auto"/>
                <w:lang w:val="en-US" w:eastAsia="zh-CN"/>
              </w:rPr>
              <w:t>酸（水）</w:t>
            </w:r>
            <w:r>
              <w:rPr>
                <w:rFonts w:hint="default" w:ascii="Times New Roman" w:hAnsi="Times New Roman" w:cs="Times New Roman"/>
                <w:color w:val="auto"/>
              </w:rPr>
              <w:t>喷淋塔补水量为</w:t>
            </w:r>
            <w:r>
              <w:rPr>
                <w:rFonts w:hint="eastAsia" w:cs="Times New Roman"/>
                <w:color w:val="auto"/>
                <w:lang w:val="en-US" w:eastAsia="zh-CN"/>
              </w:rPr>
              <w:t>21024</w:t>
            </w:r>
            <w:r>
              <w:rPr>
                <w:rFonts w:hint="default" w:ascii="Times New Roman" w:hAnsi="Times New Roman" w:cs="Times New Roman"/>
                <w:color w:val="auto"/>
              </w:rPr>
              <w:t>m³/a</w:t>
            </w:r>
            <w:r>
              <w:rPr>
                <w:rFonts w:hint="eastAsia" w:cs="Times New Roman"/>
                <w:color w:val="auto"/>
                <w:lang w:eastAsia="zh-CN"/>
              </w:rPr>
              <w:t>，</w:t>
            </w:r>
            <w:r>
              <w:rPr>
                <w:rFonts w:hint="eastAsia" w:cs="Times New Roman"/>
                <w:color w:val="auto"/>
                <w:lang w:val="en-US" w:eastAsia="zh-CN"/>
              </w:rPr>
              <w:t>1座碱喷淋塔</w:t>
            </w:r>
            <w:r>
              <w:rPr>
                <w:rFonts w:hint="default" w:ascii="Times New Roman" w:hAnsi="Times New Roman" w:cs="Times New Roman"/>
                <w:color w:val="auto"/>
              </w:rPr>
              <w:t>补水量为</w:t>
            </w:r>
            <w:r>
              <w:rPr>
                <w:rFonts w:hint="eastAsia" w:cs="Times New Roman"/>
                <w:color w:val="auto"/>
                <w:lang w:val="en-US" w:eastAsia="zh-CN"/>
              </w:rPr>
              <w:t>5256</w:t>
            </w:r>
            <w:r>
              <w:rPr>
                <w:rFonts w:hint="default" w:ascii="Times New Roman" w:hAnsi="Times New Roman" w:cs="Times New Roman"/>
                <w:color w:val="auto"/>
              </w:rPr>
              <w:t>m³/a</w:t>
            </w:r>
            <w:r>
              <w:rPr>
                <w:rFonts w:hint="eastAsia" w:cs="Times New Roman"/>
                <w:color w:val="auto"/>
                <w:lang w:eastAsia="zh-CN"/>
              </w:rPr>
              <w:t>；</w:t>
            </w:r>
          </w:p>
          <w:p w14:paraId="26FE788A">
            <w:pPr>
              <w:spacing w:line="360" w:lineRule="auto"/>
              <w:ind w:firstLine="420" w:firstLineChars="200"/>
              <w:rPr>
                <w:rFonts w:hint="eastAsia" w:ascii="Times New Roman" w:hAnsi="Times New Roman" w:eastAsia="宋体" w:cs="Times New Roman"/>
                <w:color w:val="auto"/>
                <w:lang w:eastAsia="zh-CN"/>
              </w:rPr>
            </w:pPr>
            <w:r>
              <w:rPr>
                <w:rFonts w:hint="default" w:ascii="Times New Roman" w:hAnsi="Times New Roman" w:cs="Times New Roman"/>
                <w:color w:val="auto"/>
              </w:rPr>
              <w:t>每座喷淋塔水箱中的水每7天一次进行整体更换，每座喷淋塔更换水量为</w:t>
            </w:r>
            <w:r>
              <w:rPr>
                <w:rFonts w:hint="eastAsia" w:cs="Times New Roman"/>
                <w:color w:val="auto"/>
                <w:lang w:val="en-US" w:eastAsia="zh-CN"/>
              </w:rPr>
              <w:t>210</w:t>
            </w:r>
            <w:r>
              <w:rPr>
                <w:rFonts w:hint="default" w:ascii="Times New Roman" w:hAnsi="Times New Roman" w:cs="Times New Roman"/>
                <w:color w:val="auto"/>
              </w:rPr>
              <w:t>m³/a，则</w:t>
            </w:r>
            <w:r>
              <w:rPr>
                <w:rFonts w:hint="eastAsia" w:cs="Times New Roman"/>
                <w:color w:val="auto"/>
                <w:lang w:val="en-US" w:eastAsia="zh-CN"/>
              </w:rPr>
              <w:t>4</w:t>
            </w:r>
            <w:r>
              <w:rPr>
                <w:rFonts w:hint="default" w:ascii="Times New Roman" w:hAnsi="Times New Roman" w:cs="Times New Roman"/>
                <w:color w:val="auto"/>
              </w:rPr>
              <w:t>座</w:t>
            </w:r>
            <w:r>
              <w:rPr>
                <w:rFonts w:hint="eastAsia" w:cs="Times New Roman"/>
                <w:color w:val="auto"/>
                <w:lang w:val="en-US" w:eastAsia="zh-CN"/>
              </w:rPr>
              <w:t>酸（水）</w:t>
            </w:r>
            <w:r>
              <w:rPr>
                <w:rFonts w:hint="default" w:ascii="Times New Roman" w:hAnsi="Times New Roman" w:cs="Times New Roman"/>
                <w:color w:val="auto"/>
              </w:rPr>
              <w:t>喷淋塔每年更换水量为</w:t>
            </w:r>
            <w:r>
              <w:rPr>
                <w:rFonts w:hint="eastAsia" w:cs="Times New Roman"/>
                <w:color w:val="auto"/>
                <w:lang w:val="en-US" w:eastAsia="zh-CN"/>
              </w:rPr>
              <w:t>840</w:t>
            </w:r>
            <w:r>
              <w:rPr>
                <w:rFonts w:hint="default" w:ascii="Times New Roman" w:hAnsi="Times New Roman" w:cs="Times New Roman"/>
                <w:color w:val="auto"/>
              </w:rPr>
              <w:t>m³/a；</w:t>
            </w:r>
            <w:r>
              <w:rPr>
                <w:rFonts w:hint="eastAsia" w:cs="Times New Roman"/>
                <w:color w:val="auto"/>
                <w:lang w:val="en-US" w:eastAsia="zh-CN"/>
              </w:rPr>
              <w:t>1座碱喷淋塔</w:t>
            </w:r>
            <w:r>
              <w:rPr>
                <w:rFonts w:hint="default" w:ascii="Times New Roman" w:hAnsi="Times New Roman" w:cs="Times New Roman"/>
                <w:color w:val="auto"/>
              </w:rPr>
              <w:t>补水量为</w:t>
            </w:r>
            <w:r>
              <w:rPr>
                <w:rFonts w:hint="eastAsia" w:cs="Times New Roman"/>
                <w:color w:val="auto"/>
                <w:lang w:val="en-US" w:eastAsia="zh-CN"/>
              </w:rPr>
              <w:t>210</w:t>
            </w:r>
            <w:r>
              <w:rPr>
                <w:rFonts w:hint="default" w:ascii="Times New Roman" w:hAnsi="Times New Roman" w:cs="Times New Roman"/>
                <w:color w:val="auto"/>
              </w:rPr>
              <w:t>m³/a</w:t>
            </w:r>
            <w:r>
              <w:rPr>
                <w:rFonts w:hint="eastAsia" w:cs="Times New Roman"/>
                <w:color w:val="auto"/>
                <w:lang w:eastAsia="zh-CN"/>
              </w:rPr>
              <w:t>。</w:t>
            </w:r>
          </w:p>
          <w:p w14:paraId="35C91EF1">
            <w:pPr>
              <w:spacing w:line="360" w:lineRule="auto"/>
              <w:ind w:firstLine="420" w:firstLineChars="200"/>
              <w:rPr>
                <w:rFonts w:hint="eastAsia" w:cs="Times New Roman"/>
                <w:bCs/>
                <w:color w:val="auto"/>
                <w:lang w:val="en-US" w:eastAsia="zh-CN"/>
              </w:rPr>
            </w:pPr>
            <w:r>
              <w:rPr>
                <w:rFonts w:hint="eastAsia" w:cs="Times New Roman"/>
                <w:bCs/>
                <w:color w:val="auto"/>
                <w:lang w:val="en-US" w:eastAsia="zh-CN"/>
              </w:rPr>
              <w:fldChar w:fldCharType="begin"/>
            </w:r>
            <w:r>
              <w:rPr>
                <w:rFonts w:hint="eastAsia" w:cs="Times New Roman"/>
                <w:bCs/>
                <w:color w:val="auto"/>
                <w:lang w:val="en-US" w:eastAsia="zh-CN"/>
              </w:rPr>
              <w:instrText xml:space="preserve"> EQ \o\ac(</w:instrText>
            </w:r>
            <w:r>
              <w:rPr>
                <w:rFonts w:hint="eastAsia" w:ascii="Times New Roman" w:hAnsi="Times New Roman" w:eastAsia="宋体" w:cs="Times New Roman"/>
                <w:bCs/>
                <w:color w:val="auto"/>
                <w:kern w:val="2"/>
                <w:position w:val="-4"/>
                <w:sz w:val="31"/>
                <w:szCs w:val="24"/>
                <w:lang w:val="en-US" w:eastAsia="zh-CN" w:bidi="ar-SA"/>
              </w:rPr>
              <w:instrText xml:space="preserve">○</w:instrText>
            </w:r>
            <w:r>
              <w:rPr>
                <w:rFonts w:hint="eastAsia" w:cs="Times New Roman"/>
                <w:bCs/>
                <w:color w:val="auto"/>
                <w:lang w:val="en-US" w:eastAsia="zh-CN"/>
              </w:rPr>
              <w:instrText xml:space="preserve">,14)</w:instrText>
            </w:r>
            <w:r>
              <w:rPr>
                <w:rFonts w:hint="eastAsia" w:cs="Times New Roman"/>
                <w:bCs/>
                <w:color w:val="auto"/>
                <w:lang w:val="en-US" w:eastAsia="zh-CN"/>
              </w:rPr>
              <w:fldChar w:fldCharType="end"/>
            </w:r>
            <w:r>
              <w:rPr>
                <w:rFonts w:hint="eastAsia" w:cs="Times New Roman"/>
                <w:bCs/>
                <w:color w:val="auto"/>
                <w:lang w:val="en-US" w:eastAsia="zh-CN"/>
              </w:rPr>
              <w:t>车间地面清洁用水</w:t>
            </w:r>
          </w:p>
          <w:p w14:paraId="30A5F0C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cs="Times New Roman"/>
                <w:bCs/>
                <w:color w:val="auto"/>
                <w:lang w:val="en-US" w:eastAsia="zh-CN"/>
              </w:rPr>
            </w:pPr>
            <w:r>
              <w:rPr>
                <w:rFonts w:hint="eastAsia" w:cs="Times New Roman"/>
                <w:bCs/>
                <w:color w:val="auto"/>
                <w:lang w:val="en-US" w:eastAsia="zh-CN"/>
              </w:rPr>
              <w:t>项目车间采用拖洗一体清扫车进行清理，车间清洁频次按照3天1次，用水量</w:t>
            </w:r>
            <w:r>
              <w:rPr>
                <w:rFonts w:hint="default" w:ascii="Times New Roman" w:hAnsi="Times New Roman" w:cs="Times New Roman"/>
                <w:bCs/>
                <w:color w:val="auto"/>
                <w:sz w:val="21"/>
                <w:szCs w:val="21"/>
                <w:lang w:val="en-US" w:eastAsia="zh-CN"/>
              </w:rPr>
              <w:t>约</w:t>
            </w:r>
            <w:r>
              <w:rPr>
                <w:rFonts w:hint="default" w:ascii="Times New Roman" w:hAnsi="Times New Roman" w:eastAsia="宋体" w:cs="Times New Roman"/>
                <w:color w:val="auto"/>
                <w:sz w:val="21"/>
                <w:szCs w:val="21"/>
              </w:rPr>
              <w:t>0.4L/</w:t>
            </w: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2</w:t>
            </w:r>
            <w:r>
              <w:rPr>
                <w:rFonts w:hint="eastAsia" w:cs="Times New Roman"/>
                <w:bCs/>
                <w:color w:val="auto"/>
                <w:lang w:val="en-US" w:eastAsia="zh-CN"/>
              </w:rPr>
              <w:t>，本项目硅钢车间和铁芯车间需要清扫的区域面积共约5万</w:t>
            </w: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2</w:t>
            </w:r>
            <w:r>
              <w:rPr>
                <w:rFonts w:hint="eastAsia" w:cs="Times New Roman"/>
                <w:color w:val="auto"/>
                <w:sz w:val="21"/>
                <w:szCs w:val="21"/>
                <w:vertAlign w:val="baseline"/>
                <w:lang w:val="en-US" w:eastAsia="zh-CN"/>
              </w:rPr>
              <w:t>，</w:t>
            </w:r>
            <w:r>
              <w:rPr>
                <w:rFonts w:hint="eastAsia" w:cs="Times New Roman"/>
                <w:bCs/>
                <w:color w:val="auto"/>
                <w:lang w:val="en-US" w:eastAsia="zh-CN"/>
              </w:rPr>
              <w:t>即地面清洁用水20m</w:t>
            </w:r>
            <w:r>
              <w:rPr>
                <w:rFonts w:hint="eastAsia" w:cs="Times New Roman"/>
                <w:bCs/>
                <w:color w:val="auto"/>
                <w:vertAlign w:val="superscript"/>
                <w:lang w:val="en-US" w:eastAsia="zh-CN"/>
              </w:rPr>
              <w:t>3</w:t>
            </w:r>
            <w:r>
              <w:rPr>
                <w:rFonts w:hint="eastAsia" w:cs="Times New Roman"/>
                <w:bCs/>
                <w:color w:val="auto"/>
                <w:lang w:val="en-US" w:eastAsia="zh-CN"/>
              </w:rPr>
              <w:t>/次，年用量为1946.67m</w:t>
            </w:r>
            <w:r>
              <w:rPr>
                <w:rFonts w:hint="eastAsia" w:cs="Times New Roman"/>
                <w:bCs/>
                <w:color w:val="auto"/>
                <w:vertAlign w:val="superscript"/>
                <w:lang w:val="en-US" w:eastAsia="zh-CN"/>
              </w:rPr>
              <w:t>3</w:t>
            </w:r>
            <w:r>
              <w:rPr>
                <w:rFonts w:hint="eastAsia" w:cs="Times New Roman"/>
                <w:bCs/>
                <w:color w:val="auto"/>
                <w:lang w:val="en-US" w:eastAsia="zh-CN"/>
              </w:rPr>
              <w:t>/a，全部损耗。</w:t>
            </w:r>
          </w:p>
          <w:p w14:paraId="181B53C4">
            <w:pPr>
              <w:spacing w:line="360" w:lineRule="auto"/>
              <w:ind w:firstLine="420" w:firstLineChars="200"/>
              <w:rPr>
                <w:rFonts w:hint="default" w:ascii="Times New Roman" w:hAnsi="Times New Roman" w:cs="Times New Roman"/>
                <w:bCs/>
                <w:color w:val="auto"/>
              </w:rPr>
            </w:pPr>
            <w:r>
              <w:rPr>
                <w:rFonts w:hint="eastAsia" w:cs="Times New Roman"/>
                <w:bCs/>
                <w:color w:val="auto"/>
                <w:lang w:val="en-US" w:eastAsia="zh-CN"/>
              </w:rPr>
              <w:fldChar w:fldCharType="begin"/>
            </w:r>
            <w:r>
              <w:rPr>
                <w:rFonts w:hint="eastAsia" w:cs="Times New Roman"/>
                <w:bCs/>
                <w:color w:val="auto"/>
                <w:lang w:val="en-US" w:eastAsia="zh-CN"/>
              </w:rPr>
              <w:instrText xml:space="preserve"> EQ \o\ac(</w:instrText>
            </w:r>
            <w:r>
              <w:rPr>
                <w:rFonts w:hint="eastAsia" w:ascii="Times New Roman" w:hAnsi="Times New Roman" w:eastAsia="宋体" w:cs="Times New Roman"/>
                <w:bCs/>
                <w:color w:val="auto"/>
                <w:kern w:val="2"/>
                <w:position w:val="-4"/>
                <w:sz w:val="31"/>
                <w:szCs w:val="24"/>
                <w:lang w:val="en-US" w:eastAsia="zh-CN" w:bidi="ar-SA"/>
              </w:rPr>
              <w:instrText xml:space="preserve">○</w:instrText>
            </w:r>
            <w:r>
              <w:rPr>
                <w:rFonts w:hint="eastAsia" w:cs="Times New Roman"/>
                <w:bCs/>
                <w:color w:val="auto"/>
                <w:lang w:val="en-US" w:eastAsia="zh-CN"/>
              </w:rPr>
              <w:instrText xml:space="preserve">,15)</w:instrText>
            </w:r>
            <w:r>
              <w:rPr>
                <w:rFonts w:hint="eastAsia" w:cs="Times New Roman"/>
                <w:bCs/>
                <w:color w:val="auto"/>
                <w:lang w:val="en-US" w:eastAsia="zh-CN"/>
              </w:rPr>
              <w:fldChar w:fldCharType="end"/>
            </w:r>
            <w:r>
              <w:rPr>
                <w:rFonts w:hint="default" w:ascii="Times New Roman" w:hAnsi="Times New Roman" w:cs="Times New Roman"/>
                <w:bCs/>
                <w:color w:val="auto"/>
              </w:rPr>
              <w:t>生活用水</w:t>
            </w:r>
          </w:p>
          <w:p w14:paraId="05D1DB09">
            <w:pPr>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color w:val="auto"/>
                <w:szCs w:val="28"/>
              </w:rPr>
              <w:t>本项目组织定员</w:t>
            </w:r>
            <w:r>
              <w:rPr>
                <w:rFonts w:hint="eastAsia" w:cs="Times New Roman"/>
                <w:color w:val="auto"/>
                <w:szCs w:val="28"/>
                <w:lang w:val="en-US" w:eastAsia="zh-CN"/>
              </w:rPr>
              <w:t>215</w:t>
            </w:r>
            <w:r>
              <w:rPr>
                <w:rFonts w:hint="default" w:ascii="Times New Roman" w:hAnsi="Times New Roman" w:cs="Times New Roman"/>
                <w:color w:val="auto"/>
                <w:szCs w:val="28"/>
              </w:rPr>
              <w:t>人，年生产300天，不提供食宿，用水定额按照</w:t>
            </w:r>
            <w:r>
              <w:rPr>
                <w:rFonts w:hint="default" w:ascii="Times New Roman" w:hAnsi="Times New Roman" w:cs="Times New Roman"/>
                <w:color w:val="auto"/>
              </w:rPr>
              <w:t>50L/d·人计，则生活用水量为</w:t>
            </w:r>
            <w:r>
              <w:rPr>
                <w:rFonts w:hint="eastAsia" w:cs="Times New Roman"/>
                <w:color w:val="auto"/>
                <w:lang w:val="en-US" w:eastAsia="zh-CN"/>
              </w:rPr>
              <w:t>10.75</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/d，合</w:t>
            </w:r>
            <w:r>
              <w:rPr>
                <w:rFonts w:hint="eastAsia" w:cs="Times New Roman"/>
                <w:color w:val="auto"/>
                <w:lang w:val="en-US" w:eastAsia="zh-CN"/>
              </w:rPr>
              <w:t>3225</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/a。</w:t>
            </w:r>
            <w:r>
              <w:rPr>
                <w:rFonts w:hint="default" w:ascii="Times New Roman" w:hAnsi="Times New Roman" w:cs="Times New Roman"/>
                <w:bCs/>
                <w:color w:val="auto"/>
              </w:rPr>
              <w:t>水源为新鲜水。</w:t>
            </w:r>
          </w:p>
          <w:p w14:paraId="4E6F08B8">
            <w:pPr>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综上，</w:t>
            </w:r>
            <w:r>
              <w:rPr>
                <w:rFonts w:hint="eastAsia" w:cs="Times New Roman"/>
                <w:bCs/>
                <w:color w:val="auto"/>
                <w:lang w:val="en-US" w:eastAsia="zh-CN"/>
              </w:rPr>
              <w:t>本项目</w:t>
            </w:r>
            <w:r>
              <w:rPr>
                <w:rFonts w:hint="default" w:ascii="Times New Roman" w:hAnsi="Times New Roman" w:cs="Times New Roman"/>
                <w:bCs/>
                <w:color w:val="auto"/>
              </w:rPr>
              <w:t>年用水总量</w:t>
            </w:r>
            <w:r>
              <w:rPr>
                <w:rFonts w:hint="eastAsia" w:cs="Times New Roman"/>
                <w:bCs/>
                <w:color w:val="auto"/>
                <w:lang w:eastAsia="zh-CN"/>
              </w:rPr>
              <w:t>为</w:t>
            </w:r>
            <w:r>
              <w:rPr>
                <w:rFonts w:hint="eastAsia" w:cs="Times New Roman"/>
                <w:bCs/>
                <w:color w:val="auto"/>
                <w:lang w:val="en-US" w:eastAsia="zh-CN"/>
              </w:rPr>
              <w:t>1032136.64</w:t>
            </w:r>
            <w:r>
              <w:rPr>
                <w:rFonts w:hint="default" w:ascii="Times New Roman" w:hAnsi="Times New Roman" w:cs="Times New Roman"/>
                <w:bCs/>
                <w:color w:val="auto"/>
              </w:rPr>
              <w:t>m³。</w:t>
            </w:r>
          </w:p>
          <w:p w14:paraId="54CB3F2F">
            <w:pPr>
              <w:spacing w:line="360" w:lineRule="auto"/>
              <w:ind w:firstLine="420" w:firstLineChars="200"/>
              <w:rPr>
                <w:rFonts w:hint="default" w:ascii="Times New Roman" w:hAnsi="Times New Roman" w:cs="Times New Roman"/>
                <w:color w:val="auto"/>
              </w:rPr>
            </w:pPr>
            <w:r>
              <w:rPr>
                <w:rFonts w:hint="eastAsia" w:cs="Times New Roman"/>
                <w:color w:val="auto"/>
                <w:lang w:eastAsia="zh-CN"/>
              </w:rPr>
              <w:t>（</w:t>
            </w:r>
            <w:r>
              <w:rPr>
                <w:rFonts w:hint="eastAsia" w:cs="Times New Roman"/>
                <w:color w:val="auto"/>
                <w:lang w:val="en-US" w:eastAsia="zh-CN"/>
              </w:rPr>
              <w:t>2</w:t>
            </w:r>
            <w:r>
              <w:rPr>
                <w:rFonts w:hint="eastAsia" w:cs="Times New Roman"/>
                <w:color w:val="auto"/>
                <w:lang w:eastAsia="zh-CN"/>
              </w:rPr>
              <w:t>）</w:t>
            </w:r>
            <w:r>
              <w:rPr>
                <w:rFonts w:hint="default" w:ascii="Times New Roman" w:hAnsi="Times New Roman" w:cs="Times New Roman"/>
                <w:color w:val="auto"/>
              </w:rPr>
              <w:t>排水</w:t>
            </w:r>
          </w:p>
          <w:p w14:paraId="1BB0D60D">
            <w:pPr>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rPr>
              <w:t>拟建</w:t>
            </w:r>
            <w:r>
              <w:rPr>
                <w:rFonts w:hint="eastAsia" w:cs="Times New Roman"/>
                <w:color w:val="auto"/>
                <w:lang w:val="en-US" w:eastAsia="zh-CN"/>
              </w:rPr>
              <w:t>项目</w:t>
            </w:r>
            <w:r>
              <w:rPr>
                <w:rFonts w:hint="default" w:ascii="Times New Roman" w:hAnsi="Times New Roman" w:cs="Times New Roman"/>
                <w:color w:val="auto"/>
              </w:rPr>
              <w:t>采用雨污分流制。本项目</w:t>
            </w:r>
            <w:r>
              <w:rPr>
                <w:rFonts w:hint="eastAsia" w:cs="Times New Roman"/>
                <w:color w:val="auto"/>
                <w:lang w:val="en-US" w:eastAsia="zh-CN"/>
              </w:rPr>
              <w:t>废水</w:t>
            </w:r>
            <w:r>
              <w:rPr>
                <w:rFonts w:hint="default" w:ascii="Times New Roman" w:hAnsi="Times New Roman" w:cs="Times New Roman"/>
                <w:color w:val="auto"/>
              </w:rPr>
              <w:t>主要</w:t>
            </w:r>
            <w:r>
              <w:rPr>
                <w:rFonts w:hint="eastAsia" w:cs="Times New Roman"/>
                <w:color w:val="auto"/>
                <w:lang w:val="en-US" w:eastAsia="zh-CN"/>
              </w:rPr>
              <w:t>包括酸性</w:t>
            </w:r>
            <w:r>
              <w:rPr>
                <w:rFonts w:hint="default" w:ascii="Times New Roman" w:hAnsi="Times New Roman" w:cs="Times New Roman"/>
                <w:color w:val="auto"/>
              </w:rPr>
              <w:t>废水、</w:t>
            </w:r>
            <w:r>
              <w:rPr>
                <w:rFonts w:hint="eastAsia" w:cs="Times New Roman"/>
                <w:color w:val="auto"/>
                <w:lang w:val="en-US" w:eastAsia="zh-CN"/>
              </w:rPr>
              <w:t>碱性含油废水、MgO废水、带钢喷淋冷却清洗废水、</w:t>
            </w:r>
            <w:r>
              <w:rPr>
                <w:rFonts w:hint="default" w:ascii="Times New Roman" w:hAnsi="Times New Roman" w:cs="Times New Roman"/>
                <w:color w:val="auto"/>
              </w:rPr>
              <w:t>锅炉排污水、</w:t>
            </w:r>
            <w:r>
              <w:rPr>
                <w:rFonts w:hint="eastAsia" w:cs="Times New Roman"/>
                <w:color w:val="auto"/>
                <w:lang w:val="en-US" w:eastAsia="zh-CN"/>
              </w:rPr>
              <w:t>脱盐水</w:t>
            </w:r>
            <w:r>
              <w:rPr>
                <w:rFonts w:hint="default" w:ascii="Times New Roman" w:hAnsi="Times New Roman" w:cs="Times New Roman"/>
                <w:color w:val="auto"/>
              </w:rPr>
              <w:t>制备系统排水</w:t>
            </w:r>
            <w:r>
              <w:rPr>
                <w:rFonts w:hint="eastAsia" w:cs="Times New Roman"/>
                <w:color w:val="auto"/>
                <w:lang w:eastAsia="zh-CN"/>
              </w:rPr>
              <w:t>、</w:t>
            </w:r>
            <w:r>
              <w:rPr>
                <w:rFonts w:hint="eastAsia" w:cs="Times New Roman"/>
                <w:color w:val="auto"/>
                <w:lang w:val="en-US" w:eastAsia="zh-CN"/>
              </w:rPr>
              <w:t>净循环水系统排污水</w:t>
            </w:r>
            <w:r>
              <w:rPr>
                <w:rFonts w:hint="default" w:ascii="Times New Roman" w:hAnsi="Times New Roman" w:cs="Times New Roman"/>
                <w:color w:val="auto"/>
              </w:rPr>
              <w:t>及生活污水。</w:t>
            </w:r>
          </w:p>
          <w:p w14:paraId="4F1DBFF9">
            <w:pPr>
              <w:spacing w:line="360" w:lineRule="auto"/>
              <w:ind w:firstLine="420" w:firstLineChars="200"/>
              <w:rPr>
                <w:rFonts w:hint="eastAsia" w:cs="Times New Roman"/>
                <w:color w:val="auto"/>
                <w:lang w:val="en-US" w:eastAsia="zh-CN"/>
              </w:rPr>
            </w:pPr>
            <w:r>
              <w:rPr>
                <w:rFonts w:hint="eastAsia" w:cs="Times New Roman"/>
                <w:color w:val="auto"/>
                <w:lang w:val="en-US" w:eastAsia="zh-CN"/>
              </w:rPr>
              <w:t>①酸性废水</w:t>
            </w:r>
          </w:p>
          <w:p w14:paraId="482FCDB0">
            <w:pPr>
              <w:spacing w:line="360" w:lineRule="auto"/>
              <w:ind w:firstLine="420" w:firstLineChars="200"/>
              <w:rPr>
                <w:rFonts w:hint="default" w:cs="Times New Roman"/>
                <w:color w:val="auto"/>
                <w:lang w:val="en-US" w:eastAsia="zh-CN"/>
              </w:rPr>
            </w:pPr>
            <w:r>
              <w:rPr>
                <w:rFonts w:hint="eastAsia" w:cs="Times New Roman"/>
                <w:color w:val="auto"/>
                <w:lang w:val="en-US" w:eastAsia="zh-CN"/>
              </w:rPr>
              <w:t>主要包括常化盐酸后水洗酸洗废水、硫酸酸洗后水洗废水、两座酸性废气洗涤塔排水，排至酸性废水处理站处理。酸性废水处理站处理规模为20m</w:t>
            </w:r>
            <w:r>
              <w:rPr>
                <w:rFonts w:hint="eastAsia" w:cs="Times New Roman"/>
                <w:color w:val="auto"/>
                <w:vertAlign w:val="superscript"/>
                <w:lang w:val="en-US" w:eastAsia="zh-CN"/>
              </w:rPr>
              <w:t>3</w:t>
            </w:r>
            <w:r>
              <w:rPr>
                <w:rFonts w:hint="eastAsia" w:cs="Times New Roman"/>
                <w:color w:val="auto"/>
                <w:lang w:val="en-US" w:eastAsia="zh-CN"/>
              </w:rPr>
              <w:t>/h，处理工艺为调节+中和+絮凝沉淀。</w:t>
            </w:r>
          </w:p>
          <w:p w14:paraId="7894F6B1">
            <w:pPr>
              <w:spacing w:line="360" w:lineRule="auto"/>
              <w:ind w:firstLine="420" w:firstLineChars="200"/>
              <w:rPr>
                <w:rFonts w:hint="eastAsia" w:cs="Times New Roman"/>
                <w:color w:val="auto"/>
                <w:lang w:val="en-US" w:eastAsia="zh-CN"/>
              </w:rPr>
            </w:pPr>
            <w:r>
              <w:rPr>
                <w:rFonts w:hint="eastAsia" w:cs="Times New Roman"/>
                <w:color w:val="auto"/>
                <w:lang w:val="en-US" w:eastAsia="zh-CN"/>
              </w:rPr>
              <w:t>②碱性、含油和乳化液废水</w:t>
            </w:r>
          </w:p>
          <w:p w14:paraId="7F874882">
            <w:pPr>
              <w:spacing w:line="360" w:lineRule="auto"/>
              <w:ind w:firstLine="420" w:firstLineChars="200"/>
              <w:rPr>
                <w:rFonts w:hint="default" w:cs="Times New Roman"/>
                <w:color w:val="auto"/>
                <w:lang w:val="en-US" w:eastAsia="zh-CN"/>
              </w:rPr>
            </w:pPr>
            <w:r>
              <w:rPr>
                <w:rFonts w:hint="eastAsia" w:cs="Times New Roman"/>
                <w:color w:val="auto"/>
                <w:lang w:val="en-US" w:eastAsia="zh-CN"/>
              </w:rPr>
              <w:t>本项目碱性、含油和乳化液废水包括冷轧废水、碱洗工序废水、碱洗后水洗废水、碱性废气洗涤塔排水，排至碱性含油废水处理站处理，处理规模为18m</w:t>
            </w:r>
            <w:r>
              <w:rPr>
                <w:rFonts w:hint="eastAsia" w:cs="Times New Roman"/>
                <w:color w:val="auto"/>
                <w:vertAlign w:val="superscript"/>
                <w:lang w:val="en-US" w:eastAsia="zh-CN"/>
              </w:rPr>
              <w:t>3</w:t>
            </w:r>
            <w:r>
              <w:rPr>
                <w:rFonts w:hint="eastAsia" w:cs="Times New Roman"/>
                <w:color w:val="auto"/>
                <w:lang w:val="en-US" w:eastAsia="zh-CN"/>
              </w:rPr>
              <w:t>/h，处理工艺为：碱洗工序废水先进行隔油预处理后再与碱洗后水洗废水、碱性废气洗涤塔排水进行调节+中和+絮凝沉淀+MBR接触氧化处理后排至酸性废水处理站进行处理。</w:t>
            </w:r>
          </w:p>
          <w:p w14:paraId="69AD0186">
            <w:pPr>
              <w:spacing w:line="360" w:lineRule="auto"/>
              <w:ind w:firstLine="420" w:firstLineChars="200"/>
              <w:rPr>
                <w:rFonts w:hint="default" w:cs="Times New Roman"/>
                <w:color w:val="auto"/>
                <w:lang w:val="en-US" w:eastAsia="zh-CN"/>
              </w:rPr>
            </w:pPr>
            <w:r>
              <w:rPr>
                <w:rFonts w:hint="eastAsia" w:cs="Times New Roman"/>
                <w:color w:val="auto"/>
                <w:lang w:val="en-US" w:eastAsia="zh-CN"/>
              </w:rPr>
              <w:t>③带钢喷淋冷却清洗废水、MgO废水</w:t>
            </w:r>
          </w:p>
          <w:p w14:paraId="345BA2DB">
            <w:pPr>
              <w:spacing w:line="360" w:lineRule="auto"/>
              <w:ind w:firstLine="420" w:firstLineChars="200"/>
              <w:rPr>
                <w:rFonts w:hint="eastAsia" w:cs="Times New Roman"/>
                <w:bCs/>
                <w:color w:val="auto"/>
                <w:lang w:val="en-US" w:eastAsia="zh-CN"/>
              </w:rPr>
            </w:pPr>
            <w:r>
              <w:rPr>
                <w:rFonts w:hint="default" w:cs="Times New Roman"/>
                <w:bCs/>
                <w:color w:val="auto"/>
                <w:lang w:val="en-US" w:eastAsia="zh-CN"/>
              </w:rPr>
              <w:t>带钢喷淋使用后的水含有铁皮等，需要进行处理，带钢喷淋使用后的水收集后用管道</w:t>
            </w:r>
            <w:r>
              <w:rPr>
                <w:rFonts w:hint="eastAsia" w:cs="Times New Roman"/>
                <w:bCs/>
                <w:color w:val="auto"/>
                <w:lang w:val="en-US" w:eastAsia="zh-CN"/>
              </w:rPr>
              <w:t>送至</w:t>
            </w:r>
            <w:r>
              <w:rPr>
                <w:rFonts w:hint="default" w:cs="Times New Roman"/>
                <w:bCs/>
                <w:color w:val="auto"/>
                <w:lang w:val="en-US" w:eastAsia="zh-CN"/>
              </w:rPr>
              <w:t>外沉淀池，沉淀池内去除大的铁皮后，出水经泵提升至过滤器过滤</w:t>
            </w:r>
            <w:r>
              <w:rPr>
                <w:rFonts w:hint="eastAsia" w:cs="Times New Roman"/>
                <w:bCs/>
                <w:color w:val="auto"/>
                <w:lang w:val="en-US" w:eastAsia="zh-CN"/>
              </w:rPr>
              <w:t>后回用于带钢喷淋冷却。</w:t>
            </w:r>
          </w:p>
          <w:p w14:paraId="2A2598EC">
            <w:pPr>
              <w:spacing w:line="360" w:lineRule="auto"/>
              <w:ind w:firstLine="420" w:firstLineChars="200"/>
              <w:rPr>
                <w:rFonts w:hint="default" w:cs="Times New Roman"/>
                <w:bCs/>
                <w:color w:val="auto"/>
                <w:lang w:val="en-US" w:eastAsia="zh-CN"/>
              </w:rPr>
            </w:pPr>
            <w:r>
              <w:rPr>
                <w:rFonts w:hint="default" w:cs="Times New Roman"/>
                <w:snapToGrid w:val="0"/>
                <w:color w:val="auto"/>
                <w:highlight w:val="none"/>
                <w:lang w:val="en-US" w:eastAsia="zh-CN"/>
              </w:rPr>
              <w:t>MgO</w:t>
            </w:r>
            <w:r>
              <w:rPr>
                <w:rFonts w:hint="eastAsia" w:cs="Times New Roman"/>
                <w:snapToGrid w:val="0"/>
                <w:color w:val="auto"/>
                <w:highlight w:val="none"/>
                <w:lang w:val="en-US" w:eastAsia="zh-CN"/>
              </w:rPr>
              <w:t>涂层液收集槽定期清洗，清洗废水经沉淀过滤后固体部分作为固体废物处理，上清液回用于</w:t>
            </w:r>
            <w:r>
              <w:rPr>
                <w:rFonts w:hint="default" w:cs="Times New Roman"/>
                <w:snapToGrid w:val="0"/>
                <w:color w:val="auto"/>
                <w:highlight w:val="none"/>
                <w:lang w:val="en-US" w:eastAsia="zh-CN"/>
              </w:rPr>
              <w:t>MgO</w:t>
            </w:r>
            <w:r>
              <w:rPr>
                <w:rFonts w:hint="eastAsia" w:cs="Times New Roman"/>
                <w:snapToGrid w:val="0"/>
                <w:color w:val="auto"/>
                <w:highlight w:val="none"/>
                <w:lang w:val="en-US" w:eastAsia="zh-CN"/>
              </w:rPr>
              <w:t>收集槽清洗用水。</w:t>
            </w:r>
          </w:p>
          <w:p w14:paraId="20E064CB">
            <w:pPr>
              <w:spacing w:line="360" w:lineRule="auto"/>
              <w:ind w:firstLine="420" w:firstLineChars="200"/>
              <w:rPr>
                <w:rFonts w:hint="eastAsia" w:cs="Times New Roman"/>
                <w:color w:val="auto"/>
                <w:lang w:val="en-US" w:eastAsia="zh-CN"/>
              </w:rPr>
            </w:pPr>
            <w:r>
              <w:rPr>
                <w:rFonts w:hint="eastAsia" w:cs="Times New Roman"/>
                <w:color w:val="auto"/>
                <w:lang w:val="en-US" w:eastAsia="zh-CN"/>
              </w:rPr>
              <w:t>④脱盐水系统排污水、锅炉排污水、净循环水系统排污水</w:t>
            </w:r>
          </w:p>
          <w:p w14:paraId="2BAF19D5">
            <w:pPr>
              <w:spacing w:line="360" w:lineRule="auto"/>
              <w:ind w:firstLine="420" w:firstLineChars="200"/>
              <w:rPr>
                <w:rFonts w:hint="default" w:cs="Times New Roman"/>
                <w:color w:val="auto"/>
                <w:lang w:val="en-US" w:eastAsia="zh-CN"/>
              </w:rPr>
            </w:pPr>
            <w:r>
              <w:rPr>
                <w:rFonts w:hint="eastAsia" w:cs="Times New Roman"/>
                <w:color w:val="auto"/>
                <w:lang w:val="en-US" w:eastAsia="zh-CN"/>
              </w:rPr>
              <w:t>本项目脱盐水系统制水效率70%，剩余30%为排污水，排污量为68243.42m</w:t>
            </w:r>
            <w:r>
              <w:rPr>
                <w:rFonts w:hint="eastAsia" w:cs="Times New Roman"/>
                <w:color w:val="auto"/>
                <w:vertAlign w:val="superscript"/>
                <w:lang w:val="en-US" w:eastAsia="zh-CN"/>
              </w:rPr>
              <w:t>3</w:t>
            </w:r>
            <w:r>
              <w:rPr>
                <w:rFonts w:hint="eastAsia" w:cs="Times New Roman"/>
                <w:color w:val="auto"/>
                <w:lang w:val="en-US" w:eastAsia="zh-CN"/>
              </w:rPr>
              <w:t>/a。</w:t>
            </w:r>
          </w:p>
          <w:p w14:paraId="54BCE7AB">
            <w:pPr>
              <w:spacing w:line="360" w:lineRule="auto"/>
              <w:ind w:firstLine="420" w:firstLineChars="200"/>
              <w:rPr>
                <w:rFonts w:hint="default" w:cs="Times New Roman"/>
                <w:color w:val="auto"/>
                <w:lang w:val="en-US" w:eastAsia="zh-CN"/>
              </w:rPr>
            </w:pPr>
            <w:r>
              <w:rPr>
                <w:rFonts w:hint="eastAsia" w:cs="Times New Roman"/>
                <w:color w:val="auto"/>
                <w:lang w:val="en-US" w:eastAsia="zh-CN"/>
              </w:rPr>
              <w:t>锅炉排污量为3%，排污量为5844.3m</w:t>
            </w:r>
            <w:r>
              <w:rPr>
                <w:rFonts w:hint="eastAsia" w:cs="Times New Roman"/>
                <w:color w:val="auto"/>
                <w:vertAlign w:val="superscript"/>
                <w:lang w:val="en-US" w:eastAsia="zh-CN"/>
              </w:rPr>
              <w:t>3</w:t>
            </w:r>
            <w:r>
              <w:rPr>
                <w:rFonts w:hint="eastAsia" w:cs="Times New Roman"/>
                <w:color w:val="auto"/>
                <w:lang w:val="en-US" w:eastAsia="zh-CN"/>
              </w:rPr>
              <w:t>/a。</w:t>
            </w:r>
          </w:p>
          <w:p w14:paraId="214762C4">
            <w:pPr>
              <w:spacing w:line="360" w:lineRule="auto"/>
              <w:ind w:firstLine="420" w:firstLineChars="200"/>
              <w:rPr>
                <w:rFonts w:hint="default" w:eastAsia="宋体" w:cs="Times New Roman"/>
                <w:color w:val="auto"/>
                <w:lang w:val="en-US" w:eastAsia="zh-CN"/>
              </w:rPr>
            </w:pPr>
            <w:r>
              <w:rPr>
                <w:rFonts w:hint="eastAsia" w:cs="Times New Roman"/>
                <w:color w:val="auto"/>
                <w:lang w:val="en-US" w:eastAsia="zh-CN"/>
              </w:rPr>
              <w:t>净循环水系统排污量为17</w:t>
            </w:r>
            <w:r>
              <w:rPr>
                <w:rFonts w:hint="default" w:ascii="Times New Roman" w:hAnsi="Times New Roman" w:cs="Times New Roman"/>
                <w:color w:val="auto"/>
              </w:rPr>
              <w:t>m</w:t>
            </w:r>
            <w:r>
              <w:rPr>
                <w:rFonts w:hint="eastAsia" w:ascii="Times New Roman" w:hAnsi="Times New Roman" w:cs="Times New Roman"/>
                <w:color w:val="auto"/>
                <w:vertAlign w:val="superscript"/>
                <w:lang w:val="en-US" w:eastAsia="zh-CN"/>
              </w:rPr>
              <w:t>3</w:t>
            </w:r>
            <w:r>
              <w:rPr>
                <w:rFonts w:hint="default" w:ascii="Times New Roman" w:hAnsi="Times New Roman" w:cs="Times New Roman"/>
                <w:color w:val="auto"/>
              </w:rPr>
              <w:t>/</w:t>
            </w:r>
            <w:r>
              <w:rPr>
                <w:rFonts w:hint="eastAsia" w:ascii="Times New Roman" w:hAnsi="Times New Roman" w:cs="Times New Roman"/>
                <w:color w:val="auto"/>
                <w:lang w:val="en-US" w:eastAsia="zh-CN"/>
              </w:rPr>
              <w:t>h，</w:t>
            </w:r>
            <w:r>
              <w:rPr>
                <w:rFonts w:hint="eastAsia" w:cs="Times New Roman"/>
                <w:color w:val="auto"/>
                <w:lang w:val="en-US" w:eastAsia="zh-CN"/>
              </w:rPr>
              <w:t>119000m</w:t>
            </w:r>
            <w:r>
              <w:rPr>
                <w:rFonts w:hint="eastAsia" w:cs="Times New Roman"/>
                <w:color w:val="auto"/>
                <w:vertAlign w:val="superscript"/>
                <w:lang w:val="en-US" w:eastAsia="zh-CN"/>
              </w:rPr>
              <w:t>3</w:t>
            </w:r>
            <w:r>
              <w:rPr>
                <w:rFonts w:hint="eastAsia" w:cs="Times New Roman"/>
                <w:color w:val="auto"/>
                <w:lang w:val="en-US" w:eastAsia="zh-CN"/>
              </w:rPr>
              <w:t>/a。本项目通过在前端设置保安过滤器、投加阻垢剂等方式抑制盐分产生。</w:t>
            </w:r>
          </w:p>
          <w:p w14:paraId="451EAB1C">
            <w:pPr>
              <w:spacing w:line="360" w:lineRule="auto"/>
              <w:ind w:firstLine="420" w:firstLineChars="200"/>
              <w:rPr>
                <w:rFonts w:hint="eastAsia" w:cs="Times New Roman"/>
                <w:color w:val="auto"/>
                <w:lang w:val="en-US" w:eastAsia="zh-CN"/>
              </w:rPr>
            </w:pPr>
            <w:r>
              <w:rPr>
                <w:rFonts w:hint="eastAsia" w:cs="Times New Roman"/>
                <w:color w:val="auto"/>
                <w:lang w:val="en-US" w:eastAsia="zh-CN"/>
              </w:rPr>
              <w:t>⑤生活污水</w:t>
            </w:r>
          </w:p>
          <w:p w14:paraId="509C8DFD">
            <w:pPr>
              <w:spacing w:line="360" w:lineRule="auto"/>
              <w:ind w:firstLine="420" w:firstLineChars="200"/>
              <w:rPr>
                <w:rFonts w:hint="eastAsia" w:eastAsia="宋体" w:cs="Times New Roman"/>
                <w:color w:val="auto"/>
                <w:lang w:val="en-US" w:eastAsia="zh-CN"/>
              </w:rPr>
            </w:pPr>
            <w:r>
              <w:rPr>
                <w:rFonts w:hint="eastAsia" w:cs="Times New Roman"/>
                <w:color w:val="auto"/>
                <w:lang w:val="en-US" w:eastAsia="zh-CN"/>
              </w:rPr>
              <w:t>生活污水产生量为用水量的20%，则生活污水量为645</w:t>
            </w:r>
            <w:r>
              <w:rPr>
                <w:rFonts w:hint="default" w:ascii="Times New Roman" w:hAnsi="Times New Roman" w:cs="Times New Roman"/>
                <w:color w:val="auto"/>
              </w:rPr>
              <w:t>m</w:t>
            </w:r>
            <w:r>
              <w:rPr>
                <w:rFonts w:hint="eastAsia" w:ascii="Times New Roman" w:hAnsi="Times New Roman" w:cs="Times New Roman"/>
                <w:color w:val="auto"/>
                <w:vertAlign w:val="superscript"/>
                <w:lang w:val="en-US" w:eastAsia="zh-CN"/>
              </w:rPr>
              <w:t>3</w:t>
            </w:r>
            <w:r>
              <w:rPr>
                <w:rFonts w:hint="default" w:ascii="Times New Roman" w:hAnsi="Times New Roman" w:cs="Times New Roman"/>
                <w:color w:val="auto"/>
              </w:rPr>
              <w:t>/</w:t>
            </w:r>
            <w:r>
              <w:rPr>
                <w:rFonts w:hint="eastAsia" w:ascii="Times New Roman" w:hAnsi="Times New Roman" w:cs="Times New Roman"/>
                <w:color w:val="auto"/>
                <w:lang w:val="en-US" w:eastAsia="zh-CN"/>
              </w:rPr>
              <w:t>a。</w:t>
            </w:r>
          </w:p>
          <w:p w14:paraId="32D85BFD">
            <w:pPr>
              <w:spacing w:line="360" w:lineRule="auto"/>
              <w:ind w:firstLine="420" w:firstLineChars="200"/>
              <w:rPr>
                <w:rFonts w:hint="default" w:ascii="Times New Roman" w:hAnsi="Times New Roman" w:eastAsia="宋体" w:cs="Times New Roman"/>
                <w:color w:val="auto"/>
                <w:lang w:val="en-US" w:eastAsia="zh-CN"/>
              </w:rPr>
            </w:pPr>
            <w:r>
              <w:rPr>
                <w:rFonts w:hint="default" w:cs="Times New Roman"/>
                <w:color w:val="auto"/>
                <w:lang w:val="en-US" w:eastAsia="zh-CN"/>
              </w:rPr>
              <w:t>最终经过处理的酸性废水、碱性、含油和乳化液废水与</w:t>
            </w:r>
            <w:r>
              <w:rPr>
                <w:rFonts w:hint="eastAsia" w:cs="Times New Roman"/>
                <w:color w:val="auto"/>
                <w:lang w:val="en-US" w:eastAsia="zh-CN"/>
              </w:rPr>
              <w:t>脱盐水系统排污水、</w:t>
            </w:r>
            <w:r>
              <w:rPr>
                <w:rFonts w:hint="default" w:ascii="Times New Roman" w:hAnsi="Times New Roman" w:cs="Times New Roman"/>
                <w:color w:val="auto"/>
              </w:rPr>
              <w:t>锅炉排污水、</w:t>
            </w:r>
            <w:r>
              <w:rPr>
                <w:rFonts w:hint="eastAsia" w:cs="Times New Roman"/>
                <w:color w:val="auto"/>
                <w:lang w:val="en-US" w:eastAsia="zh-CN"/>
              </w:rPr>
              <w:t>净循环水系统排污水、</w:t>
            </w:r>
            <w:r>
              <w:rPr>
                <w:rFonts w:hint="default" w:ascii="Times New Roman" w:hAnsi="Times New Roman" w:cs="Times New Roman"/>
                <w:color w:val="auto"/>
              </w:rPr>
              <w:t>生活污水一起经污水管网排至</w:t>
            </w:r>
            <w:r>
              <w:rPr>
                <w:rFonts w:hint="eastAsia" w:cs="Times New Roman"/>
                <w:color w:val="auto"/>
                <w:lang w:val="en-US" w:eastAsia="zh-CN"/>
              </w:rPr>
              <w:t>园区</w:t>
            </w:r>
            <w:r>
              <w:rPr>
                <w:rFonts w:hint="default" w:ascii="Times New Roman" w:hAnsi="Times New Roman" w:cs="Times New Roman"/>
                <w:color w:val="auto"/>
              </w:rPr>
              <w:t>污水处理厂</w:t>
            </w:r>
            <w:r>
              <w:rPr>
                <w:rFonts w:hint="eastAsia" w:cs="Times New Roman"/>
                <w:color w:val="auto"/>
                <w:lang w:eastAsia="zh-CN"/>
              </w:rPr>
              <w:t>（</w:t>
            </w:r>
            <w:r>
              <w:rPr>
                <w:rFonts w:hint="eastAsia" w:cs="Times New Roman"/>
                <w:color w:val="auto"/>
                <w:lang w:val="en-US" w:eastAsia="zh-CN"/>
              </w:rPr>
              <w:t>昌吉高新海天污水处理厂</w:t>
            </w:r>
            <w:r>
              <w:rPr>
                <w:rFonts w:hint="eastAsia" w:cs="Times New Roman"/>
                <w:color w:val="auto"/>
                <w:lang w:eastAsia="zh-CN"/>
              </w:rPr>
              <w:t>）</w:t>
            </w:r>
            <w:r>
              <w:rPr>
                <w:rFonts w:hint="eastAsia" w:cs="Times New Roman"/>
                <w:color w:val="auto"/>
                <w:lang w:val="en-US" w:eastAsia="zh-CN"/>
              </w:rPr>
              <w:t>深度处理。</w:t>
            </w:r>
          </w:p>
          <w:p w14:paraId="22A39CD8">
            <w:pPr>
              <w:keepNext w:val="0"/>
              <w:keepLines w:val="0"/>
              <w:widowControl w:val="0"/>
              <w:suppressLineNumbers w:val="0"/>
              <w:kinsoku/>
              <w:wordWrap/>
              <w:topLinePunct/>
              <w:bidi w:val="0"/>
              <w:adjustRightInd/>
              <w:snapToGrid/>
              <w:spacing w:before="0" w:beforeAutospacing="0" w:after="0" w:afterAutospacing="0" w:line="360" w:lineRule="auto"/>
              <w:ind w:left="0" w:right="0" w:firstLine="420" w:firstLineChars="200"/>
              <w:jc w:val="both"/>
              <w:rPr>
                <w:rFonts w:hint="eastAsia" w:ascii="Times New Roman" w:hAnsi="Times New Roman" w:eastAsia="宋体" w:cs="Times New Roman"/>
                <w:color w:val="auto"/>
                <w:kern w:val="2"/>
                <w:sz w:val="21"/>
                <w:szCs w:val="21"/>
                <w:lang w:val="en-US" w:eastAsia="zh-CN" w:bidi="ar"/>
              </w:rPr>
            </w:pPr>
            <w:r>
              <w:rPr>
                <w:rFonts w:hint="eastAsia" w:cs="Times New Roman"/>
                <w:color w:val="auto"/>
                <w:kern w:val="2"/>
                <w:sz w:val="21"/>
                <w:szCs w:val="21"/>
                <w:lang w:val="en-US" w:eastAsia="zh-CN" w:bidi="ar"/>
              </w:rPr>
              <w:t>本项目水平衡表见下表，</w:t>
            </w:r>
            <w:r>
              <w:rPr>
                <w:rFonts w:hint="eastAsia" w:ascii="Times New Roman" w:hAnsi="Times New Roman" w:eastAsia="宋体" w:cs="Times New Roman"/>
                <w:color w:val="auto"/>
                <w:kern w:val="2"/>
                <w:sz w:val="21"/>
                <w:szCs w:val="21"/>
                <w:lang w:val="en-US" w:eastAsia="zh-CN" w:bidi="ar"/>
              </w:rPr>
              <w:t>项目水平衡见图</w:t>
            </w:r>
            <w:r>
              <w:rPr>
                <w:rFonts w:hint="eastAsia" w:cs="Times New Roman"/>
                <w:color w:val="auto"/>
                <w:kern w:val="2"/>
                <w:sz w:val="21"/>
                <w:szCs w:val="21"/>
                <w:lang w:val="en-US" w:eastAsia="zh-CN" w:bidi="ar"/>
              </w:rPr>
              <w:t>2-2</w:t>
            </w:r>
            <w:r>
              <w:rPr>
                <w:rFonts w:hint="eastAsia" w:ascii="Times New Roman" w:hAnsi="Times New Roman" w:eastAsia="宋体" w:cs="Times New Roman"/>
                <w:color w:val="auto"/>
                <w:kern w:val="2"/>
                <w:sz w:val="21"/>
                <w:szCs w:val="21"/>
                <w:lang w:val="en-US" w:eastAsia="zh-CN" w:bidi="ar"/>
              </w:rPr>
              <w:t>。</w:t>
            </w:r>
          </w:p>
          <w:p w14:paraId="0F4076D1">
            <w:pPr>
              <w:keepNext w:val="0"/>
              <w:keepLines w:val="0"/>
              <w:widowControl w:val="0"/>
              <w:suppressLineNumbers w:val="0"/>
              <w:kinsoku/>
              <w:wordWrap/>
              <w:topLinePunct/>
              <w:bidi w:val="0"/>
              <w:adjustRightInd/>
              <w:snapToGrid/>
              <w:spacing w:before="0" w:beforeAutospacing="0" w:after="0" w:afterAutospacing="0" w:line="360" w:lineRule="auto"/>
              <w:ind w:right="0"/>
              <w:jc w:val="center"/>
              <w:rPr>
                <w:rFonts w:hint="default" w:ascii="Times New Roman" w:hAnsi="Times New Roman" w:eastAsia="黑体" w:cs="Times New Roman"/>
                <w:color w:val="auto"/>
                <w:kern w:val="2"/>
                <w:sz w:val="21"/>
                <w:szCs w:val="21"/>
                <w:lang w:val="en-US" w:eastAsia="zh-CN" w:bidi="ar"/>
              </w:rPr>
            </w:pPr>
            <w:r>
              <w:rPr>
                <w:rFonts w:hint="default" w:ascii="Times New Roman" w:hAnsi="Times New Roman" w:eastAsia="黑体" w:cs="Times New Roman"/>
                <w:color w:val="auto"/>
                <w:kern w:val="2"/>
                <w:sz w:val="21"/>
                <w:szCs w:val="21"/>
                <w:lang w:val="en-US" w:eastAsia="zh-CN" w:bidi="ar"/>
              </w:rPr>
              <w:t>表2-8  本项目水平衡表</w:t>
            </w:r>
          </w:p>
          <w:tbl>
            <w:tblPr>
              <w:tblStyle w:val="33"/>
              <w:tblW w:w="844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19"/>
              <w:gridCol w:w="643"/>
              <w:gridCol w:w="676"/>
              <w:gridCol w:w="593"/>
              <w:gridCol w:w="543"/>
              <w:gridCol w:w="643"/>
              <w:gridCol w:w="693"/>
              <w:gridCol w:w="643"/>
              <w:gridCol w:w="643"/>
              <w:gridCol w:w="543"/>
              <w:gridCol w:w="593"/>
              <w:gridCol w:w="517"/>
              <w:gridCol w:w="693"/>
            </w:tblGrid>
            <w:tr w14:paraId="117FFB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15" w:hRule="atLeast"/>
              </w:trPr>
              <w:tc>
                <w:tcPr>
                  <w:tcW w:w="60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CAE50BC">
                  <w:pPr>
                    <w:keepNext w:val="0"/>
                    <w:keepLines w:val="0"/>
                    <w:widowControl/>
                    <w:suppressLineNumbers w:val="0"/>
                    <w:jc w:val="center"/>
                    <w:textAlignment w:val="center"/>
                    <w:rPr>
                      <w:rFonts w:hint="eastAsia" w:ascii="宋体" w:hAnsi="宋体" w:eastAsia="宋体" w:cs="宋体"/>
                      <w:i w:val="0"/>
                      <w:iCs w:val="0"/>
                      <w:color w:val="auto"/>
                      <w:sz w:val="15"/>
                      <w:szCs w:val="15"/>
                      <w:u w:val="none"/>
                    </w:rPr>
                  </w:pPr>
                  <w:r>
                    <w:rPr>
                      <w:rFonts w:hint="eastAsia" w:ascii="宋体" w:hAnsi="宋体" w:eastAsia="宋体" w:cs="宋体"/>
                      <w:i w:val="0"/>
                      <w:iCs w:val="0"/>
                      <w:color w:val="auto"/>
                      <w:kern w:val="0"/>
                      <w:sz w:val="15"/>
                      <w:szCs w:val="15"/>
                      <w:u w:val="none"/>
                      <w:lang w:val="en-US" w:eastAsia="zh-CN" w:bidi="ar"/>
                    </w:rPr>
                    <w:t>用排水环节</w:t>
                  </w:r>
                </w:p>
              </w:tc>
              <w:tc>
                <w:tcPr>
                  <w:tcW w:w="2245"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7A4CE1B4">
                  <w:pPr>
                    <w:keepNext w:val="0"/>
                    <w:keepLines w:val="0"/>
                    <w:widowControl/>
                    <w:suppressLineNumbers w:val="0"/>
                    <w:jc w:val="center"/>
                    <w:textAlignment w:val="center"/>
                    <w:rPr>
                      <w:rFonts w:hint="eastAsia" w:ascii="宋体" w:hAnsi="宋体" w:eastAsia="宋体" w:cs="宋体"/>
                      <w:i w:val="0"/>
                      <w:iCs w:val="0"/>
                      <w:color w:val="auto"/>
                      <w:sz w:val="15"/>
                      <w:szCs w:val="15"/>
                      <w:u w:val="none"/>
                    </w:rPr>
                  </w:pPr>
                  <w:r>
                    <w:rPr>
                      <w:rFonts w:hint="eastAsia" w:ascii="宋体" w:hAnsi="宋体" w:eastAsia="宋体" w:cs="宋体"/>
                      <w:i w:val="0"/>
                      <w:iCs w:val="0"/>
                      <w:color w:val="auto"/>
                      <w:kern w:val="0"/>
                      <w:sz w:val="15"/>
                      <w:szCs w:val="15"/>
                      <w:u w:val="none"/>
                      <w:lang w:val="en-US" w:eastAsia="zh-CN" w:bidi="ar"/>
                    </w:rPr>
                    <w:t>给水</w:t>
                  </w:r>
                </w:p>
              </w:tc>
              <w:tc>
                <w:tcPr>
                  <w:tcW w:w="2151"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0E8481C3">
                  <w:pPr>
                    <w:keepNext w:val="0"/>
                    <w:keepLines w:val="0"/>
                    <w:widowControl/>
                    <w:suppressLineNumbers w:val="0"/>
                    <w:jc w:val="center"/>
                    <w:textAlignment w:val="center"/>
                    <w:rPr>
                      <w:rFonts w:hint="eastAsia" w:ascii="宋体" w:hAnsi="宋体" w:eastAsia="宋体" w:cs="宋体"/>
                      <w:i w:val="0"/>
                      <w:iCs w:val="0"/>
                      <w:color w:val="auto"/>
                      <w:sz w:val="15"/>
                      <w:szCs w:val="15"/>
                      <w:u w:val="none"/>
                    </w:rPr>
                  </w:pPr>
                  <w:r>
                    <w:rPr>
                      <w:rFonts w:hint="eastAsia" w:ascii="宋体" w:hAnsi="宋体" w:eastAsia="宋体" w:cs="宋体"/>
                      <w:i w:val="0"/>
                      <w:iCs w:val="0"/>
                      <w:color w:val="auto"/>
                      <w:kern w:val="0"/>
                      <w:sz w:val="15"/>
                      <w:szCs w:val="15"/>
                      <w:u w:val="none"/>
                      <w:lang w:val="en-US" w:eastAsia="zh-CN" w:bidi="ar"/>
                    </w:rPr>
                    <w:t>排水</w:t>
                  </w:r>
                </w:p>
              </w:tc>
            </w:tr>
            <w:tr w14:paraId="25A966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60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0F6026">
                  <w:pPr>
                    <w:jc w:val="center"/>
                    <w:rPr>
                      <w:rFonts w:hint="eastAsia" w:ascii="宋体" w:hAnsi="宋体" w:eastAsia="宋体" w:cs="宋体"/>
                      <w:i w:val="0"/>
                      <w:iCs w:val="0"/>
                      <w:color w:val="auto"/>
                      <w:sz w:val="15"/>
                      <w:szCs w:val="15"/>
                      <w:u w:val="none"/>
                    </w:rPr>
                  </w:pP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10D12A">
                  <w:pPr>
                    <w:keepNext w:val="0"/>
                    <w:keepLines w:val="0"/>
                    <w:widowControl/>
                    <w:suppressLineNumbers w:val="0"/>
                    <w:jc w:val="center"/>
                    <w:textAlignment w:val="center"/>
                    <w:rPr>
                      <w:rFonts w:hint="eastAsia" w:ascii="宋体" w:hAnsi="宋体" w:eastAsia="宋体" w:cs="宋体"/>
                      <w:i w:val="0"/>
                      <w:iCs w:val="0"/>
                      <w:color w:val="auto"/>
                      <w:sz w:val="15"/>
                      <w:szCs w:val="15"/>
                      <w:u w:val="none"/>
                    </w:rPr>
                  </w:pPr>
                  <w:r>
                    <w:rPr>
                      <w:rFonts w:hint="eastAsia" w:ascii="宋体" w:hAnsi="宋体" w:eastAsia="宋体" w:cs="宋体"/>
                      <w:i w:val="0"/>
                      <w:iCs w:val="0"/>
                      <w:color w:val="auto"/>
                      <w:kern w:val="0"/>
                      <w:sz w:val="15"/>
                      <w:szCs w:val="15"/>
                      <w:u w:val="none"/>
                      <w:lang w:val="en-US" w:eastAsia="zh-CN" w:bidi="ar"/>
                    </w:rPr>
                    <w:t>新鲜水</w:t>
                  </w:r>
                </w:p>
              </w:tc>
              <w:tc>
                <w:tcPr>
                  <w:tcW w:w="4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263B83">
                  <w:pPr>
                    <w:keepNext w:val="0"/>
                    <w:keepLines w:val="0"/>
                    <w:widowControl/>
                    <w:suppressLineNumbers w:val="0"/>
                    <w:jc w:val="center"/>
                    <w:textAlignment w:val="center"/>
                    <w:rPr>
                      <w:rFonts w:hint="eastAsia" w:ascii="宋体" w:hAnsi="宋体" w:eastAsia="宋体" w:cs="宋体"/>
                      <w:i w:val="0"/>
                      <w:iCs w:val="0"/>
                      <w:color w:val="auto"/>
                      <w:sz w:val="15"/>
                      <w:szCs w:val="15"/>
                      <w:u w:val="none"/>
                    </w:rPr>
                  </w:pPr>
                  <w:r>
                    <w:rPr>
                      <w:rFonts w:hint="eastAsia" w:ascii="宋体" w:hAnsi="宋体" w:eastAsia="宋体" w:cs="宋体"/>
                      <w:i w:val="0"/>
                      <w:iCs w:val="0"/>
                      <w:color w:val="auto"/>
                      <w:kern w:val="0"/>
                      <w:sz w:val="15"/>
                      <w:szCs w:val="15"/>
                      <w:u w:val="none"/>
                      <w:lang w:val="en-US" w:eastAsia="zh-CN" w:bidi="ar"/>
                    </w:rPr>
                    <w:t>脱盐水</w:t>
                  </w:r>
                </w:p>
              </w:tc>
              <w:tc>
                <w:tcPr>
                  <w:tcW w:w="3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A56C5C">
                  <w:pPr>
                    <w:keepNext w:val="0"/>
                    <w:keepLines w:val="0"/>
                    <w:widowControl/>
                    <w:suppressLineNumbers w:val="0"/>
                    <w:jc w:val="center"/>
                    <w:textAlignment w:val="center"/>
                    <w:rPr>
                      <w:rFonts w:hint="eastAsia" w:ascii="宋体" w:hAnsi="宋体" w:eastAsia="宋体" w:cs="宋体"/>
                      <w:i w:val="0"/>
                      <w:iCs w:val="0"/>
                      <w:color w:val="auto"/>
                      <w:sz w:val="15"/>
                      <w:szCs w:val="15"/>
                      <w:u w:val="none"/>
                    </w:rPr>
                  </w:pPr>
                  <w:r>
                    <w:rPr>
                      <w:rFonts w:hint="eastAsia" w:ascii="宋体" w:hAnsi="宋体" w:eastAsia="宋体" w:cs="宋体"/>
                      <w:i w:val="0"/>
                      <w:iCs w:val="0"/>
                      <w:color w:val="auto"/>
                      <w:kern w:val="0"/>
                      <w:sz w:val="15"/>
                      <w:szCs w:val="15"/>
                      <w:u w:val="none"/>
                      <w:lang w:val="en-US" w:eastAsia="zh-CN" w:bidi="ar"/>
                    </w:rPr>
                    <w:t>回用水</w:t>
                  </w:r>
                </w:p>
              </w:tc>
              <w:tc>
                <w:tcPr>
                  <w:tcW w:w="3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00163F">
                  <w:pPr>
                    <w:keepNext w:val="0"/>
                    <w:keepLines w:val="0"/>
                    <w:widowControl/>
                    <w:suppressLineNumbers w:val="0"/>
                    <w:jc w:val="center"/>
                    <w:textAlignment w:val="center"/>
                    <w:rPr>
                      <w:rFonts w:hint="eastAsia" w:ascii="宋体" w:hAnsi="宋体" w:eastAsia="宋体" w:cs="宋体"/>
                      <w:i w:val="0"/>
                      <w:iCs w:val="0"/>
                      <w:color w:val="auto"/>
                      <w:sz w:val="15"/>
                      <w:szCs w:val="15"/>
                      <w:u w:val="none"/>
                    </w:rPr>
                  </w:pPr>
                  <w:r>
                    <w:rPr>
                      <w:rFonts w:hint="eastAsia" w:ascii="宋体" w:hAnsi="宋体" w:eastAsia="宋体" w:cs="宋体"/>
                      <w:i w:val="0"/>
                      <w:iCs w:val="0"/>
                      <w:color w:val="auto"/>
                      <w:kern w:val="0"/>
                      <w:sz w:val="15"/>
                      <w:szCs w:val="15"/>
                      <w:u w:val="none"/>
                      <w:lang w:val="en-US" w:eastAsia="zh-CN" w:bidi="ar"/>
                    </w:rPr>
                    <w:t>物料带入</w:t>
                  </w:r>
                </w:p>
              </w:tc>
              <w:tc>
                <w:tcPr>
                  <w:tcW w:w="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CC9A57">
                  <w:pPr>
                    <w:keepNext w:val="0"/>
                    <w:keepLines w:val="0"/>
                    <w:widowControl/>
                    <w:suppressLineNumbers w:val="0"/>
                    <w:jc w:val="center"/>
                    <w:textAlignment w:val="center"/>
                    <w:rPr>
                      <w:rFonts w:hint="eastAsia" w:ascii="宋体" w:hAnsi="宋体" w:eastAsia="宋体" w:cs="宋体"/>
                      <w:i w:val="0"/>
                      <w:iCs w:val="0"/>
                      <w:color w:val="auto"/>
                      <w:sz w:val="15"/>
                      <w:szCs w:val="15"/>
                      <w:u w:val="none"/>
                    </w:rPr>
                  </w:pPr>
                  <w:r>
                    <w:rPr>
                      <w:rFonts w:hint="eastAsia" w:ascii="宋体" w:hAnsi="宋体" w:eastAsia="宋体" w:cs="宋体"/>
                      <w:i w:val="0"/>
                      <w:iCs w:val="0"/>
                      <w:color w:val="auto"/>
                      <w:kern w:val="0"/>
                      <w:sz w:val="15"/>
                      <w:szCs w:val="15"/>
                      <w:u w:val="none"/>
                      <w:lang w:val="en-US" w:eastAsia="zh-CN" w:bidi="ar"/>
                    </w:rPr>
                    <w:t>蒸汽冷凝水</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D33C5C">
                  <w:pPr>
                    <w:keepNext w:val="0"/>
                    <w:keepLines w:val="0"/>
                    <w:widowControl/>
                    <w:suppressLineNumbers w:val="0"/>
                    <w:jc w:val="center"/>
                    <w:textAlignment w:val="center"/>
                    <w:rPr>
                      <w:rFonts w:hint="eastAsia" w:ascii="宋体" w:hAnsi="宋体" w:eastAsia="宋体" w:cs="宋体"/>
                      <w:i w:val="0"/>
                      <w:iCs w:val="0"/>
                      <w:color w:val="auto"/>
                      <w:sz w:val="15"/>
                      <w:szCs w:val="15"/>
                      <w:u w:val="none"/>
                    </w:rPr>
                  </w:pPr>
                  <w:r>
                    <w:rPr>
                      <w:rFonts w:hint="eastAsia" w:ascii="宋体" w:hAnsi="宋体" w:eastAsia="宋体" w:cs="宋体"/>
                      <w:i w:val="0"/>
                      <w:iCs w:val="0"/>
                      <w:color w:val="auto"/>
                      <w:kern w:val="0"/>
                      <w:sz w:val="15"/>
                      <w:szCs w:val="15"/>
                      <w:u w:val="none"/>
                      <w:lang w:val="en-US" w:eastAsia="zh-CN" w:bidi="ar"/>
                    </w:rPr>
                    <w:t>小计</w:t>
                  </w:r>
                </w:p>
              </w:tc>
              <w:tc>
                <w:tcPr>
                  <w:tcW w:w="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85F7ED">
                  <w:pPr>
                    <w:keepNext w:val="0"/>
                    <w:keepLines w:val="0"/>
                    <w:widowControl/>
                    <w:suppressLineNumbers w:val="0"/>
                    <w:jc w:val="center"/>
                    <w:textAlignment w:val="center"/>
                    <w:rPr>
                      <w:rFonts w:hint="eastAsia" w:ascii="宋体" w:hAnsi="宋体" w:eastAsia="宋体" w:cs="宋体"/>
                      <w:i w:val="0"/>
                      <w:iCs w:val="0"/>
                      <w:color w:val="auto"/>
                      <w:sz w:val="15"/>
                      <w:szCs w:val="15"/>
                      <w:u w:val="none"/>
                    </w:rPr>
                  </w:pPr>
                  <w:r>
                    <w:rPr>
                      <w:rFonts w:hint="eastAsia" w:ascii="宋体" w:hAnsi="宋体" w:eastAsia="宋体" w:cs="宋体"/>
                      <w:i w:val="0"/>
                      <w:iCs w:val="0"/>
                      <w:color w:val="auto"/>
                      <w:kern w:val="0"/>
                      <w:sz w:val="15"/>
                      <w:szCs w:val="15"/>
                      <w:u w:val="none"/>
                      <w:lang w:val="en-US" w:eastAsia="zh-CN" w:bidi="ar"/>
                    </w:rPr>
                    <w:t>损耗</w:t>
                  </w:r>
                </w:p>
              </w:tc>
              <w:tc>
                <w:tcPr>
                  <w:tcW w:w="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8480E7">
                  <w:pPr>
                    <w:keepNext w:val="0"/>
                    <w:keepLines w:val="0"/>
                    <w:widowControl/>
                    <w:suppressLineNumbers w:val="0"/>
                    <w:jc w:val="center"/>
                    <w:textAlignment w:val="center"/>
                    <w:rPr>
                      <w:rFonts w:hint="eastAsia" w:ascii="宋体" w:hAnsi="宋体" w:eastAsia="宋体" w:cs="宋体"/>
                      <w:i w:val="0"/>
                      <w:iCs w:val="0"/>
                      <w:color w:val="auto"/>
                      <w:sz w:val="15"/>
                      <w:szCs w:val="15"/>
                      <w:u w:val="none"/>
                    </w:rPr>
                  </w:pPr>
                  <w:r>
                    <w:rPr>
                      <w:rFonts w:hint="eastAsia" w:ascii="宋体" w:hAnsi="宋体" w:eastAsia="宋体" w:cs="宋体"/>
                      <w:i w:val="0"/>
                      <w:iCs w:val="0"/>
                      <w:color w:val="auto"/>
                      <w:kern w:val="0"/>
                      <w:sz w:val="15"/>
                      <w:szCs w:val="15"/>
                      <w:u w:val="none"/>
                      <w:lang w:val="en-US" w:eastAsia="zh-CN" w:bidi="ar"/>
                    </w:rPr>
                    <w:t>废水</w:t>
                  </w:r>
                </w:p>
              </w:tc>
              <w:tc>
                <w:tcPr>
                  <w:tcW w:w="3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D13A07">
                  <w:pPr>
                    <w:keepNext w:val="0"/>
                    <w:keepLines w:val="0"/>
                    <w:widowControl/>
                    <w:suppressLineNumbers w:val="0"/>
                    <w:jc w:val="center"/>
                    <w:textAlignment w:val="center"/>
                    <w:rPr>
                      <w:rFonts w:hint="eastAsia" w:ascii="宋体" w:hAnsi="宋体" w:eastAsia="宋体" w:cs="宋体"/>
                      <w:i w:val="0"/>
                      <w:iCs w:val="0"/>
                      <w:color w:val="auto"/>
                      <w:sz w:val="15"/>
                      <w:szCs w:val="15"/>
                      <w:u w:val="none"/>
                    </w:rPr>
                  </w:pPr>
                  <w:r>
                    <w:rPr>
                      <w:rFonts w:hint="eastAsia" w:ascii="宋体" w:hAnsi="宋体" w:cs="宋体"/>
                      <w:i w:val="0"/>
                      <w:iCs w:val="0"/>
                      <w:color w:val="auto"/>
                      <w:kern w:val="0"/>
                      <w:sz w:val="15"/>
                      <w:szCs w:val="15"/>
                      <w:u w:val="none"/>
                      <w:lang w:val="en-US" w:eastAsia="zh-CN" w:bidi="ar"/>
                    </w:rPr>
                    <w:t>固废</w:t>
                  </w:r>
                </w:p>
              </w:tc>
              <w:tc>
                <w:tcPr>
                  <w:tcW w:w="3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991169">
                  <w:pPr>
                    <w:keepNext w:val="0"/>
                    <w:keepLines w:val="0"/>
                    <w:widowControl/>
                    <w:suppressLineNumbers w:val="0"/>
                    <w:jc w:val="center"/>
                    <w:textAlignment w:val="center"/>
                    <w:rPr>
                      <w:rFonts w:hint="eastAsia" w:ascii="宋体" w:hAnsi="宋体" w:eastAsia="宋体" w:cs="宋体"/>
                      <w:i w:val="0"/>
                      <w:iCs w:val="0"/>
                      <w:color w:val="auto"/>
                      <w:sz w:val="15"/>
                      <w:szCs w:val="15"/>
                      <w:u w:val="none"/>
                    </w:rPr>
                  </w:pPr>
                  <w:r>
                    <w:rPr>
                      <w:rFonts w:hint="eastAsia" w:ascii="宋体" w:hAnsi="宋体" w:eastAsia="宋体" w:cs="宋体"/>
                      <w:i w:val="0"/>
                      <w:iCs w:val="0"/>
                      <w:color w:val="auto"/>
                      <w:kern w:val="0"/>
                      <w:sz w:val="15"/>
                      <w:szCs w:val="15"/>
                      <w:u w:val="none"/>
                      <w:lang w:val="en-US" w:eastAsia="zh-CN" w:bidi="ar"/>
                    </w:rPr>
                    <w:t>回用</w:t>
                  </w:r>
                </w:p>
              </w:tc>
              <w:tc>
                <w:tcPr>
                  <w:tcW w:w="3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2F0914">
                  <w:pPr>
                    <w:keepNext w:val="0"/>
                    <w:keepLines w:val="0"/>
                    <w:widowControl/>
                    <w:suppressLineNumbers w:val="0"/>
                    <w:jc w:val="center"/>
                    <w:textAlignment w:val="center"/>
                    <w:rPr>
                      <w:rFonts w:hint="eastAsia" w:ascii="宋体" w:hAnsi="宋体" w:eastAsia="宋体" w:cs="宋体"/>
                      <w:i w:val="0"/>
                      <w:iCs w:val="0"/>
                      <w:color w:val="auto"/>
                      <w:sz w:val="15"/>
                      <w:szCs w:val="15"/>
                      <w:u w:val="none"/>
                    </w:rPr>
                  </w:pPr>
                  <w:r>
                    <w:rPr>
                      <w:rFonts w:hint="eastAsia" w:ascii="宋体" w:hAnsi="宋体" w:eastAsia="宋体" w:cs="宋体"/>
                      <w:i w:val="0"/>
                      <w:iCs w:val="0"/>
                      <w:color w:val="auto"/>
                      <w:kern w:val="0"/>
                      <w:sz w:val="15"/>
                      <w:szCs w:val="15"/>
                      <w:u w:val="none"/>
                      <w:lang w:val="en-US" w:eastAsia="zh-CN" w:bidi="ar"/>
                    </w:rPr>
                    <w:t>蒸汽冷凝水</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8E55D6">
                  <w:pPr>
                    <w:keepNext w:val="0"/>
                    <w:keepLines w:val="0"/>
                    <w:widowControl/>
                    <w:suppressLineNumbers w:val="0"/>
                    <w:jc w:val="center"/>
                    <w:textAlignment w:val="center"/>
                    <w:rPr>
                      <w:rFonts w:hint="eastAsia" w:ascii="宋体" w:hAnsi="宋体" w:eastAsia="宋体" w:cs="宋体"/>
                      <w:i w:val="0"/>
                      <w:iCs w:val="0"/>
                      <w:color w:val="auto"/>
                      <w:sz w:val="15"/>
                      <w:szCs w:val="15"/>
                      <w:u w:val="none"/>
                    </w:rPr>
                  </w:pPr>
                  <w:r>
                    <w:rPr>
                      <w:rFonts w:hint="eastAsia" w:ascii="宋体" w:hAnsi="宋体" w:eastAsia="宋体" w:cs="宋体"/>
                      <w:i w:val="0"/>
                      <w:iCs w:val="0"/>
                      <w:color w:val="auto"/>
                      <w:kern w:val="0"/>
                      <w:sz w:val="15"/>
                      <w:szCs w:val="15"/>
                      <w:u w:val="none"/>
                      <w:lang w:val="en-US" w:eastAsia="zh-CN" w:bidi="ar"/>
                    </w:rPr>
                    <w:t>小计</w:t>
                  </w:r>
                </w:p>
              </w:tc>
            </w:tr>
            <w:tr w14:paraId="76198A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4361D">
                  <w:pPr>
                    <w:keepNext w:val="0"/>
                    <w:keepLines w:val="0"/>
                    <w:widowControl/>
                    <w:suppressLineNumbers w:val="0"/>
                    <w:jc w:val="center"/>
                    <w:textAlignment w:val="center"/>
                    <w:rPr>
                      <w:rFonts w:hint="eastAsia" w:ascii="宋体" w:hAnsi="宋体" w:eastAsia="宋体" w:cs="宋体"/>
                      <w:i w:val="0"/>
                      <w:iCs w:val="0"/>
                      <w:color w:val="auto"/>
                      <w:sz w:val="15"/>
                      <w:szCs w:val="15"/>
                      <w:u w:val="none"/>
                    </w:rPr>
                  </w:pPr>
                  <w:r>
                    <w:rPr>
                      <w:rFonts w:hint="eastAsia" w:ascii="宋体" w:hAnsi="宋体" w:eastAsia="宋体" w:cs="宋体"/>
                      <w:i w:val="0"/>
                      <w:iCs w:val="0"/>
                      <w:color w:val="auto"/>
                      <w:kern w:val="0"/>
                      <w:sz w:val="15"/>
                      <w:szCs w:val="15"/>
                      <w:u w:val="none"/>
                      <w:lang w:val="en-US" w:eastAsia="zh-CN" w:bidi="ar"/>
                    </w:rPr>
                    <w:t>盐酸酸洗</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EFF5BA">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FDD6B5">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1217.81</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32CDF7">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2538.72</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88B007">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1163.47</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EA989">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90DD0B">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4920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219E89">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1968</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CA124">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273E4">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2952</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B96BFC">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CF7CE">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323B8">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4920</w:t>
                  </w:r>
                </w:p>
              </w:tc>
            </w:tr>
            <w:tr w14:paraId="47457A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C3248E">
                  <w:pPr>
                    <w:keepNext w:val="0"/>
                    <w:keepLines w:val="0"/>
                    <w:widowControl/>
                    <w:suppressLineNumbers w:val="0"/>
                    <w:jc w:val="center"/>
                    <w:textAlignment w:val="center"/>
                    <w:rPr>
                      <w:rFonts w:hint="eastAsia" w:ascii="宋体" w:hAnsi="宋体" w:eastAsia="宋体" w:cs="宋体"/>
                      <w:i w:val="0"/>
                      <w:iCs w:val="0"/>
                      <w:color w:val="auto"/>
                      <w:sz w:val="15"/>
                      <w:szCs w:val="15"/>
                      <w:u w:val="none"/>
                    </w:rPr>
                  </w:pPr>
                  <w:r>
                    <w:rPr>
                      <w:rFonts w:hint="eastAsia" w:ascii="宋体" w:hAnsi="宋体" w:eastAsia="宋体" w:cs="宋体"/>
                      <w:i w:val="0"/>
                      <w:iCs w:val="0"/>
                      <w:color w:val="auto"/>
                      <w:kern w:val="0"/>
                      <w:sz w:val="15"/>
                      <w:szCs w:val="15"/>
                      <w:u w:val="none"/>
                      <w:lang w:val="en-US" w:eastAsia="zh-CN" w:bidi="ar"/>
                    </w:rPr>
                    <w:t>酸再生</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44536C">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ACA6CA">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88232">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2952</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AD8B3">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9242E">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2773BE">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2952</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8F56D">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413.28</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8BAE5">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43E81">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A882E0">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2538.72</w:t>
                  </w: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6296B">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CE3A0">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2952</w:t>
                  </w:r>
                </w:p>
              </w:tc>
            </w:tr>
            <w:tr w14:paraId="15B7F7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F60FA">
                  <w:pPr>
                    <w:keepNext w:val="0"/>
                    <w:keepLines w:val="0"/>
                    <w:widowControl/>
                    <w:suppressLineNumbers w:val="0"/>
                    <w:jc w:val="center"/>
                    <w:textAlignment w:val="center"/>
                    <w:rPr>
                      <w:rFonts w:hint="eastAsia" w:ascii="宋体" w:hAnsi="宋体" w:eastAsia="宋体" w:cs="宋体"/>
                      <w:i w:val="0"/>
                      <w:iCs w:val="0"/>
                      <w:color w:val="auto"/>
                      <w:sz w:val="15"/>
                      <w:szCs w:val="15"/>
                      <w:u w:val="none"/>
                    </w:rPr>
                  </w:pPr>
                  <w:r>
                    <w:rPr>
                      <w:rFonts w:hint="eastAsia" w:ascii="宋体" w:hAnsi="宋体" w:eastAsia="宋体" w:cs="宋体"/>
                      <w:i w:val="0"/>
                      <w:iCs w:val="0"/>
                      <w:color w:val="auto"/>
                      <w:kern w:val="0"/>
                      <w:sz w:val="15"/>
                      <w:szCs w:val="15"/>
                      <w:u w:val="none"/>
                      <w:lang w:val="en-US" w:eastAsia="zh-CN" w:bidi="ar"/>
                    </w:rPr>
                    <w:t>盐酸酸洗后水洗</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A8643">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DF0DC">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35000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C879D">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95FA5">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009BF9">
                  <w:pPr>
                    <w:jc w:val="center"/>
                    <w:rPr>
                      <w:rFonts w:hint="eastAsia" w:ascii="Times New Roman" w:hAnsi="Times New Roman" w:eastAsia="宋体" w:cs="Times New Roman"/>
                      <w:i w:val="0"/>
                      <w:iCs w:val="0"/>
                      <w:color w:val="auto"/>
                      <w:sz w:val="15"/>
                      <w:szCs w:val="15"/>
                      <w:u w:val="none"/>
                      <w:lang w:val="en-US" w:eastAsia="zh-CN"/>
                    </w:rPr>
                  </w:pPr>
                  <w:r>
                    <w:rPr>
                      <w:rFonts w:hint="eastAsia" w:ascii="Times New Roman" w:hAnsi="Times New Roman" w:eastAsia="宋体" w:cs="Times New Roman"/>
                      <w:i w:val="0"/>
                      <w:iCs w:val="0"/>
                      <w:color w:val="auto"/>
                      <w:sz w:val="15"/>
                      <w:szCs w:val="15"/>
                      <w:u w:val="none"/>
                      <w:lang w:val="en-US" w:eastAsia="zh-CN"/>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45A2DA">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35000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4BA2C">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3500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AA1674">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31500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D6A718">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277F7">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21686">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43125">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35000</w:t>
                  </w:r>
                </w:p>
              </w:tc>
            </w:tr>
            <w:tr w14:paraId="4FC44C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0F873">
                  <w:pPr>
                    <w:keepNext w:val="0"/>
                    <w:keepLines w:val="0"/>
                    <w:widowControl/>
                    <w:suppressLineNumbers w:val="0"/>
                    <w:jc w:val="center"/>
                    <w:textAlignment w:val="center"/>
                    <w:rPr>
                      <w:rFonts w:hint="eastAsia" w:ascii="宋体" w:hAnsi="宋体" w:eastAsia="宋体" w:cs="宋体"/>
                      <w:i w:val="0"/>
                      <w:iCs w:val="0"/>
                      <w:color w:val="auto"/>
                      <w:sz w:val="15"/>
                      <w:szCs w:val="15"/>
                      <w:u w:val="none"/>
                    </w:rPr>
                  </w:pPr>
                  <w:r>
                    <w:rPr>
                      <w:rFonts w:hint="eastAsia" w:ascii="宋体" w:hAnsi="宋体" w:eastAsia="宋体" w:cs="宋体"/>
                      <w:i w:val="0"/>
                      <w:iCs w:val="0"/>
                      <w:color w:val="auto"/>
                      <w:kern w:val="0"/>
                      <w:sz w:val="15"/>
                      <w:szCs w:val="15"/>
                      <w:u w:val="none"/>
                      <w:lang w:val="en-US" w:eastAsia="zh-CN" w:bidi="ar"/>
                    </w:rPr>
                    <w:t>碱洗</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16B06">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41FE8">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4244.4</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A27C0">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4C6C01">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7147C5">
                  <w:pPr>
                    <w:jc w:val="center"/>
                    <w:rPr>
                      <w:rFonts w:hint="eastAsia" w:ascii="Times New Roman" w:hAnsi="Times New Roman" w:eastAsia="宋体" w:cs="Times New Roman"/>
                      <w:i w:val="0"/>
                      <w:iCs w:val="0"/>
                      <w:color w:val="auto"/>
                      <w:sz w:val="15"/>
                      <w:szCs w:val="15"/>
                      <w:u w:val="none"/>
                      <w:lang w:val="en-US" w:eastAsia="zh-CN"/>
                    </w:rPr>
                  </w:pPr>
                  <w:r>
                    <w:rPr>
                      <w:rFonts w:hint="eastAsia" w:ascii="Times New Roman" w:hAnsi="Times New Roman" w:eastAsia="宋体" w:cs="Times New Roman"/>
                      <w:i w:val="0"/>
                      <w:iCs w:val="0"/>
                      <w:color w:val="auto"/>
                      <w:sz w:val="15"/>
                      <w:szCs w:val="15"/>
                      <w:u w:val="none"/>
                      <w:lang w:val="en-US" w:eastAsia="zh-CN"/>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65D32">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4244.4</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F771D6">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rPr>
                  </w:pPr>
                  <w:r>
                    <w:rPr>
                      <w:rFonts w:hint="default" w:ascii="Times New Roman" w:hAnsi="Times New Roman" w:eastAsia="宋体" w:cs="Times New Roman"/>
                      <w:i w:val="0"/>
                      <w:iCs w:val="0"/>
                      <w:color w:val="auto"/>
                      <w:kern w:val="0"/>
                      <w:sz w:val="15"/>
                      <w:szCs w:val="15"/>
                      <w:u w:val="none"/>
                      <w:lang w:val="en-US" w:eastAsia="zh-CN" w:bidi="ar"/>
                    </w:rPr>
                    <w:t>1697.76</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EFAE3">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2546.64</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C4BFF">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6EC56">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3325F">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D0AAB">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4244.4</w:t>
                  </w:r>
                </w:p>
              </w:tc>
            </w:tr>
            <w:tr w14:paraId="74CF22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9E1BB">
                  <w:pPr>
                    <w:keepNext w:val="0"/>
                    <w:keepLines w:val="0"/>
                    <w:widowControl/>
                    <w:suppressLineNumbers w:val="0"/>
                    <w:jc w:val="center"/>
                    <w:textAlignment w:val="center"/>
                    <w:rPr>
                      <w:rFonts w:hint="eastAsia" w:ascii="宋体" w:hAnsi="宋体" w:eastAsia="宋体" w:cs="宋体"/>
                      <w:i w:val="0"/>
                      <w:iCs w:val="0"/>
                      <w:color w:val="auto"/>
                      <w:sz w:val="15"/>
                      <w:szCs w:val="15"/>
                      <w:u w:val="none"/>
                    </w:rPr>
                  </w:pPr>
                  <w:r>
                    <w:rPr>
                      <w:rFonts w:hint="eastAsia" w:ascii="宋体" w:hAnsi="宋体" w:eastAsia="宋体" w:cs="宋体"/>
                      <w:i w:val="0"/>
                      <w:iCs w:val="0"/>
                      <w:color w:val="auto"/>
                      <w:kern w:val="0"/>
                      <w:sz w:val="15"/>
                      <w:szCs w:val="15"/>
                      <w:u w:val="none"/>
                      <w:lang w:val="en-US" w:eastAsia="zh-CN" w:bidi="ar"/>
                    </w:rPr>
                    <w:t>碱洗后水洗</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EE897">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C09F4">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28000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5B91E">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E3276">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4FDB5">
                  <w:pPr>
                    <w:jc w:val="center"/>
                    <w:rPr>
                      <w:rFonts w:hint="eastAsia" w:ascii="Times New Roman" w:hAnsi="Times New Roman" w:eastAsia="宋体" w:cs="Times New Roman"/>
                      <w:i w:val="0"/>
                      <w:iCs w:val="0"/>
                      <w:color w:val="auto"/>
                      <w:sz w:val="15"/>
                      <w:szCs w:val="15"/>
                      <w:u w:val="none"/>
                      <w:lang w:val="en-US" w:eastAsia="zh-CN"/>
                    </w:rPr>
                  </w:pPr>
                  <w:r>
                    <w:rPr>
                      <w:rFonts w:hint="eastAsia" w:ascii="Times New Roman" w:hAnsi="Times New Roman" w:eastAsia="宋体" w:cs="Times New Roman"/>
                      <w:i w:val="0"/>
                      <w:iCs w:val="0"/>
                      <w:color w:val="auto"/>
                      <w:sz w:val="15"/>
                      <w:szCs w:val="15"/>
                      <w:u w:val="none"/>
                      <w:lang w:val="en-US" w:eastAsia="zh-CN"/>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2C919">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28000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E8606B">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2800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0582BE">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25200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CB4F4">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42869">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D4A0F4">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2B110">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28000</w:t>
                  </w:r>
                </w:p>
              </w:tc>
            </w:tr>
            <w:tr w14:paraId="592A83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60B1D">
                  <w:pPr>
                    <w:keepNext w:val="0"/>
                    <w:keepLines w:val="0"/>
                    <w:widowControl/>
                    <w:suppressLineNumbers w:val="0"/>
                    <w:jc w:val="center"/>
                    <w:textAlignment w:val="center"/>
                    <w:rPr>
                      <w:rFonts w:hint="eastAsia" w:ascii="宋体" w:hAnsi="宋体" w:eastAsia="宋体" w:cs="宋体"/>
                      <w:i w:val="0"/>
                      <w:iCs w:val="0"/>
                      <w:color w:val="auto"/>
                      <w:sz w:val="15"/>
                      <w:szCs w:val="15"/>
                      <w:u w:val="none"/>
                    </w:rPr>
                  </w:pPr>
                  <w:r>
                    <w:rPr>
                      <w:rFonts w:hint="eastAsia" w:ascii="宋体" w:hAnsi="宋体" w:eastAsia="宋体" w:cs="宋体"/>
                      <w:i w:val="0"/>
                      <w:iCs w:val="0"/>
                      <w:color w:val="auto"/>
                      <w:kern w:val="0"/>
                      <w:sz w:val="15"/>
                      <w:szCs w:val="15"/>
                      <w:u w:val="none"/>
                      <w:lang w:val="en-US" w:eastAsia="zh-CN" w:bidi="ar"/>
                    </w:rPr>
                    <w:t>硫酸酸洗</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5B3EF0">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2FB56">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2381.27</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ADF0C">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F9B28">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5.6</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6F6AB6">
                  <w:pPr>
                    <w:jc w:val="center"/>
                    <w:rPr>
                      <w:rFonts w:hint="eastAsia" w:ascii="Times New Roman" w:hAnsi="Times New Roman" w:eastAsia="宋体" w:cs="Times New Roman"/>
                      <w:i w:val="0"/>
                      <w:iCs w:val="0"/>
                      <w:color w:val="auto"/>
                      <w:sz w:val="15"/>
                      <w:szCs w:val="15"/>
                      <w:u w:val="none"/>
                      <w:lang w:val="en-US" w:eastAsia="zh-CN"/>
                    </w:rPr>
                  </w:pPr>
                  <w:r>
                    <w:rPr>
                      <w:rFonts w:hint="eastAsia" w:ascii="Times New Roman" w:hAnsi="Times New Roman" w:eastAsia="宋体" w:cs="Times New Roman"/>
                      <w:i w:val="0"/>
                      <w:iCs w:val="0"/>
                      <w:color w:val="auto"/>
                      <w:sz w:val="15"/>
                      <w:szCs w:val="15"/>
                      <w:u w:val="none"/>
                      <w:lang w:val="en-US" w:eastAsia="zh-CN"/>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AFAE6A">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2386.87</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38A70">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rPr>
                  </w:pPr>
                  <w:r>
                    <w:rPr>
                      <w:rFonts w:hint="default" w:ascii="Times New Roman" w:hAnsi="Times New Roman" w:eastAsia="宋体" w:cs="Times New Roman"/>
                      <w:i w:val="0"/>
                      <w:iCs w:val="0"/>
                      <w:color w:val="auto"/>
                      <w:kern w:val="0"/>
                      <w:sz w:val="15"/>
                      <w:szCs w:val="15"/>
                      <w:u w:val="none"/>
                      <w:lang w:val="en-US" w:eastAsia="zh-CN" w:bidi="ar"/>
                    </w:rPr>
                    <w:t>954.7</w:t>
                  </w:r>
                  <w:r>
                    <w:rPr>
                      <w:rFonts w:hint="eastAsia" w:cs="Times New Roman"/>
                      <w:i w:val="0"/>
                      <w:iCs w:val="0"/>
                      <w:color w:val="auto"/>
                      <w:kern w:val="0"/>
                      <w:sz w:val="15"/>
                      <w:szCs w:val="15"/>
                      <w:u w:val="none"/>
                      <w:lang w:val="en-US" w:eastAsia="zh-CN" w:bidi="ar"/>
                    </w:rPr>
                    <w:t>5</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43F854">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1432.12</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EA864">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3D492C">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E54AB">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CA52C4">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2386.87</w:t>
                  </w:r>
                </w:p>
              </w:tc>
            </w:tr>
            <w:tr w14:paraId="3AC079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2FBC98">
                  <w:pPr>
                    <w:keepNext w:val="0"/>
                    <w:keepLines w:val="0"/>
                    <w:widowControl/>
                    <w:suppressLineNumbers w:val="0"/>
                    <w:jc w:val="center"/>
                    <w:textAlignment w:val="center"/>
                    <w:rPr>
                      <w:rFonts w:hint="eastAsia" w:ascii="宋体" w:hAnsi="宋体" w:eastAsia="宋体" w:cs="宋体"/>
                      <w:i w:val="0"/>
                      <w:iCs w:val="0"/>
                      <w:color w:val="auto"/>
                      <w:sz w:val="15"/>
                      <w:szCs w:val="15"/>
                      <w:u w:val="none"/>
                    </w:rPr>
                  </w:pPr>
                  <w:r>
                    <w:rPr>
                      <w:rFonts w:hint="eastAsia" w:ascii="宋体" w:hAnsi="宋体" w:eastAsia="宋体" w:cs="宋体"/>
                      <w:i w:val="0"/>
                      <w:iCs w:val="0"/>
                      <w:color w:val="auto"/>
                      <w:kern w:val="0"/>
                      <w:sz w:val="15"/>
                      <w:szCs w:val="15"/>
                      <w:u w:val="none"/>
                      <w:lang w:val="en-US" w:eastAsia="zh-CN" w:bidi="ar"/>
                    </w:rPr>
                    <w:t>硫酸酸洗后水洗</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2AEC1">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B810A3">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35000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7996E">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1C57BE">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47B353">
                  <w:pPr>
                    <w:jc w:val="center"/>
                    <w:rPr>
                      <w:rFonts w:hint="eastAsia" w:ascii="Times New Roman" w:hAnsi="Times New Roman" w:eastAsia="宋体" w:cs="Times New Roman"/>
                      <w:i w:val="0"/>
                      <w:iCs w:val="0"/>
                      <w:color w:val="auto"/>
                      <w:sz w:val="15"/>
                      <w:szCs w:val="15"/>
                      <w:u w:val="none"/>
                      <w:lang w:val="en-US" w:eastAsia="zh-CN"/>
                    </w:rPr>
                  </w:pPr>
                  <w:r>
                    <w:rPr>
                      <w:rFonts w:hint="eastAsia" w:ascii="Times New Roman" w:hAnsi="Times New Roman" w:eastAsia="宋体" w:cs="Times New Roman"/>
                      <w:i w:val="0"/>
                      <w:iCs w:val="0"/>
                      <w:color w:val="auto"/>
                      <w:sz w:val="15"/>
                      <w:szCs w:val="15"/>
                      <w:u w:val="none"/>
                      <w:lang w:val="en-US" w:eastAsia="zh-CN"/>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F929D8">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35000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F9C0CC">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3500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7F64A">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31500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FC70B">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F8A15C">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C9D2D3">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08EDC">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35000</w:t>
                  </w:r>
                </w:p>
              </w:tc>
            </w:tr>
            <w:tr w14:paraId="4B32B9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96206">
                  <w:pPr>
                    <w:keepNext w:val="0"/>
                    <w:keepLines w:val="0"/>
                    <w:widowControl/>
                    <w:suppressLineNumbers w:val="0"/>
                    <w:jc w:val="center"/>
                    <w:textAlignment w:val="center"/>
                    <w:rPr>
                      <w:rFonts w:hint="eastAsia" w:ascii="宋体" w:hAnsi="宋体" w:eastAsia="宋体" w:cs="宋体"/>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MgO涂层配制</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0F119">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7C6AB">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rPr>
                  </w:pPr>
                  <w:r>
                    <w:rPr>
                      <w:rFonts w:hint="default" w:ascii="Times New Roman" w:hAnsi="Times New Roman" w:eastAsia="宋体" w:cs="Times New Roman"/>
                      <w:i w:val="0"/>
                      <w:iCs w:val="0"/>
                      <w:color w:val="auto"/>
                      <w:kern w:val="0"/>
                      <w:sz w:val="15"/>
                      <w:szCs w:val="15"/>
                      <w:u w:val="none"/>
                      <w:lang w:val="en-US" w:eastAsia="zh-CN" w:bidi="ar"/>
                    </w:rPr>
                    <w:t>7200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C6F7C">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457369">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03AD6">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501111">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rPr>
                  </w:pPr>
                  <w:r>
                    <w:rPr>
                      <w:rFonts w:hint="default" w:ascii="Times New Roman" w:hAnsi="Times New Roman" w:eastAsia="宋体" w:cs="Times New Roman"/>
                      <w:i w:val="0"/>
                      <w:iCs w:val="0"/>
                      <w:color w:val="auto"/>
                      <w:kern w:val="0"/>
                      <w:sz w:val="15"/>
                      <w:szCs w:val="15"/>
                      <w:u w:val="none"/>
                      <w:lang w:val="en-US" w:eastAsia="zh-CN" w:bidi="ar"/>
                    </w:rPr>
                    <w:t>7200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3531A">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rPr>
                  </w:pPr>
                  <w:r>
                    <w:rPr>
                      <w:rFonts w:hint="default" w:ascii="Times New Roman" w:hAnsi="Times New Roman" w:eastAsia="宋体" w:cs="Times New Roman"/>
                      <w:i w:val="0"/>
                      <w:iCs w:val="0"/>
                      <w:color w:val="auto"/>
                      <w:kern w:val="0"/>
                      <w:sz w:val="15"/>
                      <w:szCs w:val="15"/>
                      <w:u w:val="none"/>
                      <w:lang w:val="en-US" w:eastAsia="zh-CN" w:bidi="ar"/>
                    </w:rPr>
                    <w:t>7200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2CB46">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CB82F4">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1CE4E2">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1524A">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EE36F3">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rPr>
                  </w:pPr>
                  <w:r>
                    <w:rPr>
                      <w:rFonts w:hint="default" w:ascii="Times New Roman" w:hAnsi="Times New Roman" w:eastAsia="宋体" w:cs="Times New Roman"/>
                      <w:i w:val="0"/>
                      <w:iCs w:val="0"/>
                      <w:color w:val="auto"/>
                      <w:kern w:val="0"/>
                      <w:sz w:val="15"/>
                      <w:szCs w:val="15"/>
                      <w:u w:val="none"/>
                      <w:lang w:val="en-US" w:eastAsia="zh-CN" w:bidi="ar"/>
                    </w:rPr>
                    <w:t>7200</w:t>
                  </w:r>
                </w:p>
              </w:tc>
            </w:tr>
            <w:tr w14:paraId="50303F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092CFE">
                  <w:pPr>
                    <w:keepNext w:val="0"/>
                    <w:keepLines w:val="0"/>
                    <w:widowControl/>
                    <w:suppressLineNumbers w:val="0"/>
                    <w:jc w:val="center"/>
                    <w:textAlignment w:val="center"/>
                    <w:rPr>
                      <w:rFonts w:hint="eastAsia" w:ascii="Times New Roman" w:hAnsi="Times New Roman" w:eastAsia="宋体" w:cs="Times New Roman"/>
                      <w:i w:val="0"/>
                      <w:iCs w:val="0"/>
                      <w:color w:val="auto"/>
                      <w:sz w:val="15"/>
                      <w:szCs w:val="15"/>
                      <w:u w:val="none"/>
                      <w:lang w:val="en-US" w:eastAsia="zh-CN"/>
                    </w:rPr>
                  </w:pPr>
                  <w:r>
                    <w:rPr>
                      <w:rFonts w:hint="eastAsia" w:ascii="Times New Roman" w:hAnsi="Times New Roman" w:eastAsia="宋体" w:cs="Times New Roman"/>
                      <w:i w:val="0"/>
                      <w:iCs w:val="0"/>
                      <w:color w:val="auto"/>
                      <w:sz w:val="15"/>
                      <w:szCs w:val="15"/>
                      <w:u w:val="none"/>
                      <w:lang w:val="en-US" w:eastAsia="zh-CN"/>
                    </w:rPr>
                    <w:t>MgO收集槽清洗</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92DF5C">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9A908">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964.5</w:t>
                  </w:r>
                </w:p>
              </w:tc>
              <w:tc>
                <w:tcPr>
                  <w:tcW w:w="5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4FF153">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5545.5</w:t>
                  </w:r>
                </w:p>
              </w:tc>
              <w:tc>
                <w:tcPr>
                  <w:tcW w:w="5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53073">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74E48A">
                  <w:pPr>
                    <w:jc w:val="center"/>
                    <w:rPr>
                      <w:rFonts w:hint="default" w:ascii="Times New Roman" w:hAnsi="Times New Roman" w:eastAsia="宋体" w:cs="Times New Roman"/>
                      <w:i w:val="0"/>
                      <w:iCs w:val="0"/>
                      <w:color w:val="auto"/>
                      <w:sz w:val="15"/>
                      <w:szCs w:val="15"/>
                      <w:u w:val="none"/>
                      <w:lang w:val="en-US" w:eastAsia="zh-CN"/>
                    </w:rPr>
                  </w:pPr>
                  <w:r>
                    <w:rPr>
                      <w:rFonts w:hint="eastAsia" w:ascii="Times New Roman" w:hAnsi="Times New Roman" w:eastAsia="宋体" w:cs="Times New Roman"/>
                      <w:i w:val="0"/>
                      <w:iCs w:val="0"/>
                      <w:color w:val="auto"/>
                      <w:sz w:val="15"/>
                      <w:szCs w:val="15"/>
                      <w:u w:val="none"/>
                      <w:lang w:val="en-US" w:eastAsia="zh-CN"/>
                    </w:rPr>
                    <w:t>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EC166">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6510</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00C34">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946.5</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A6134">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B1AAD">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18</w:t>
                  </w:r>
                </w:p>
              </w:tc>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98CC05">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5545.5</w:t>
                  </w:r>
                </w:p>
              </w:tc>
              <w:tc>
                <w:tcPr>
                  <w:tcW w:w="5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C68AF1">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A5171">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6510</w:t>
                  </w:r>
                </w:p>
              </w:tc>
            </w:tr>
            <w:tr w14:paraId="32283C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DCCF1">
                  <w:pPr>
                    <w:keepNext w:val="0"/>
                    <w:keepLines w:val="0"/>
                    <w:widowControl/>
                    <w:suppressLineNumbers w:val="0"/>
                    <w:jc w:val="center"/>
                    <w:textAlignment w:val="center"/>
                    <w:rPr>
                      <w:rFonts w:hint="eastAsia" w:ascii="Times New Roman" w:hAnsi="Times New Roman" w:eastAsia="宋体" w:cs="Times New Roman"/>
                      <w:i w:val="0"/>
                      <w:iCs w:val="0"/>
                      <w:color w:val="auto"/>
                      <w:sz w:val="15"/>
                      <w:szCs w:val="15"/>
                      <w:u w:val="none"/>
                      <w:lang w:val="en-US" w:eastAsia="zh-CN"/>
                    </w:rPr>
                  </w:pPr>
                  <w:r>
                    <w:rPr>
                      <w:rFonts w:hint="eastAsia" w:ascii="Times New Roman" w:hAnsi="Times New Roman" w:eastAsia="宋体" w:cs="Times New Roman"/>
                      <w:i w:val="0"/>
                      <w:iCs w:val="0"/>
                      <w:color w:val="auto"/>
                      <w:sz w:val="15"/>
                      <w:szCs w:val="15"/>
                      <w:u w:val="none"/>
                      <w:lang w:val="en-US" w:eastAsia="zh-CN"/>
                    </w:rPr>
                    <w:t>乳化液配制</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AFE9C">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F287D">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1616.67</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7B70D">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1F65C">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A8A92">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DA8C2">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1616.67</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E3FFC3">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1016.67</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BEC47">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600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C25B1">
                  <w:pPr>
                    <w:jc w:val="center"/>
                    <w:rPr>
                      <w:rFonts w:hint="default" w:ascii="Times New Roman" w:hAnsi="Times New Roman" w:eastAsia="宋体" w:cs="Times New Roman"/>
                      <w:i w:val="0"/>
                      <w:iCs w:val="0"/>
                      <w:color w:val="auto"/>
                      <w:sz w:val="15"/>
                      <w:szCs w:val="15"/>
                      <w:u w:val="none"/>
                      <w:lang w:val="en-US" w:eastAsia="zh-CN"/>
                    </w:rPr>
                  </w:pPr>
                  <w:r>
                    <w:rPr>
                      <w:rFonts w:hint="eastAsia" w:ascii="Times New Roman" w:hAnsi="Times New Roman" w:eastAsia="宋体" w:cs="Times New Roman"/>
                      <w:i w:val="0"/>
                      <w:iCs w:val="0"/>
                      <w:color w:val="auto"/>
                      <w:sz w:val="15"/>
                      <w:szCs w:val="15"/>
                      <w:u w:val="none"/>
                      <w:lang w:val="en-US" w:eastAsia="zh-CN"/>
                    </w:rPr>
                    <w:t>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D05C2">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F87EF">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312B3">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1616.67</w:t>
                  </w:r>
                </w:p>
              </w:tc>
            </w:tr>
            <w:tr w14:paraId="337DB3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E21EBE">
                  <w:pPr>
                    <w:keepNext w:val="0"/>
                    <w:keepLines w:val="0"/>
                    <w:widowControl/>
                    <w:suppressLineNumbers w:val="0"/>
                    <w:jc w:val="center"/>
                    <w:textAlignment w:val="center"/>
                    <w:rPr>
                      <w:rFonts w:hint="eastAsia" w:ascii="Times New Roman" w:hAnsi="Times New Roman" w:eastAsia="宋体" w:cs="Times New Roman"/>
                      <w:i w:val="0"/>
                      <w:iCs w:val="0"/>
                      <w:color w:val="auto"/>
                      <w:sz w:val="15"/>
                      <w:szCs w:val="15"/>
                      <w:u w:val="none"/>
                      <w:lang w:val="en-US" w:eastAsia="zh-CN"/>
                    </w:rPr>
                  </w:pPr>
                  <w:r>
                    <w:rPr>
                      <w:rFonts w:hint="eastAsia" w:ascii="Times New Roman" w:hAnsi="Times New Roman" w:eastAsia="宋体" w:cs="Times New Roman"/>
                      <w:i w:val="0"/>
                      <w:iCs w:val="0"/>
                      <w:color w:val="auto"/>
                      <w:sz w:val="15"/>
                      <w:szCs w:val="15"/>
                      <w:u w:val="none"/>
                      <w:lang w:val="en-US" w:eastAsia="zh-CN"/>
                    </w:rPr>
                    <w:t>锅炉</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6E63B3">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7FA8B7">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43610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759EA">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26114F">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764509">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151200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FC5435">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194810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FA7801">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37765.7</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CBEF3">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5844.3</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61F25B">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07478">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361EC">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151200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3516D">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194810</w:t>
                  </w:r>
                </w:p>
              </w:tc>
            </w:tr>
            <w:tr w14:paraId="55B00E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66F4E">
                  <w:pPr>
                    <w:keepNext w:val="0"/>
                    <w:keepLines w:val="0"/>
                    <w:widowControl/>
                    <w:suppressLineNumbers w:val="0"/>
                    <w:jc w:val="center"/>
                    <w:textAlignment w:val="center"/>
                    <w:rPr>
                      <w:rFonts w:hint="eastAsia" w:ascii="Times New Roman" w:hAnsi="Times New Roman" w:eastAsia="宋体" w:cs="Times New Roman"/>
                      <w:i w:val="0"/>
                      <w:iCs w:val="0"/>
                      <w:color w:val="auto"/>
                      <w:sz w:val="15"/>
                      <w:szCs w:val="15"/>
                      <w:u w:val="none"/>
                      <w:lang w:val="en-US" w:eastAsia="zh-CN"/>
                    </w:rPr>
                  </w:pPr>
                  <w:r>
                    <w:rPr>
                      <w:rFonts w:hint="eastAsia" w:ascii="Times New Roman" w:hAnsi="Times New Roman" w:eastAsia="宋体" w:cs="Times New Roman"/>
                      <w:i w:val="0"/>
                      <w:iCs w:val="0"/>
                      <w:color w:val="auto"/>
                      <w:sz w:val="15"/>
                      <w:szCs w:val="15"/>
                      <w:u w:val="none"/>
                      <w:lang w:val="en-US" w:eastAsia="zh-CN"/>
                    </w:rPr>
                    <w:t>脱盐水系统</w:t>
                  </w:r>
                </w:p>
              </w:tc>
              <w:tc>
                <w:tcPr>
                  <w:tcW w:w="6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E29ED">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227478.07</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5A726">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-159234.65</w:t>
                  </w:r>
                </w:p>
              </w:tc>
              <w:tc>
                <w:tcPr>
                  <w:tcW w:w="5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DD6F0">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C5F5F">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28E4B">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2F4A35">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68243.42</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9746ED">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15D2F">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68243.42</w:t>
                  </w:r>
                </w:p>
              </w:tc>
              <w:tc>
                <w:tcPr>
                  <w:tcW w:w="5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73BA7">
                  <w:pPr>
                    <w:jc w:val="center"/>
                    <w:rPr>
                      <w:rFonts w:hint="default" w:ascii="Times New Roman" w:hAnsi="Times New Roman" w:eastAsia="宋体" w:cs="Times New Roman"/>
                      <w:i w:val="0"/>
                      <w:iCs w:val="0"/>
                      <w:color w:val="auto"/>
                      <w:sz w:val="15"/>
                      <w:szCs w:val="15"/>
                      <w:u w:val="none"/>
                      <w:lang w:val="en-US" w:eastAsia="zh-CN"/>
                    </w:rPr>
                  </w:pPr>
                  <w:r>
                    <w:rPr>
                      <w:rFonts w:hint="eastAsia" w:ascii="Times New Roman" w:hAnsi="Times New Roman" w:eastAsia="宋体" w:cs="Times New Roman"/>
                      <w:i w:val="0"/>
                      <w:iCs w:val="0"/>
                      <w:color w:val="auto"/>
                      <w:sz w:val="15"/>
                      <w:szCs w:val="15"/>
                      <w:u w:val="none"/>
                      <w:lang w:val="en-US" w:eastAsia="zh-CN"/>
                    </w:rPr>
                    <w:t>0</w:t>
                  </w:r>
                </w:p>
              </w:tc>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E314F">
                  <w:pPr>
                    <w:jc w:val="center"/>
                    <w:rPr>
                      <w:rFonts w:hint="default" w:ascii="Times New Roman" w:hAnsi="Times New Roman" w:eastAsia="宋体" w:cs="Times New Roman"/>
                      <w:i w:val="0"/>
                      <w:iCs w:val="0"/>
                      <w:color w:val="auto"/>
                      <w:sz w:val="15"/>
                      <w:szCs w:val="15"/>
                      <w:u w:val="none"/>
                      <w:lang w:val="en-US" w:eastAsia="zh-CN"/>
                    </w:rPr>
                  </w:pPr>
                  <w:r>
                    <w:rPr>
                      <w:rFonts w:hint="eastAsia" w:ascii="Times New Roman" w:hAnsi="Times New Roman" w:eastAsia="宋体" w:cs="Times New Roman"/>
                      <w:i w:val="0"/>
                      <w:iCs w:val="0"/>
                      <w:color w:val="auto"/>
                      <w:sz w:val="15"/>
                      <w:szCs w:val="15"/>
                      <w:u w:val="none"/>
                      <w:lang w:val="en-US" w:eastAsia="zh-CN"/>
                    </w:rPr>
                    <w:t>0</w:t>
                  </w:r>
                </w:p>
              </w:tc>
              <w:tc>
                <w:tcPr>
                  <w:tcW w:w="5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F2848D">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CD9D1">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68243.42</w:t>
                  </w:r>
                </w:p>
              </w:tc>
            </w:tr>
            <w:tr w14:paraId="62B412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192E6">
                  <w:pPr>
                    <w:keepNext w:val="0"/>
                    <w:keepLines w:val="0"/>
                    <w:widowControl/>
                    <w:suppressLineNumbers w:val="0"/>
                    <w:jc w:val="center"/>
                    <w:textAlignment w:val="center"/>
                    <w:rPr>
                      <w:rFonts w:hint="eastAsia" w:ascii="Times New Roman" w:hAnsi="Times New Roman" w:eastAsia="宋体" w:cs="Times New Roman"/>
                      <w:i w:val="0"/>
                      <w:iCs w:val="0"/>
                      <w:color w:val="auto"/>
                      <w:sz w:val="15"/>
                      <w:szCs w:val="15"/>
                      <w:u w:val="none"/>
                      <w:lang w:val="en-US" w:eastAsia="zh-CN"/>
                    </w:rPr>
                  </w:pPr>
                  <w:r>
                    <w:rPr>
                      <w:rFonts w:hint="eastAsia" w:ascii="Times New Roman" w:hAnsi="Times New Roman" w:eastAsia="宋体" w:cs="Times New Roman"/>
                      <w:i w:val="0"/>
                      <w:iCs w:val="0"/>
                      <w:color w:val="auto"/>
                      <w:sz w:val="15"/>
                      <w:szCs w:val="15"/>
                      <w:u w:val="none"/>
                      <w:lang w:val="en-US" w:eastAsia="zh-CN"/>
                    </w:rPr>
                    <w:t>净循环水系统补水</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3E759F">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567000</w:t>
                  </w:r>
                </w:p>
              </w:tc>
              <w:tc>
                <w:tcPr>
                  <w:tcW w:w="6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649C7">
                  <w:pPr>
                    <w:jc w:val="center"/>
                    <w:rPr>
                      <w:rFonts w:hint="default" w:ascii="Times New Roman" w:hAnsi="Times New Roman" w:eastAsia="宋体" w:cs="Times New Roman"/>
                      <w:i w:val="0"/>
                      <w:iCs w:val="0"/>
                      <w:color w:val="auto"/>
                      <w:sz w:val="15"/>
                      <w:szCs w:val="15"/>
                      <w:u w:val="none"/>
                      <w:lang w:val="en-US" w:eastAsia="zh-CN"/>
                    </w:rPr>
                  </w:pP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498784">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88B14">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B6A0B">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BFB1D">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567000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50162B">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448000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5CD5C">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119000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6A1E2B">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036DBF">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363CA">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28F2B">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567000</w:t>
                  </w:r>
                </w:p>
              </w:tc>
            </w:tr>
            <w:tr w14:paraId="60F0F1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724463">
                  <w:pPr>
                    <w:keepNext w:val="0"/>
                    <w:keepLines w:val="0"/>
                    <w:widowControl/>
                    <w:suppressLineNumbers w:val="0"/>
                    <w:jc w:val="center"/>
                    <w:textAlignment w:val="center"/>
                    <w:rPr>
                      <w:rFonts w:hint="eastAsia" w:ascii="Times New Roman" w:hAnsi="Times New Roman" w:eastAsia="宋体" w:cs="Times New Roman"/>
                      <w:i w:val="0"/>
                      <w:iCs w:val="0"/>
                      <w:color w:val="auto"/>
                      <w:sz w:val="15"/>
                      <w:szCs w:val="15"/>
                      <w:u w:val="none"/>
                      <w:lang w:val="en-US" w:eastAsia="zh-CN"/>
                    </w:rPr>
                  </w:pPr>
                  <w:r>
                    <w:rPr>
                      <w:rFonts w:hint="eastAsia" w:ascii="Times New Roman" w:hAnsi="Times New Roman" w:eastAsia="宋体" w:cs="Times New Roman"/>
                      <w:i w:val="0"/>
                      <w:iCs w:val="0"/>
                      <w:color w:val="auto"/>
                      <w:sz w:val="15"/>
                      <w:szCs w:val="15"/>
                      <w:u w:val="none"/>
                      <w:lang w:val="en-US" w:eastAsia="zh-CN"/>
                    </w:rPr>
                    <w:t>带钢喷淋冷却</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6DCB6D">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56000</w:t>
                  </w:r>
                </w:p>
              </w:tc>
              <w:tc>
                <w:tcPr>
                  <w:tcW w:w="6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44555">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1A75CD">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14000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0063D">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0D79F">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F828E">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70000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C292EE">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56000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4DFB16">
                  <w:pPr>
                    <w:keepNext w:val="0"/>
                    <w:keepLines w:val="0"/>
                    <w:widowControl/>
                    <w:suppressLineNumbers w:val="0"/>
                    <w:jc w:val="center"/>
                    <w:textAlignment w:val="center"/>
                    <w:rPr>
                      <w:rFonts w:hint="eastAsia"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61CB62">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93AB5">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14000</w:t>
                  </w: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547FC">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DF718">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70000</w:t>
                  </w:r>
                </w:p>
              </w:tc>
            </w:tr>
            <w:tr w14:paraId="268CD2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60D03">
                  <w:pPr>
                    <w:keepNext w:val="0"/>
                    <w:keepLines w:val="0"/>
                    <w:widowControl/>
                    <w:suppressLineNumbers w:val="0"/>
                    <w:jc w:val="center"/>
                    <w:textAlignment w:val="center"/>
                    <w:rPr>
                      <w:rFonts w:hint="eastAsia" w:ascii="Times New Roman" w:hAnsi="Times New Roman" w:eastAsia="宋体" w:cs="Times New Roman"/>
                      <w:i w:val="0"/>
                      <w:iCs w:val="0"/>
                      <w:color w:val="auto"/>
                      <w:sz w:val="15"/>
                      <w:szCs w:val="15"/>
                      <w:u w:val="none"/>
                      <w:lang w:val="en-US" w:eastAsia="zh-CN"/>
                    </w:rPr>
                  </w:pPr>
                  <w:r>
                    <w:rPr>
                      <w:rFonts w:hint="eastAsia" w:ascii="Times New Roman" w:hAnsi="Times New Roman" w:eastAsia="宋体" w:cs="Times New Roman"/>
                      <w:i w:val="0"/>
                      <w:iCs w:val="0"/>
                      <w:color w:val="auto"/>
                      <w:sz w:val="15"/>
                      <w:szCs w:val="15"/>
                      <w:u w:val="none"/>
                      <w:lang w:val="en-US" w:eastAsia="zh-CN"/>
                    </w:rPr>
                    <w:t>酸雾喷淋塔</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9634F">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21864</w:t>
                  </w:r>
                </w:p>
              </w:tc>
              <w:tc>
                <w:tcPr>
                  <w:tcW w:w="6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83D5A9">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84936">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55A58">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65B43">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1C05B4">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21864</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9C33C">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21754.68</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6848D">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109.32</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9D17C">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63560">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0E613C">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C25A2">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21864</w:t>
                  </w:r>
                </w:p>
              </w:tc>
            </w:tr>
            <w:tr w14:paraId="4E258A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51D6A">
                  <w:pPr>
                    <w:keepNext w:val="0"/>
                    <w:keepLines w:val="0"/>
                    <w:widowControl/>
                    <w:suppressLineNumbers w:val="0"/>
                    <w:jc w:val="center"/>
                    <w:textAlignment w:val="center"/>
                    <w:rPr>
                      <w:rFonts w:hint="eastAsia" w:ascii="Times New Roman" w:hAnsi="Times New Roman" w:eastAsia="宋体" w:cs="Times New Roman"/>
                      <w:i w:val="0"/>
                      <w:iCs w:val="0"/>
                      <w:color w:val="auto"/>
                      <w:sz w:val="15"/>
                      <w:szCs w:val="15"/>
                      <w:u w:val="none"/>
                      <w:lang w:val="en-US" w:eastAsia="zh-CN"/>
                    </w:rPr>
                  </w:pPr>
                  <w:r>
                    <w:rPr>
                      <w:rFonts w:hint="eastAsia" w:ascii="Times New Roman" w:hAnsi="Times New Roman" w:eastAsia="宋体" w:cs="Times New Roman"/>
                      <w:i w:val="0"/>
                      <w:iCs w:val="0"/>
                      <w:color w:val="auto"/>
                      <w:sz w:val="15"/>
                      <w:szCs w:val="15"/>
                      <w:u w:val="none"/>
                      <w:lang w:val="en-US" w:eastAsia="zh-CN"/>
                    </w:rPr>
                    <w:t>碱雾喷淋塔</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8763A">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5466</w:t>
                  </w:r>
                </w:p>
              </w:tc>
              <w:tc>
                <w:tcPr>
                  <w:tcW w:w="6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CF7F4">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28D6A6">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13BB0">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F0193">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B5C219">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5466</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A5ED8">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5438.67</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ADC5E">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27.33</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591DB2">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98635">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410B1">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94FE02">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5466</w:t>
                  </w:r>
                </w:p>
              </w:tc>
            </w:tr>
            <w:tr w14:paraId="12E7BF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9B66E">
                  <w:pPr>
                    <w:keepNext w:val="0"/>
                    <w:keepLines w:val="0"/>
                    <w:widowControl/>
                    <w:suppressLineNumbers w:val="0"/>
                    <w:jc w:val="center"/>
                    <w:textAlignment w:val="center"/>
                    <w:rPr>
                      <w:rFonts w:hint="eastAsia" w:ascii="Times New Roman" w:hAnsi="Times New Roman" w:eastAsia="宋体" w:cs="Times New Roman"/>
                      <w:i w:val="0"/>
                      <w:iCs w:val="0"/>
                      <w:color w:val="auto"/>
                      <w:sz w:val="15"/>
                      <w:szCs w:val="15"/>
                      <w:u w:val="none"/>
                      <w:lang w:val="en-US" w:eastAsia="zh-CN"/>
                    </w:rPr>
                  </w:pPr>
                  <w:r>
                    <w:rPr>
                      <w:rFonts w:hint="eastAsia" w:ascii="Times New Roman" w:hAnsi="Times New Roman" w:eastAsia="宋体" w:cs="Times New Roman"/>
                      <w:i w:val="0"/>
                      <w:iCs w:val="0"/>
                      <w:color w:val="auto"/>
                      <w:sz w:val="15"/>
                      <w:szCs w:val="15"/>
                      <w:u w:val="none"/>
                      <w:lang w:val="en-US" w:eastAsia="zh-CN"/>
                    </w:rPr>
                    <w:t>车间地面清洁</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9D743">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1946.67</w:t>
                  </w:r>
                </w:p>
              </w:tc>
              <w:tc>
                <w:tcPr>
                  <w:tcW w:w="6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45D76">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78601">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C2DD54">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120944">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210BD">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1946.67</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BD03B">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1946.67</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1FD79">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CBC81">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12E3D3">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86A040">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CD64F">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1946.67</w:t>
                  </w:r>
                </w:p>
              </w:tc>
            </w:tr>
            <w:tr w14:paraId="3B6E10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9" w:hRule="atLeast"/>
              </w:trPr>
              <w:tc>
                <w:tcPr>
                  <w:tcW w:w="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E0311">
                  <w:pPr>
                    <w:keepNext w:val="0"/>
                    <w:keepLines w:val="0"/>
                    <w:widowControl/>
                    <w:suppressLineNumbers w:val="0"/>
                    <w:jc w:val="center"/>
                    <w:textAlignment w:val="center"/>
                    <w:rPr>
                      <w:rFonts w:hint="eastAsia" w:ascii="Times New Roman" w:hAnsi="Times New Roman" w:eastAsia="宋体" w:cs="Times New Roman"/>
                      <w:i w:val="0"/>
                      <w:iCs w:val="0"/>
                      <w:color w:val="auto"/>
                      <w:sz w:val="15"/>
                      <w:szCs w:val="15"/>
                      <w:u w:val="none"/>
                      <w:lang w:val="en-US" w:eastAsia="zh-CN"/>
                    </w:rPr>
                  </w:pPr>
                  <w:r>
                    <w:rPr>
                      <w:rFonts w:hint="eastAsia" w:ascii="Times New Roman" w:hAnsi="Times New Roman" w:eastAsia="宋体" w:cs="Times New Roman"/>
                      <w:i w:val="0"/>
                      <w:iCs w:val="0"/>
                      <w:color w:val="auto"/>
                      <w:sz w:val="15"/>
                      <w:szCs w:val="15"/>
                      <w:u w:val="none"/>
                      <w:lang w:val="en-US" w:eastAsia="zh-CN"/>
                    </w:rPr>
                    <w:t>生活用水</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532997">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3225</w:t>
                  </w:r>
                </w:p>
              </w:tc>
              <w:tc>
                <w:tcPr>
                  <w:tcW w:w="6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5F1BE">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6CABF">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D62AE">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C9933">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E2724">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3225</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F828F">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645</w:t>
                  </w:r>
                </w:p>
              </w:tc>
              <w:tc>
                <w:tcPr>
                  <w:tcW w:w="6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6BA97">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2580</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647D9">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F36C6">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869AC">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w:t>
                  </w:r>
                </w:p>
              </w:tc>
              <w:tc>
                <w:tcPr>
                  <w:tcW w:w="6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5E3F9C">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3225</w:t>
                  </w:r>
                </w:p>
              </w:tc>
            </w:tr>
            <w:tr w14:paraId="0A5CFF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D4E84">
                  <w:pPr>
                    <w:keepNext w:val="0"/>
                    <w:keepLines w:val="0"/>
                    <w:widowControl/>
                    <w:suppressLineNumbers w:val="0"/>
                    <w:jc w:val="center"/>
                    <w:textAlignment w:val="center"/>
                    <w:rPr>
                      <w:rFonts w:hint="eastAsia" w:ascii="Times New Roman" w:hAnsi="Times New Roman" w:eastAsia="宋体" w:cs="Times New Roman"/>
                      <w:i w:val="0"/>
                      <w:iCs w:val="0"/>
                      <w:color w:val="auto"/>
                      <w:sz w:val="15"/>
                      <w:szCs w:val="15"/>
                      <w:u w:val="none"/>
                      <w:lang w:val="en-US" w:eastAsia="zh-CN"/>
                    </w:rPr>
                  </w:pPr>
                  <w:r>
                    <w:rPr>
                      <w:rFonts w:hint="eastAsia" w:ascii="Times New Roman" w:hAnsi="Times New Roman" w:eastAsia="宋体" w:cs="Times New Roman"/>
                      <w:i w:val="0"/>
                      <w:iCs w:val="0"/>
                      <w:color w:val="auto"/>
                      <w:sz w:val="15"/>
                      <w:szCs w:val="15"/>
                      <w:u w:val="none"/>
                      <w:lang w:val="en-US" w:eastAsia="zh-CN"/>
                    </w:rPr>
                    <w:t>合计</w:t>
                  </w:r>
                </w:p>
              </w:tc>
              <w:tc>
                <w:tcPr>
                  <w:tcW w:w="6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B994F0">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882979.74</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649B24">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0.00</w:t>
                  </w:r>
                </w:p>
              </w:tc>
              <w:tc>
                <w:tcPr>
                  <w:tcW w:w="5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5B110">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25036.22</w:t>
                  </w:r>
                </w:p>
              </w:tc>
              <w:tc>
                <w:tcPr>
                  <w:tcW w:w="5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FC2EF">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1169.07</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D98EB">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151200.00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0E9792">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1060385.03</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FB376">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595547.68</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7FA9EF">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288583.13</w:t>
                  </w:r>
                </w:p>
              </w:tc>
              <w:tc>
                <w:tcPr>
                  <w:tcW w:w="5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0BAFD">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2970.00</w:t>
                  </w:r>
                </w:p>
              </w:tc>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7AAB58">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22084.22</w:t>
                  </w:r>
                </w:p>
              </w:tc>
              <w:tc>
                <w:tcPr>
                  <w:tcW w:w="5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A447CE">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151200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061E8E">
                  <w:pPr>
                    <w:keepNext w:val="0"/>
                    <w:keepLines w:val="0"/>
                    <w:widowControl/>
                    <w:suppressLineNumbers w:val="0"/>
                    <w:jc w:val="center"/>
                    <w:textAlignment w:val="center"/>
                    <w:rPr>
                      <w:rFonts w:hint="default" w:ascii="Times New Roman" w:hAnsi="Times New Roman" w:eastAsia="宋体" w:cs="Times New Roman"/>
                      <w:i w:val="0"/>
                      <w:iCs w:val="0"/>
                      <w:color w:val="auto"/>
                      <w:sz w:val="15"/>
                      <w:szCs w:val="15"/>
                      <w:u w:val="none"/>
                      <w:lang w:val="en-US" w:eastAsia="zh-CN"/>
                    </w:rPr>
                  </w:pPr>
                  <w:r>
                    <w:rPr>
                      <w:rFonts w:hint="default" w:ascii="Times New Roman" w:hAnsi="Times New Roman" w:eastAsia="宋体" w:cs="Times New Roman"/>
                      <w:i w:val="0"/>
                      <w:iCs w:val="0"/>
                      <w:color w:val="auto"/>
                      <w:kern w:val="0"/>
                      <w:sz w:val="15"/>
                      <w:szCs w:val="15"/>
                      <w:u w:val="none"/>
                      <w:lang w:val="en-US" w:eastAsia="zh-CN" w:bidi="ar"/>
                    </w:rPr>
                    <w:t>1060385.03</w:t>
                  </w:r>
                </w:p>
              </w:tc>
            </w:tr>
          </w:tbl>
          <w:p w14:paraId="7D37F6C2">
            <w:pPr>
              <w:keepNext w:val="0"/>
              <w:keepLines w:val="0"/>
              <w:widowControl/>
              <w:suppressLineNumbers w:val="0"/>
              <w:jc w:val="center"/>
              <w:rPr>
                <w:color w:val="auto"/>
              </w:rPr>
            </w:pPr>
            <w:r>
              <w:rPr>
                <w:rFonts w:ascii="宋体" w:hAnsi="宋体" w:eastAsia="宋体" w:cs="宋体"/>
                <w:color w:val="auto"/>
                <w:kern w:val="0"/>
                <w:sz w:val="24"/>
                <w:szCs w:val="24"/>
                <w:lang w:val="en-US" w:eastAsia="zh-CN" w:bidi="ar"/>
              </w:rPr>
              <w:drawing>
                <wp:inline distT="0" distB="0" distL="114300" distR="114300">
                  <wp:extent cx="4713605" cy="7919720"/>
                  <wp:effectExtent l="0" t="0" r="0" b="5080"/>
                  <wp:docPr id="5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 descr="IMG_256"/>
                          <pic:cNvPicPr>
                            <a:picLocks noChangeAspect="1"/>
                          </pic:cNvPicPr>
                        </pic:nvPicPr>
                        <pic:blipFill>
                          <a:blip r:embed="rId15"/>
                          <a:stretch>
                            <a:fillRect/>
                          </a:stretch>
                        </pic:blipFill>
                        <pic:spPr>
                          <a:xfrm>
                            <a:off x="0" y="0"/>
                            <a:ext cx="4713605" cy="7919720"/>
                          </a:xfrm>
                          <a:prstGeom prst="rect">
                            <a:avLst/>
                          </a:prstGeom>
                          <a:noFill/>
                          <a:ln w="9525">
                            <a:noFill/>
                          </a:ln>
                        </pic:spPr>
                      </pic:pic>
                    </a:graphicData>
                  </a:graphic>
                </wp:inline>
              </w:drawing>
            </w:r>
          </w:p>
          <w:p w14:paraId="568ED2C8">
            <w:pPr>
              <w:keepNext w:val="0"/>
              <w:keepLines w:val="0"/>
              <w:pageBreakBefore w:val="0"/>
              <w:widowControl w:val="0"/>
              <w:suppressLineNumbers w:val="0"/>
              <w:kinsoku/>
              <w:wordWrap/>
              <w:overflowPunct/>
              <w:topLinePunct/>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黑体" w:cs="Times New Roman"/>
                <w:bCs/>
                <w:color w:val="auto"/>
                <w:spacing w:val="2"/>
                <w:sz w:val="21"/>
                <w:szCs w:val="21"/>
                <w:lang w:val="en-US" w:eastAsia="zh-CN"/>
              </w:rPr>
            </w:pPr>
            <w:r>
              <w:rPr>
                <w:rFonts w:hint="default" w:ascii="Times New Roman" w:hAnsi="Times New Roman" w:eastAsia="黑体" w:cs="Times New Roman"/>
                <w:bCs/>
                <w:color w:val="auto"/>
                <w:spacing w:val="2"/>
                <w:sz w:val="21"/>
                <w:szCs w:val="21"/>
                <w:lang w:val="en-US" w:eastAsia="zh-CN"/>
              </w:rPr>
              <w:t>图</w:t>
            </w:r>
            <w:r>
              <w:rPr>
                <w:rFonts w:hint="eastAsia" w:ascii="Times New Roman" w:hAnsi="Times New Roman" w:eastAsia="黑体" w:cs="Times New Roman"/>
                <w:bCs/>
                <w:color w:val="auto"/>
                <w:spacing w:val="2"/>
                <w:sz w:val="21"/>
                <w:szCs w:val="21"/>
                <w:lang w:val="en-US" w:eastAsia="zh-CN"/>
              </w:rPr>
              <w:t>2-</w:t>
            </w:r>
            <w:r>
              <w:rPr>
                <w:rFonts w:hint="eastAsia" w:eastAsia="黑体" w:cs="Times New Roman"/>
                <w:bCs/>
                <w:color w:val="auto"/>
                <w:spacing w:val="2"/>
                <w:sz w:val="21"/>
                <w:szCs w:val="21"/>
                <w:lang w:val="en-US" w:eastAsia="zh-CN"/>
              </w:rPr>
              <w:t>2</w:t>
            </w:r>
            <w:r>
              <w:rPr>
                <w:rFonts w:hint="default" w:ascii="Times New Roman" w:hAnsi="Times New Roman" w:eastAsia="黑体" w:cs="Times New Roman"/>
                <w:bCs/>
                <w:color w:val="auto"/>
                <w:spacing w:val="2"/>
                <w:sz w:val="21"/>
                <w:szCs w:val="21"/>
                <w:lang w:val="en-US" w:eastAsia="zh-CN"/>
              </w:rPr>
              <w:t>项目水平衡图（m</w:t>
            </w:r>
            <w:r>
              <w:rPr>
                <w:rFonts w:hint="default" w:ascii="Times New Roman" w:hAnsi="Times New Roman" w:eastAsia="黑体" w:cs="Times New Roman"/>
                <w:bCs/>
                <w:color w:val="auto"/>
                <w:spacing w:val="2"/>
                <w:sz w:val="21"/>
                <w:szCs w:val="21"/>
                <w:vertAlign w:val="superscript"/>
                <w:lang w:val="en-US" w:eastAsia="zh-CN"/>
              </w:rPr>
              <w:t>3</w:t>
            </w:r>
            <w:r>
              <w:rPr>
                <w:rFonts w:hint="default" w:ascii="Times New Roman" w:hAnsi="Times New Roman" w:eastAsia="黑体" w:cs="Times New Roman"/>
                <w:bCs/>
                <w:color w:val="auto"/>
                <w:spacing w:val="2"/>
                <w:sz w:val="21"/>
                <w:szCs w:val="21"/>
                <w:lang w:val="en-US" w:eastAsia="zh-CN"/>
              </w:rPr>
              <w:t>/</w:t>
            </w:r>
            <w:r>
              <w:rPr>
                <w:rFonts w:hint="eastAsia" w:eastAsia="黑体" w:cs="Times New Roman"/>
                <w:bCs/>
                <w:color w:val="auto"/>
                <w:spacing w:val="2"/>
                <w:sz w:val="21"/>
                <w:szCs w:val="21"/>
                <w:lang w:val="en-US" w:eastAsia="zh-CN"/>
              </w:rPr>
              <w:t>a</w:t>
            </w:r>
            <w:r>
              <w:rPr>
                <w:rFonts w:hint="default" w:ascii="Times New Roman" w:hAnsi="Times New Roman" w:eastAsia="黑体" w:cs="Times New Roman"/>
                <w:bCs/>
                <w:color w:val="auto"/>
                <w:spacing w:val="2"/>
                <w:sz w:val="21"/>
                <w:szCs w:val="21"/>
                <w:lang w:val="en-US" w:eastAsia="zh-CN"/>
              </w:rPr>
              <w:t>）</w:t>
            </w:r>
          </w:p>
          <w:p w14:paraId="70A8116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2" w:firstLineChars="200"/>
              <w:jc w:val="both"/>
              <w:textAlignment w:val="auto"/>
              <w:rPr>
                <w:rFonts w:hint="default" w:cs="Times New Roman"/>
                <w:b/>
                <w:bCs w:val="0"/>
                <w:color w:val="auto"/>
                <w:sz w:val="21"/>
                <w:szCs w:val="21"/>
                <w:lang w:val="en-US" w:eastAsia="zh-CN"/>
              </w:rPr>
            </w:pPr>
            <w:r>
              <w:rPr>
                <w:rFonts w:hint="eastAsia" w:cs="Times New Roman"/>
                <w:b/>
                <w:bCs w:val="0"/>
                <w:color w:val="auto"/>
                <w:sz w:val="21"/>
                <w:szCs w:val="21"/>
                <w:lang w:val="en-US" w:eastAsia="zh-CN"/>
              </w:rPr>
              <w:t>（2）</w:t>
            </w:r>
            <w:r>
              <w:rPr>
                <w:rFonts w:hint="default" w:cs="Times New Roman"/>
                <w:b/>
                <w:bCs w:val="0"/>
                <w:color w:val="auto"/>
                <w:sz w:val="21"/>
                <w:szCs w:val="21"/>
                <w:lang w:val="en-US" w:eastAsia="zh-CN"/>
              </w:rPr>
              <w:t>供电</w:t>
            </w:r>
          </w:p>
          <w:p w14:paraId="15CF82B7">
            <w:pPr>
              <w:keepNext w:val="0"/>
              <w:keepLines w:val="0"/>
              <w:widowControl/>
              <w:suppressLineNumbers w:val="0"/>
              <w:spacing w:before="0" w:beforeAutospacing="0" w:after="0" w:afterAutospacing="0" w:line="360" w:lineRule="auto"/>
              <w:ind w:left="0" w:right="0" w:firstLine="420" w:firstLineChars="200"/>
              <w:rPr>
                <w:rFonts w:hint="default" w:cs="Times New Roman"/>
                <w:color w:val="auto"/>
                <w:sz w:val="21"/>
                <w:szCs w:val="21"/>
                <w:lang w:val="en-US" w:eastAsia="zh-CN"/>
              </w:rPr>
            </w:pPr>
            <w:r>
              <w:rPr>
                <w:rFonts w:hint="default" w:cs="Times New Roman"/>
                <w:color w:val="auto"/>
                <w:sz w:val="21"/>
                <w:szCs w:val="21"/>
                <w:lang w:val="en-US" w:eastAsia="zh-CN"/>
              </w:rPr>
              <w:t>根据本项目总图布置及负荷分配情况，拟在厂区内设置一座35kV变电站，为冷轧产线、全厂公辅设施和办公生活设施提供电源。35kV变电站向车间产线、公辅设施、生活区供电，本期设2台30MVA35/10.5kV主变压器。远期变电站内主变压器的容量均满足N-1运行方式下，全部二、三级负荷用电需求。35kV变电站设两路35kV进线电源。35kV线路截面的选择</w:t>
            </w:r>
            <w:r>
              <w:rPr>
                <w:rFonts w:hint="eastAsia" w:cs="Times New Roman"/>
                <w:color w:val="auto"/>
                <w:sz w:val="21"/>
                <w:szCs w:val="21"/>
                <w:lang w:val="en-US" w:eastAsia="zh-CN"/>
              </w:rPr>
              <w:t>满足</w:t>
            </w:r>
            <w:r>
              <w:rPr>
                <w:rFonts w:hint="default" w:cs="Times New Roman"/>
                <w:color w:val="auto"/>
                <w:sz w:val="21"/>
                <w:szCs w:val="21"/>
                <w:lang w:val="en-US" w:eastAsia="zh-CN"/>
              </w:rPr>
              <w:t>N-1运行方式下，全部二、三级负荷用电需求。35kV变电站35kV侧采用单母线分段接线。变电站10kV系统采用单母线分段接线。本工程拟在相应的车间内设置蓄电池装置、静止型不间断供电装置(UPS)和柴油发电机组应急电源装置等</w:t>
            </w:r>
            <w:r>
              <w:rPr>
                <w:rFonts w:hint="eastAsia" w:cs="Times New Roman"/>
                <w:color w:val="auto"/>
                <w:sz w:val="21"/>
                <w:szCs w:val="21"/>
                <w:lang w:val="en-US" w:eastAsia="zh-CN"/>
              </w:rPr>
              <w:t>。</w:t>
            </w:r>
          </w:p>
          <w:p w14:paraId="69BC1567">
            <w:pPr>
              <w:keepNext w:val="0"/>
              <w:keepLines w:val="0"/>
              <w:widowControl/>
              <w:suppressLineNumbers w:val="0"/>
              <w:spacing w:before="0" w:beforeAutospacing="0" w:after="0" w:afterAutospacing="0" w:line="360" w:lineRule="auto"/>
              <w:ind w:left="0" w:right="0" w:firstLine="420" w:firstLineChars="200"/>
              <w:rPr>
                <w:rFonts w:hint="default" w:cs="Times New Roman"/>
                <w:color w:val="auto"/>
                <w:sz w:val="21"/>
                <w:szCs w:val="21"/>
                <w:lang w:val="en-US" w:eastAsia="zh-CN"/>
              </w:rPr>
            </w:pPr>
            <w:r>
              <w:rPr>
                <w:rFonts w:hint="default" w:cs="Times New Roman"/>
                <w:color w:val="auto"/>
                <w:sz w:val="21"/>
                <w:szCs w:val="21"/>
                <w:lang w:val="en-US" w:eastAsia="zh-CN"/>
              </w:rPr>
              <w:t>本项目用电</w:t>
            </w:r>
            <w:r>
              <w:rPr>
                <w:rFonts w:hint="eastAsia" w:cs="Times New Roman"/>
                <w:color w:val="auto"/>
                <w:sz w:val="21"/>
                <w:szCs w:val="21"/>
                <w:lang w:val="en-US" w:eastAsia="zh-CN"/>
              </w:rPr>
              <w:t>量为8600万kWh/a</w:t>
            </w:r>
            <w:r>
              <w:rPr>
                <w:rFonts w:hint="default" w:cs="Times New Roman"/>
                <w:color w:val="auto"/>
                <w:sz w:val="21"/>
                <w:szCs w:val="21"/>
                <w:lang w:val="en-US" w:eastAsia="zh-CN"/>
              </w:rPr>
              <w:t>。</w:t>
            </w:r>
          </w:p>
          <w:p w14:paraId="02E4F49D">
            <w:pPr>
              <w:keepNext w:val="0"/>
              <w:keepLines w:val="0"/>
              <w:widowControl/>
              <w:numPr>
                <w:ilvl w:val="0"/>
                <w:numId w:val="0"/>
              </w:numPr>
              <w:suppressLineNumbers w:val="0"/>
              <w:spacing w:before="0" w:beforeAutospacing="0" w:after="0" w:afterAutospacing="0" w:line="360" w:lineRule="auto"/>
              <w:ind w:left="420" w:leftChars="200" w:right="0" w:rightChars="0"/>
              <w:rPr>
                <w:rFonts w:hint="eastAsia" w:cs="Times New Roman"/>
                <w:b/>
                <w:bCs/>
                <w:color w:val="auto"/>
                <w:sz w:val="21"/>
                <w:szCs w:val="21"/>
                <w:lang w:val="en-US" w:eastAsia="zh-CN"/>
              </w:rPr>
            </w:pPr>
            <w:r>
              <w:rPr>
                <w:rFonts w:hint="eastAsia" w:ascii="Times New Roman" w:hAnsi="Times New Roman" w:eastAsia="宋体" w:cs="Times New Roman"/>
                <w:b/>
                <w:bCs/>
                <w:color w:val="auto"/>
                <w:kern w:val="2"/>
                <w:sz w:val="21"/>
                <w:szCs w:val="21"/>
                <w:lang w:val="en-US" w:eastAsia="zh-CN" w:bidi="ar-SA"/>
              </w:rPr>
              <w:t>（3）</w:t>
            </w:r>
            <w:r>
              <w:rPr>
                <w:rFonts w:hint="eastAsia" w:cs="Times New Roman"/>
                <w:b/>
                <w:bCs/>
                <w:color w:val="auto"/>
                <w:sz w:val="21"/>
                <w:szCs w:val="21"/>
                <w:lang w:val="en-US" w:eastAsia="zh-CN"/>
              </w:rPr>
              <w:t>通风和空调</w:t>
            </w:r>
          </w:p>
          <w:p w14:paraId="4C94CC38">
            <w:pPr>
              <w:keepNext w:val="0"/>
              <w:keepLines w:val="0"/>
              <w:widowControl/>
              <w:suppressLineNumbers w:val="0"/>
              <w:spacing w:before="0" w:beforeAutospacing="0" w:after="0" w:afterAutospacing="0" w:line="360" w:lineRule="auto"/>
              <w:ind w:left="0" w:right="0" w:firstLine="420" w:firstLineChars="200"/>
              <w:rPr>
                <w:rFonts w:hint="default" w:cs="Times New Roman"/>
                <w:color w:val="auto"/>
                <w:sz w:val="21"/>
                <w:szCs w:val="21"/>
                <w:lang w:val="en-US" w:eastAsia="zh-CN"/>
              </w:rPr>
            </w:pPr>
            <w:r>
              <w:rPr>
                <w:rFonts w:hint="default" w:cs="Times New Roman"/>
                <w:color w:val="auto"/>
                <w:sz w:val="21"/>
                <w:szCs w:val="21"/>
                <w:lang w:val="en-US" w:eastAsia="zh-CN"/>
              </w:rPr>
              <w:t>当房间自然通风不能满足温度要求，且房间对温度又不需要严格控制或房间不设通气窗时，设机械通风装置。一般采用轴流风机送风或排气。含有腐蚀性气体时采用防腐风机。进出防火区的管道加防火阀。</w:t>
            </w:r>
          </w:p>
          <w:p w14:paraId="770AB729">
            <w:pPr>
              <w:keepNext w:val="0"/>
              <w:keepLines w:val="0"/>
              <w:widowControl/>
              <w:suppressLineNumbers w:val="0"/>
              <w:spacing w:before="0" w:beforeAutospacing="0" w:after="0" w:afterAutospacing="0" w:line="360" w:lineRule="auto"/>
              <w:ind w:left="0" w:right="0" w:firstLine="420" w:firstLineChars="200"/>
              <w:rPr>
                <w:rFonts w:hint="default" w:cs="Times New Roman"/>
                <w:color w:val="auto"/>
                <w:sz w:val="21"/>
                <w:szCs w:val="21"/>
                <w:lang w:val="en-US" w:eastAsia="zh-CN"/>
              </w:rPr>
            </w:pPr>
            <w:r>
              <w:rPr>
                <w:rFonts w:hint="default" w:cs="Times New Roman"/>
                <w:color w:val="auto"/>
                <w:sz w:val="21"/>
                <w:szCs w:val="21"/>
                <w:lang w:val="en-US" w:eastAsia="zh-CN"/>
              </w:rPr>
              <w:t>液压站的通风方式采用带空气过滤器的机械送风+自然排风，或采用自然进风十机械排风，或采用带空气过滤器的机械送风十机械排风的通风系统。</w:t>
            </w:r>
          </w:p>
          <w:p w14:paraId="5F9D2738">
            <w:pPr>
              <w:keepNext w:val="0"/>
              <w:keepLines w:val="0"/>
              <w:widowControl/>
              <w:suppressLineNumbers w:val="0"/>
              <w:spacing w:before="0" w:beforeAutospacing="0" w:after="0" w:afterAutospacing="0" w:line="360" w:lineRule="auto"/>
              <w:ind w:left="0" w:right="0" w:firstLine="420" w:firstLineChars="200"/>
              <w:rPr>
                <w:rFonts w:hint="default" w:cs="Times New Roman"/>
                <w:color w:val="auto"/>
                <w:sz w:val="21"/>
                <w:szCs w:val="21"/>
                <w:lang w:val="en-US" w:eastAsia="zh-CN"/>
              </w:rPr>
            </w:pPr>
            <w:r>
              <w:rPr>
                <w:rFonts w:hint="default" w:cs="Times New Roman"/>
                <w:color w:val="auto"/>
                <w:sz w:val="21"/>
                <w:szCs w:val="21"/>
                <w:lang w:val="en-US" w:eastAsia="zh-CN"/>
              </w:rPr>
              <w:t>为保证电气室内的电气设备正常运行，消除电气设备散发的热量，高压配电室、低压配电室、PLC室、传动控制室等房间采用风冷冷风电加热型空调机进行夏季除热降温，以满足生产工艺要求。</w:t>
            </w:r>
          </w:p>
          <w:p w14:paraId="644A1EB1">
            <w:pPr>
              <w:keepNext w:val="0"/>
              <w:keepLines w:val="0"/>
              <w:widowControl/>
              <w:suppressLineNumbers w:val="0"/>
              <w:spacing w:before="0" w:beforeAutospacing="0" w:after="0" w:afterAutospacing="0" w:line="360" w:lineRule="auto"/>
              <w:ind w:left="0" w:right="0" w:firstLine="420" w:firstLineChars="200"/>
              <w:rPr>
                <w:rFonts w:hint="default" w:cs="Times New Roman"/>
                <w:color w:val="auto"/>
                <w:sz w:val="21"/>
                <w:szCs w:val="21"/>
                <w:lang w:val="en-US" w:eastAsia="zh-CN"/>
              </w:rPr>
            </w:pPr>
            <w:r>
              <w:rPr>
                <w:rFonts w:hint="default" w:cs="Times New Roman"/>
                <w:color w:val="auto"/>
                <w:sz w:val="21"/>
                <w:szCs w:val="21"/>
                <w:lang w:val="en-US" w:eastAsia="zh-CN"/>
              </w:rPr>
              <w:t>为改善工作环境，操作室、机旁快检室、车间管理室根据负荷大小采用分体风冷柜式空调机或风冷壁挂式空调机。</w:t>
            </w:r>
          </w:p>
          <w:p w14:paraId="49DFAB60">
            <w:pPr>
              <w:keepNext w:val="0"/>
              <w:keepLines w:val="0"/>
              <w:widowControl/>
              <w:numPr>
                <w:ilvl w:val="0"/>
                <w:numId w:val="0"/>
              </w:numPr>
              <w:suppressLineNumbers w:val="0"/>
              <w:spacing w:before="0" w:beforeAutospacing="0" w:after="0" w:afterAutospacing="0" w:line="360" w:lineRule="auto"/>
              <w:ind w:leftChars="200" w:right="0" w:rightChars="0"/>
              <w:rPr>
                <w:rFonts w:hint="eastAsia" w:eastAsia="宋体" w:cs="Times New Roman"/>
                <w:b/>
                <w:bCs/>
                <w:color w:val="auto"/>
                <w:sz w:val="21"/>
                <w:szCs w:val="21"/>
                <w:lang w:val="en-US" w:eastAsia="zh-CN"/>
              </w:rPr>
            </w:pPr>
            <w:r>
              <w:rPr>
                <w:rFonts w:hint="eastAsia" w:cs="Times New Roman"/>
                <w:b/>
                <w:bCs/>
                <w:color w:val="auto"/>
                <w:sz w:val="21"/>
                <w:szCs w:val="21"/>
                <w:lang w:val="en-US" w:eastAsia="zh-CN"/>
              </w:rPr>
              <w:t>（4）</w:t>
            </w:r>
            <w:r>
              <w:rPr>
                <w:rFonts w:hint="eastAsia" w:eastAsia="宋体" w:cs="Times New Roman"/>
                <w:b/>
                <w:bCs/>
                <w:color w:val="auto"/>
                <w:sz w:val="21"/>
                <w:szCs w:val="21"/>
                <w:lang w:val="en-US" w:eastAsia="zh-CN"/>
              </w:rPr>
              <w:t>供气</w:t>
            </w:r>
          </w:p>
          <w:p w14:paraId="6330D5AE">
            <w:pPr>
              <w:keepNext w:val="0"/>
              <w:keepLines w:val="0"/>
              <w:widowControl/>
              <w:suppressLineNumbers w:val="0"/>
              <w:spacing w:before="0" w:beforeAutospacing="0" w:after="0" w:afterAutospacing="0" w:line="360" w:lineRule="auto"/>
              <w:ind w:left="0" w:right="0" w:firstLine="422" w:firstLineChars="200"/>
              <w:rPr>
                <w:rFonts w:hint="eastAsia" w:cs="Times New Roman"/>
                <w:color w:val="auto"/>
                <w:sz w:val="21"/>
                <w:szCs w:val="21"/>
                <w:lang w:val="en-US" w:eastAsia="zh-CN"/>
              </w:rPr>
            </w:pPr>
            <w:r>
              <w:rPr>
                <w:rFonts w:hint="eastAsia" w:cs="Times New Roman"/>
                <w:b/>
                <w:bCs/>
                <w:color w:val="auto"/>
                <w:sz w:val="21"/>
                <w:szCs w:val="21"/>
                <w:lang w:val="en-US" w:eastAsia="zh-CN"/>
              </w:rPr>
              <w:t>氢气：</w:t>
            </w:r>
            <w:r>
              <w:rPr>
                <w:rFonts w:hint="eastAsia" w:cs="Times New Roman"/>
                <w:color w:val="auto"/>
                <w:sz w:val="21"/>
                <w:szCs w:val="21"/>
                <w:lang w:val="en-US" w:eastAsia="zh-CN"/>
              </w:rPr>
              <w:t>采用6台氢气管束车，3用3备。配置氮气吹扫、放空管+阻火器、安全阀、超压自动泄压、氢气管束车接地、氢气汇流排接地、静电消除等功能，所有电气部分防爆等级≥ExdIICT4。</w:t>
            </w:r>
          </w:p>
          <w:p w14:paraId="7AB4470B">
            <w:pPr>
              <w:keepNext w:val="0"/>
              <w:keepLines w:val="0"/>
              <w:widowControl/>
              <w:suppressLineNumbers w:val="0"/>
              <w:spacing w:before="0" w:beforeAutospacing="0" w:after="0" w:afterAutospacing="0" w:line="360" w:lineRule="auto"/>
              <w:ind w:left="0" w:right="0" w:firstLine="422" w:firstLineChars="200"/>
              <w:rPr>
                <w:rFonts w:hint="eastAsia" w:cs="Times New Roman"/>
                <w:color w:val="auto"/>
                <w:sz w:val="21"/>
                <w:szCs w:val="21"/>
                <w:lang w:val="en-US" w:eastAsia="zh-CN"/>
              </w:rPr>
            </w:pPr>
            <w:r>
              <w:rPr>
                <w:rFonts w:hint="eastAsia" w:cs="Times New Roman"/>
                <w:b/>
                <w:bCs/>
                <w:color w:val="auto"/>
                <w:sz w:val="21"/>
                <w:szCs w:val="21"/>
                <w:lang w:val="en-US" w:eastAsia="zh-CN"/>
              </w:rPr>
              <w:t>氮气：</w:t>
            </w:r>
            <w:r>
              <w:rPr>
                <w:rFonts w:hint="eastAsia" w:cs="Times New Roman"/>
                <w:color w:val="auto"/>
                <w:sz w:val="21"/>
                <w:szCs w:val="21"/>
                <w:lang w:val="en-US" w:eastAsia="zh-CN"/>
              </w:rPr>
              <w:t>本工程采用深冷制氮系统为生产提供高纯氮气。氮气除生产时作为保护气需连续使用外，一部分氮气作为事故用气在开炉、停炉及事故状态下使用。深冷制氮装置采用全低压常温分子筛吸附净化空气、气体轴承透平富氧空气膨胀制冷、分馏塔采用筛板塔双塔双冷凝工艺流程方案。整套机组包括：空气过滤系统、空气预冷系统、分子筛纯化系统、透平膨胀机系统、分馏塔系统、仪电控系统及液氮储存汽化系统等。空气过滤、压缩、预冷及纯化。</w:t>
            </w:r>
          </w:p>
          <w:p w14:paraId="1C54D0B0">
            <w:pPr>
              <w:keepNext w:val="0"/>
              <w:keepLines w:val="0"/>
              <w:widowControl/>
              <w:suppressLineNumbers w:val="0"/>
              <w:spacing w:before="0" w:beforeAutospacing="0" w:after="0" w:afterAutospacing="0" w:line="360" w:lineRule="auto"/>
              <w:ind w:left="0" w:right="0" w:firstLine="420" w:firstLineChars="200"/>
              <w:rPr>
                <w:rFonts w:hint="eastAsia" w:cs="Times New Roman"/>
                <w:color w:val="auto"/>
                <w:sz w:val="21"/>
                <w:szCs w:val="21"/>
                <w:lang w:val="en-US" w:eastAsia="zh-CN"/>
              </w:rPr>
            </w:pPr>
            <w:r>
              <w:rPr>
                <w:rFonts w:hint="eastAsia" w:cs="Times New Roman"/>
                <w:color w:val="auto"/>
                <w:sz w:val="21"/>
                <w:szCs w:val="21"/>
                <w:lang w:val="en-US" w:eastAsia="zh-CN"/>
              </w:rPr>
              <w:t>原料工艺空气经吸入口吸入，进入自洁式空气过滤器，滤去尘埃和机械杂质，进入离心式空气压缩机进行压缩将空气压缩至约0.67MPa(G)，然后压缩空气进入空气预冷系统中的冷气机进行预冷降温到5-8°C。然后经过内置水分离器，分离出游离水，以防止工艺空气中游离水分带出。出空气预冷系统的工艺空气进入用来吸附除去水分、二氧化碳、碳氢化合物等不纯物质的空气纯化系统，纯化系统中的吸附器由两台立式容器组成；两台吸附容器采用双层床结构，当一台运行时，另一台则由来自冷箱中的污氮通过加热器加热后进行再生。</w:t>
            </w:r>
          </w:p>
          <w:p w14:paraId="7E183B99">
            <w:pPr>
              <w:keepNext w:val="0"/>
              <w:keepLines w:val="0"/>
              <w:widowControl/>
              <w:suppressLineNumbers w:val="0"/>
              <w:spacing w:before="0" w:beforeAutospacing="0" w:after="0" w:afterAutospacing="0" w:line="360" w:lineRule="auto"/>
              <w:ind w:left="0" w:right="0" w:firstLine="420" w:firstLineChars="200"/>
              <w:rPr>
                <w:rFonts w:hint="default" w:cs="Times New Roman"/>
                <w:color w:val="auto"/>
                <w:sz w:val="21"/>
                <w:szCs w:val="21"/>
                <w:lang w:val="en-US" w:eastAsia="zh-CN"/>
              </w:rPr>
            </w:pPr>
            <w:r>
              <w:rPr>
                <w:rFonts w:hint="default" w:cs="Times New Roman"/>
                <w:color w:val="auto"/>
                <w:sz w:val="21"/>
                <w:szCs w:val="21"/>
                <w:lang w:val="en-US" w:eastAsia="zh-CN"/>
              </w:rPr>
              <w:t>空气精馏</w:t>
            </w:r>
            <w:r>
              <w:rPr>
                <w:rFonts w:hint="eastAsia" w:cs="Times New Roman"/>
                <w:color w:val="auto"/>
                <w:sz w:val="21"/>
                <w:szCs w:val="21"/>
                <w:lang w:val="en-US" w:eastAsia="zh-CN"/>
              </w:rPr>
              <w:t>：</w:t>
            </w:r>
            <w:r>
              <w:rPr>
                <w:rFonts w:hint="default" w:cs="Times New Roman"/>
                <w:color w:val="auto"/>
                <w:sz w:val="21"/>
                <w:szCs w:val="21"/>
                <w:lang w:val="en-US" w:eastAsia="zh-CN"/>
              </w:rPr>
              <w:t>净化后的加工空气(~15°C)直接进入冷箱主换热器，在主换热器中被相邻通道中的返流气冷却后，从中部抽出一股空气进入膨胀机膨胀制冷，然后进入上塔下部参与精馏，其余空气在主换热器中继续冷却，出主换热器后达到饱和露点温度直接进入下塔。</w:t>
            </w:r>
          </w:p>
          <w:p w14:paraId="2606F143">
            <w:pPr>
              <w:keepNext w:val="0"/>
              <w:keepLines w:val="0"/>
              <w:widowControl/>
              <w:suppressLineNumbers w:val="0"/>
              <w:spacing w:before="0" w:beforeAutospacing="0" w:after="0" w:afterAutospacing="0" w:line="360" w:lineRule="auto"/>
              <w:ind w:left="0" w:right="0" w:firstLine="420" w:firstLineChars="200"/>
              <w:rPr>
                <w:rFonts w:hint="default" w:cs="Times New Roman"/>
                <w:color w:val="auto"/>
                <w:sz w:val="21"/>
                <w:szCs w:val="21"/>
                <w:lang w:val="en-US" w:eastAsia="zh-CN"/>
              </w:rPr>
            </w:pPr>
            <w:r>
              <w:rPr>
                <w:rFonts w:hint="default" w:cs="Times New Roman"/>
                <w:color w:val="auto"/>
                <w:sz w:val="21"/>
                <w:szCs w:val="21"/>
                <w:lang w:val="en-US" w:eastAsia="zh-CN"/>
              </w:rPr>
              <w:t>已冷却的空气进入下塔参加精馏。进入下塔的空气通过在塔板上的换热和传质，由于氧、氮的沸点间的差异，使更多的氮气从液体中蒸发出来，同时经过填料的空气中更多的氧组分被冷凝下来。最终在下塔底部获得含氧35%的富氧液空，而在下塔顶部获得高纯氮气。下塔顶部的氮气经过冷凝蒸发器，与来自上塔底部的富氧液空进行热交换，富氧液空被蒸发，而氮气被冷凝，部分冷凝液氮再回到下塔</w:t>
            </w:r>
            <w:r>
              <w:rPr>
                <w:rFonts w:hint="eastAsia" w:cs="Times New Roman"/>
                <w:color w:val="auto"/>
                <w:sz w:val="21"/>
                <w:szCs w:val="21"/>
                <w:lang w:val="en-US" w:eastAsia="zh-CN"/>
              </w:rPr>
              <w:t>做</w:t>
            </w:r>
            <w:r>
              <w:rPr>
                <w:rFonts w:hint="default" w:cs="Times New Roman"/>
                <w:color w:val="auto"/>
                <w:sz w:val="21"/>
                <w:szCs w:val="21"/>
                <w:lang w:val="en-US" w:eastAsia="zh-CN"/>
              </w:rPr>
              <w:t>回流液。另一部分液氮，经过过冷器过冷后节流进入上塔参与上塔精馏，同时抽出一小部分液氮经过液氮量筒计量后送往液氮储槽。从下塔底部抽出富氧液空，在过冷器中过冷后，送入下塔顶部主冷。以不同状态进入上塔的各物料</w:t>
            </w:r>
            <w:r>
              <w:rPr>
                <w:rFonts w:hint="eastAsia" w:cs="Times New Roman"/>
                <w:color w:val="auto"/>
                <w:sz w:val="21"/>
                <w:szCs w:val="21"/>
                <w:lang w:val="en-US" w:eastAsia="zh-CN"/>
              </w:rPr>
              <w:t>：</w:t>
            </w:r>
            <w:r>
              <w:rPr>
                <w:rFonts w:hint="default" w:cs="Times New Roman"/>
                <w:color w:val="auto"/>
                <w:sz w:val="21"/>
                <w:szCs w:val="21"/>
                <w:lang w:val="en-US" w:eastAsia="zh-CN"/>
              </w:rPr>
              <w:t>富氧液空通过上塔的进一步分离，在上塔底部获得纯度大于55%的富氧液空，经节流阀减压节流后送往上塔顶部冷凝器作为冷源，与上塔顶部氮气换热气化，然后进入主换热器复热到</w:t>
            </w:r>
            <w:r>
              <w:rPr>
                <w:rFonts w:hint="eastAsia" w:cs="Times New Roman"/>
                <w:color w:val="auto"/>
                <w:sz w:val="21"/>
                <w:szCs w:val="21"/>
                <w:lang w:val="en-US" w:eastAsia="zh-CN"/>
              </w:rPr>
              <w:t>～</w:t>
            </w:r>
            <w:r>
              <w:rPr>
                <w:rFonts w:hint="default" w:cs="Times New Roman"/>
                <w:color w:val="auto"/>
                <w:sz w:val="21"/>
                <w:szCs w:val="21"/>
                <w:lang w:val="en-US" w:eastAsia="zh-CN"/>
              </w:rPr>
              <w:t>12°C后出冷箱，一部分</w:t>
            </w:r>
            <w:r>
              <w:rPr>
                <w:rFonts w:hint="eastAsia" w:cs="Times New Roman"/>
                <w:color w:val="auto"/>
                <w:sz w:val="21"/>
                <w:szCs w:val="21"/>
                <w:lang w:val="en-US" w:eastAsia="zh-CN"/>
              </w:rPr>
              <w:t>作为</w:t>
            </w:r>
            <w:r>
              <w:rPr>
                <w:rFonts w:hint="default" w:cs="Times New Roman"/>
                <w:color w:val="auto"/>
                <w:sz w:val="21"/>
                <w:szCs w:val="21"/>
                <w:lang w:val="en-US" w:eastAsia="zh-CN"/>
              </w:rPr>
              <w:t>再生气去纯化系统再生用，其余作为富氧产品气送出。从上塔的顶部氮气经过过冷器和主换热器复热后直接送往客户。</w:t>
            </w:r>
          </w:p>
          <w:p w14:paraId="771D00FD">
            <w:pPr>
              <w:keepNext w:val="0"/>
              <w:keepLines w:val="0"/>
              <w:widowControl/>
              <w:suppressLineNumbers w:val="0"/>
              <w:spacing w:before="0" w:beforeAutospacing="0" w:after="0" w:afterAutospacing="0" w:line="360" w:lineRule="auto"/>
              <w:ind w:left="0" w:right="0" w:firstLine="420" w:firstLineChars="200"/>
              <w:rPr>
                <w:rFonts w:hint="default" w:cs="Times New Roman"/>
                <w:color w:val="auto"/>
                <w:sz w:val="21"/>
                <w:szCs w:val="21"/>
                <w:lang w:val="en-US" w:eastAsia="zh-CN"/>
              </w:rPr>
            </w:pPr>
            <w:r>
              <w:rPr>
                <w:rFonts w:hint="default" w:cs="Times New Roman"/>
                <w:color w:val="auto"/>
                <w:sz w:val="21"/>
                <w:szCs w:val="21"/>
                <w:lang w:val="en-US" w:eastAsia="zh-CN"/>
              </w:rPr>
              <w:t>液氮贮存及汽化系统</w:t>
            </w:r>
            <w:r>
              <w:rPr>
                <w:rFonts w:hint="eastAsia" w:cs="Times New Roman"/>
                <w:color w:val="auto"/>
                <w:sz w:val="21"/>
                <w:szCs w:val="21"/>
                <w:lang w:val="en-US" w:eastAsia="zh-CN"/>
              </w:rPr>
              <w:t>：</w:t>
            </w:r>
            <w:r>
              <w:rPr>
                <w:rFonts w:hint="default" w:cs="Times New Roman"/>
                <w:color w:val="auto"/>
                <w:sz w:val="21"/>
                <w:szCs w:val="21"/>
                <w:lang w:val="en-US" w:eastAsia="zh-CN"/>
              </w:rPr>
              <w:t>当管网供气压力小于设定值时，供气系统能自动供气，当达到上限设定值时可自动停止汽化供气。冷量的制取</w:t>
            </w:r>
            <w:r>
              <w:rPr>
                <w:rFonts w:hint="eastAsia" w:cs="Times New Roman"/>
                <w:color w:val="auto"/>
                <w:sz w:val="21"/>
                <w:szCs w:val="21"/>
                <w:lang w:val="en-US" w:eastAsia="zh-CN"/>
              </w:rPr>
              <w:t>：</w:t>
            </w:r>
            <w:r>
              <w:rPr>
                <w:rFonts w:hint="default" w:cs="Times New Roman"/>
                <w:color w:val="auto"/>
                <w:sz w:val="21"/>
                <w:szCs w:val="21"/>
                <w:lang w:val="en-US" w:eastAsia="zh-CN"/>
              </w:rPr>
              <w:t>装置所需的大部分冷量由下塔顶部</w:t>
            </w:r>
            <w:r>
              <w:rPr>
                <w:rFonts w:hint="eastAsia" w:cs="Times New Roman"/>
                <w:color w:val="auto"/>
                <w:sz w:val="21"/>
                <w:szCs w:val="21"/>
                <w:lang w:val="en-US" w:eastAsia="zh-CN"/>
              </w:rPr>
              <w:t>反流</w:t>
            </w:r>
            <w:r>
              <w:rPr>
                <w:rFonts w:hint="default" w:cs="Times New Roman"/>
                <w:color w:val="auto"/>
                <w:sz w:val="21"/>
                <w:szCs w:val="21"/>
                <w:lang w:val="en-US" w:eastAsia="zh-CN"/>
              </w:rPr>
              <w:t>的富氧空气经透平膨胀机膨胀制冷后提供，然后在主换热器中与热空气换热提供冷量。</w:t>
            </w:r>
          </w:p>
          <w:p w14:paraId="152D1818">
            <w:pPr>
              <w:keepNext w:val="0"/>
              <w:keepLines w:val="0"/>
              <w:widowControl/>
              <w:suppressLineNumbers w:val="0"/>
              <w:spacing w:before="0" w:beforeAutospacing="0" w:after="0" w:afterAutospacing="0" w:line="360" w:lineRule="auto"/>
              <w:ind w:left="0" w:right="0" w:firstLine="422" w:firstLineChars="200"/>
              <w:rPr>
                <w:rFonts w:hint="eastAsia" w:cs="Times New Roman"/>
                <w:color w:val="auto"/>
                <w:sz w:val="21"/>
                <w:szCs w:val="21"/>
                <w:lang w:val="en-US" w:eastAsia="zh-CN"/>
              </w:rPr>
            </w:pPr>
            <w:r>
              <w:rPr>
                <w:rFonts w:hint="eastAsia" w:cs="Times New Roman"/>
                <w:b/>
                <w:bCs/>
                <w:color w:val="auto"/>
                <w:sz w:val="21"/>
                <w:szCs w:val="21"/>
                <w:lang w:val="en-US" w:eastAsia="zh-CN"/>
              </w:rPr>
              <w:t>氨气：</w:t>
            </w:r>
            <w:r>
              <w:rPr>
                <w:rFonts w:hint="eastAsia" w:cs="Times New Roman"/>
                <w:color w:val="auto"/>
                <w:sz w:val="21"/>
                <w:szCs w:val="21"/>
                <w:lang w:val="en-US" w:eastAsia="zh-CN"/>
              </w:rPr>
              <w:t>本工程新建液氨站一座，设1套10m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液氨储罐和1套液氨汽化装置。</w:t>
            </w:r>
          </w:p>
          <w:p w14:paraId="4F5A5C7E">
            <w:pPr>
              <w:keepNext w:val="0"/>
              <w:keepLines w:val="0"/>
              <w:widowControl/>
              <w:suppressLineNumbers w:val="0"/>
              <w:spacing w:before="0" w:beforeAutospacing="0" w:after="0" w:afterAutospacing="0" w:line="360" w:lineRule="auto"/>
              <w:ind w:left="0" w:right="0" w:firstLine="422" w:firstLineChars="200"/>
              <w:rPr>
                <w:rFonts w:hint="default" w:cs="Times New Roman"/>
                <w:color w:val="auto"/>
                <w:sz w:val="21"/>
                <w:szCs w:val="21"/>
                <w:lang w:val="en-US" w:eastAsia="zh-CN"/>
              </w:rPr>
            </w:pPr>
            <w:r>
              <w:rPr>
                <w:rFonts w:hint="eastAsia" w:cs="Times New Roman"/>
                <w:b/>
                <w:bCs/>
                <w:color w:val="auto"/>
                <w:sz w:val="21"/>
                <w:szCs w:val="21"/>
                <w:lang w:val="en-US" w:eastAsia="zh-CN"/>
              </w:rPr>
              <w:t>压缩空气：</w:t>
            </w:r>
            <w:r>
              <w:rPr>
                <w:rFonts w:hint="eastAsia" w:cs="Times New Roman"/>
                <w:color w:val="auto"/>
                <w:sz w:val="21"/>
                <w:szCs w:val="21"/>
                <w:lang w:val="en-US" w:eastAsia="zh-CN"/>
              </w:rPr>
              <w:t>本项目</w:t>
            </w:r>
            <w:r>
              <w:rPr>
                <w:rFonts w:hint="default" w:cs="Times New Roman"/>
                <w:color w:val="auto"/>
                <w:sz w:val="21"/>
                <w:szCs w:val="21"/>
                <w:lang w:val="en-US" w:eastAsia="zh-CN"/>
              </w:rPr>
              <w:t>新建一座空压站，内设</w:t>
            </w:r>
            <w:r>
              <w:rPr>
                <w:rFonts w:hint="eastAsia" w:cs="Times New Roman"/>
                <w:color w:val="auto"/>
                <w:sz w:val="21"/>
                <w:szCs w:val="21"/>
                <w:lang w:val="en-US" w:eastAsia="zh-CN"/>
              </w:rPr>
              <w:t>5</w:t>
            </w:r>
            <w:r>
              <w:rPr>
                <w:rFonts w:hint="default" w:cs="Times New Roman"/>
                <w:color w:val="auto"/>
                <w:sz w:val="21"/>
                <w:szCs w:val="21"/>
                <w:lang w:val="en-US" w:eastAsia="zh-CN"/>
              </w:rPr>
              <w:t>台60Nm</w:t>
            </w:r>
            <w:r>
              <w:rPr>
                <w:rFonts w:hint="default" w:cs="Times New Roman"/>
                <w:color w:val="auto"/>
                <w:sz w:val="21"/>
                <w:szCs w:val="21"/>
                <w:vertAlign w:val="superscript"/>
                <w:lang w:val="en-US" w:eastAsia="zh-CN"/>
              </w:rPr>
              <w:t>3</w:t>
            </w:r>
            <w:r>
              <w:rPr>
                <w:rFonts w:hint="default" w:cs="Times New Roman"/>
                <w:color w:val="auto"/>
                <w:sz w:val="21"/>
                <w:szCs w:val="21"/>
                <w:lang w:val="en-US" w:eastAsia="zh-CN"/>
              </w:rPr>
              <w:t>/min螺杆式空压机(</w:t>
            </w:r>
            <w:r>
              <w:rPr>
                <w:rFonts w:hint="eastAsia" w:cs="Times New Roman"/>
                <w:color w:val="auto"/>
                <w:sz w:val="21"/>
                <w:szCs w:val="21"/>
                <w:lang w:val="en-US" w:eastAsia="zh-CN"/>
              </w:rPr>
              <w:t>4</w:t>
            </w:r>
            <w:r>
              <w:rPr>
                <w:rFonts w:hint="default" w:cs="Times New Roman"/>
                <w:color w:val="auto"/>
                <w:sz w:val="21"/>
                <w:szCs w:val="21"/>
                <w:lang w:val="en-US" w:eastAsia="zh-CN"/>
              </w:rPr>
              <w:t>用1备)。其中一台螺杆式空压机为变频。为满足设备用净化压缩空气的需要，站内还设有4</w:t>
            </w:r>
            <w:r>
              <w:rPr>
                <w:rFonts w:hint="eastAsia" w:cs="Times New Roman"/>
                <w:color w:val="auto"/>
                <w:sz w:val="21"/>
                <w:szCs w:val="21"/>
                <w:lang w:val="en-US" w:eastAsia="zh-CN"/>
              </w:rPr>
              <w:t>×</w:t>
            </w:r>
            <w:r>
              <w:rPr>
                <w:rFonts w:hint="default" w:cs="Times New Roman"/>
                <w:color w:val="auto"/>
                <w:sz w:val="21"/>
                <w:szCs w:val="21"/>
                <w:lang w:val="en-US" w:eastAsia="zh-CN"/>
              </w:rPr>
              <w:t>60Nm</w:t>
            </w:r>
            <w:r>
              <w:rPr>
                <w:rFonts w:hint="default" w:cs="Times New Roman"/>
                <w:color w:val="auto"/>
                <w:sz w:val="21"/>
                <w:szCs w:val="21"/>
                <w:vertAlign w:val="superscript"/>
                <w:lang w:val="en-US" w:eastAsia="zh-CN"/>
              </w:rPr>
              <w:t>3</w:t>
            </w:r>
            <w:r>
              <w:rPr>
                <w:rFonts w:hint="default" w:cs="Times New Roman"/>
                <w:color w:val="auto"/>
                <w:sz w:val="21"/>
                <w:szCs w:val="21"/>
                <w:lang w:val="en-US" w:eastAsia="zh-CN"/>
              </w:rPr>
              <w:t>/min微热再生吸附式干燥器及后置过滤器。此外，在空压站外还设有两台20m</w:t>
            </w:r>
            <w:r>
              <w:rPr>
                <w:rFonts w:hint="default" w:cs="Times New Roman"/>
                <w:color w:val="auto"/>
                <w:sz w:val="21"/>
                <w:szCs w:val="21"/>
                <w:vertAlign w:val="superscript"/>
                <w:lang w:val="en-US" w:eastAsia="zh-CN"/>
              </w:rPr>
              <w:t>3</w:t>
            </w:r>
            <w:r>
              <w:rPr>
                <w:rFonts w:hint="default" w:cs="Times New Roman"/>
                <w:color w:val="auto"/>
                <w:sz w:val="21"/>
                <w:szCs w:val="21"/>
                <w:lang w:val="en-US" w:eastAsia="zh-CN"/>
              </w:rPr>
              <w:t>的储气罐，压力为0.8MPa，置于站房外</w:t>
            </w:r>
            <w:r>
              <w:rPr>
                <w:rFonts w:hint="eastAsia" w:cs="Times New Roman"/>
                <w:color w:val="auto"/>
                <w:sz w:val="21"/>
                <w:szCs w:val="21"/>
                <w:lang w:val="en-US" w:eastAsia="zh-CN"/>
              </w:rPr>
              <w:t>。</w:t>
            </w:r>
          </w:p>
          <w:p w14:paraId="6F764C16">
            <w:pPr>
              <w:keepNext w:val="0"/>
              <w:keepLines w:val="0"/>
              <w:widowControl/>
              <w:numPr>
                <w:ilvl w:val="0"/>
                <w:numId w:val="0"/>
              </w:numPr>
              <w:suppressLineNumbers w:val="0"/>
              <w:spacing w:before="0" w:beforeAutospacing="0" w:after="0" w:afterAutospacing="0" w:line="360" w:lineRule="auto"/>
              <w:ind w:leftChars="200" w:right="0" w:rightChars="0"/>
              <w:rPr>
                <w:rFonts w:hint="eastAsia" w:eastAsia="宋体" w:cs="Times New Roman"/>
                <w:b/>
                <w:bCs/>
                <w:color w:val="auto"/>
                <w:sz w:val="21"/>
                <w:szCs w:val="21"/>
                <w:lang w:val="en-US" w:eastAsia="zh-CN"/>
              </w:rPr>
            </w:pPr>
            <w:r>
              <w:rPr>
                <w:rFonts w:hint="eastAsia" w:cs="Times New Roman"/>
                <w:b/>
                <w:bCs/>
                <w:color w:val="auto"/>
                <w:sz w:val="21"/>
                <w:szCs w:val="21"/>
                <w:lang w:val="en-US" w:eastAsia="zh-CN"/>
              </w:rPr>
              <w:t>（5）天然气</w:t>
            </w:r>
          </w:p>
          <w:p w14:paraId="6FBD0C2B">
            <w:pPr>
              <w:keepNext w:val="0"/>
              <w:keepLines w:val="0"/>
              <w:widowControl/>
              <w:suppressLineNumbers w:val="0"/>
              <w:spacing w:before="0" w:beforeAutospacing="0" w:after="0" w:afterAutospacing="0" w:line="360" w:lineRule="auto"/>
              <w:ind w:left="0" w:right="0" w:firstLine="420" w:firstLineChars="200"/>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本项目天然气由市政管网供应，用量详见下表。</w:t>
            </w:r>
          </w:p>
          <w:p w14:paraId="472394FC">
            <w:pPr>
              <w:spacing w:line="360" w:lineRule="auto"/>
              <w:jc w:val="center"/>
              <w:rPr>
                <w:rFonts w:hint="default" w:ascii="Times New Roman" w:hAnsi="Times New Roman" w:eastAsia="黑体" w:cs="Times New Roman"/>
                <w:bCs/>
                <w:color w:val="auto"/>
                <w:spacing w:val="2"/>
                <w:sz w:val="21"/>
                <w:szCs w:val="21"/>
                <w:lang w:val="en-US" w:eastAsia="zh-CN"/>
              </w:rPr>
            </w:pPr>
            <w:r>
              <w:rPr>
                <w:rFonts w:ascii="Times New Roman" w:hAnsi="Times New Roman" w:eastAsia="黑体" w:cs="Times New Roman"/>
                <w:bCs/>
                <w:color w:val="auto"/>
                <w:spacing w:val="2"/>
                <w:sz w:val="21"/>
                <w:szCs w:val="21"/>
                <w:lang w:eastAsia="zh-CN"/>
              </w:rPr>
              <w:t>表</w:t>
            </w:r>
            <w:r>
              <w:rPr>
                <w:rFonts w:hint="eastAsia" w:eastAsia="黑体" w:cs="Times New Roman"/>
                <w:bCs/>
                <w:color w:val="auto"/>
                <w:spacing w:val="2"/>
                <w:sz w:val="21"/>
                <w:szCs w:val="21"/>
                <w:lang w:val="en-US" w:eastAsia="zh-CN"/>
              </w:rPr>
              <w:t>2-9  本项目天然气用量表</w:t>
            </w:r>
          </w:p>
          <w:tbl>
            <w:tblPr>
              <w:tblStyle w:val="33"/>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588"/>
              <w:gridCol w:w="1780"/>
              <w:gridCol w:w="1032"/>
              <w:gridCol w:w="1251"/>
              <w:gridCol w:w="1251"/>
              <w:gridCol w:w="1261"/>
              <w:gridCol w:w="1251"/>
            </w:tblGrid>
            <w:tr w14:paraId="1ADF87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350" w:type="pct"/>
                  <w:tcBorders>
                    <w:tl2br w:val="nil"/>
                    <w:tr2bl w:val="nil"/>
                  </w:tcBorders>
                  <w:noWrap w:val="0"/>
                  <w:vAlign w:val="center"/>
                </w:tcPr>
                <w:p w14:paraId="112865F1">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序号</w:t>
                  </w:r>
                </w:p>
              </w:tc>
              <w:tc>
                <w:tcPr>
                  <w:tcW w:w="1058" w:type="pct"/>
                  <w:tcBorders>
                    <w:tl2br w:val="nil"/>
                    <w:tr2bl w:val="nil"/>
                  </w:tcBorders>
                  <w:noWrap w:val="0"/>
                  <w:vAlign w:val="center"/>
                </w:tcPr>
                <w:p w14:paraId="40526AE8">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设备名称</w:t>
                  </w:r>
                </w:p>
              </w:tc>
              <w:tc>
                <w:tcPr>
                  <w:tcW w:w="613" w:type="pct"/>
                  <w:tcBorders>
                    <w:tl2br w:val="nil"/>
                    <w:tr2bl w:val="nil"/>
                  </w:tcBorders>
                  <w:noWrap w:val="0"/>
                  <w:vAlign w:val="center"/>
                </w:tcPr>
                <w:p w14:paraId="227787DA">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最大消耗量Nm</w:t>
                  </w:r>
                  <w:r>
                    <w:rPr>
                      <w:rFonts w:hint="eastAsia" w:cs="Times New Roman"/>
                      <w:color w:val="auto"/>
                      <w:sz w:val="18"/>
                      <w:szCs w:val="18"/>
                      <w:highlight w:val="none"/>
                      <w:vertAlign w:val="superscript"/>
                      <w:lang w:val="en-US" w:eastAsia="zh-CN"/>
                    </w:rPr>
                    <w:t>3</w:t>
                  </w:r>
                  <w:r>
                    <w:rPr>
                      <w:rFonts w:hint="eastAsia" w:cs="Times New Roman"/>
                      <w:color w:val="auto"/>
                      <w:sz w:val="18"/>
                      <w:szCs w:val="18"/>
                      <w:highlight w:val="none"/>
                      <w:lang w:val="en-US" w:eastAsia="zh-CN"/>
                    </w:rPr>
                    <w:t>/h</w:t>
                  </w:r>
                </w:p>
              </w:tc>
              <w:tc>
                <w:tcPr>
                  <w:tcW w:w="743" w:type="pct"/>
                  <w:tcBorders>
                    <w:tl2br w:val="nil"/>
                    <w:tr2bl w:val="nil"/>
                  </w:tcBorders>
                  <w:noWrap w:val="0"/>
                  <w:vAlign w:val="center"/>
                </w:tcPr>
                <w:p w14:paraId="179F8D55">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接点压力kPa</w:t>
                  </w:r>
                </w:p>
              </w:tc>
              <w:tc>
                <w:tcPr>
                  <w:tcW w:w="743" w:type="pct"/>
                  <w:tcBorders>
                    <w:tl2br w:val="nil"/>
                    <w:tr2bl w:val="nil"/>
                  </w:tcBorders>
                  <w:noWrap w:val="0"/>
                  <w:vAlign w:val="center"/>
                </w:tcPr>
                <w:p w14:paraId="69052839">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热值kcal/Nm</w:t>
                  </w:r>
                  <w:r>
                    <w:rPr>
                      <w:rFonts w:hint="eastAsia" w:cs="Times New Roman"/>
                      <w:color w:val="auto"/>
                      <w:sz w:val="18"/>
                      <w:szCs w:val="18"/>
                      <w:highlight w:val="none"/>
                      <w:vertAlign w:val="superscript"/>
                      <w:lang w:val="en-US" w:eastAsia="zh-CN"/>
                    </w:rPr>
                    <w:t>3</w:t>
                  </w:r>
                </w:p>
              </w:tc>
              <w:tc>
                <w:tcPr>
                  <w:tcW w:w="746" w:type="pct"/>
                  <w:tcBorders>
                    <w:tl2br w:val="nil"/>
                    <w:tr2bl w:val="nil"/>
                  </w:tcBorders>
                  <w:noWrap w:val="0"/>
                  <w:vAlign w:val="center"/>
                </w:tcPr>
                <w:p w14:paraId="03494BFF">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年使用时间</w:t>
                  </w:r>
                </w:p>
              </w:tc>
              <w:tc>
                <w:tcPr>
                  <w:tcW w:w="743" w:type="pct"/>
                  <w:tcBorders>
                    <w:tl2br w:val="nil"/>
                    <w:tr2bl w:val="nil"/>
                  </w:tcBorders>
                  <w:noWrap w:val="0"/>
                  <w:vAlign w:val="center"/>
                </w:tcPr>
                <w:p w14:paraId="46339D44">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年用量Nm</w:t>
                  </w:r>
                  <w:r>
                    <w:rPr>
                      <w:rFonts w:hint="eastAsia" w:cs="Times New Roman"/>
                      <w:color w:val="auto"/>
                      <w:sz w:val="18"/>
                      <w:szCs w:val="18"/>
                      <w:highlight w:val="none"/>
                      <w:vertAlign w:val="superscript"/>
                      <w:lang w:val="en-US" w:eastAsia="zh-CN"/>
                    </w:rPr>
                    <w:t>3</w:t>
                  </w:r>
                  <w:r>
                    <w:rPr>
                      <w:rFonts w:hint="eastAsia" w:cs="Times New Roman"/>
                      <w:color w:val="auto"/>
                      <w:sz w:val="18"/>
                      <w:szCs w:val="18"/>
                      <w:highlight w:val="none"/>
                      <w:lang w:val="en-US" w:eastAsia="zh-CN"/>
                    </w:rPr>
                    <w:t>/a</w:t>
                  </w:r>
                </w:p>
              </w:tc>
            </w:tr>
            <w:tr w14:paraId="69602A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50" w:type="pct"/>
                  <w:tcBorders>
                    <w:tl2br w:val="nil"/>
                    <w:tr2bl w:val="nil"/>
                  </w:tcBorders>
                  <w:noWrap w:val="0"/>
                  <w:vAlign w:val="center"/>
                </w:tcPr>
                <w:p w14:paraId="2A533DAD">
                  <w:pPr>
                    <w:jc w:val="center"/>
                    <w:textAlignment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1058" w:type="pct"/>
                  <w:tcBorders>
                    <w:tl2br w:val="nil"/>
                    <w:tr2bl w:val="nil"/>
                  </w:tcBorders>
                  <w:shd w:val="clear" w:color="auto" w:fill="auto"/>
                  <w:noWrap w:val="0"/>
                  <w:vAlign w:val="center"/>
                </w:tcPr>
                <w:p w14:paraId="48559243">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常化酸洗机组APL常化无氧加热炉</w:t>
                  </w:r>
                </w:p>
              </w:tc>
              <w:tc>
                <w:tcPr>
                  <w:tcW w:w="613" w:type="pct"/>
                  <w:tcBorders>
                    <w:tl2br w:val="nil"/>
                    <w:tr2bl w:val="nil"/>
                  </w:tcBorders>
                  <w:shd w:val="clear" w:color="auto" w:fill="auto"/>
                  <w:noWrap w:val="0"/>
                  <w:vAlign w:val="center"/>
                </w:tcPr>
                <w:p w14:paraId="4576A379">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1263.16</w:t>
                  </w:r>
                </w:p>
              </w:tc>
              <w:tc>
                <w:tcPr>
                  <w:tcW w:w="743" w:type="pct"/>
                  <w:tcBorders>
                    <w:tl2br w:val="nil"/>
                    <w:tr2bl w:val="nil"/>
                  </w:tcBorders>
                  <w:shd w:val="clear" w:color="auto" w:fill="auto"/>
                  <w:noWrap w:val="0"/>
                  <w:vAlign w:val="center"/>
                </w:tcPr>
                <w:p w14:paraId="55B9E724">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30</w:t>
                  </w:r>
                </w:p>
              </w:tc>
              <w:tc>
                <w:tcPr>
                  <w:tcW w:w="743" w:type="pct"/>
                  <w:tcBorders>
                    <w:tl2br w:val="nil"/>
                    <w:tr2bl w:val="nil"/>
                  </w:tcBorders>
                  <w:shd w:val="clear" w:color="auto" w:fill="auto"/>
                  <w:noWrap w:val="0"/>
                  <w:vAlign w:val="center"/>
                </w:tcPr>
                <w:p w14:paraId="06800607">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8500</w:t>
                  </w:r>
                </w:p>
              </w:tc>
              <w:tc>
                <w:tcPr>
                  <w:tcW w:w="746" w:type="pct"/>
                  <w:tcBorders>
                    <w:tl2br w:val="nil"/>
                    <w:tr2bl w:val="nil"/>
                  </w:tcBorders>
                  <w:shd w:val="clear" w:color="auto" w:fill="auto"/>
                  <w:noWrap w:val="0"/>
                  <w:vAlign w:val="center"/>
                </w:tcPr>
                <w:p w14:paraId="1DB73276">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7000</w:t>
                  </w:r>
                </w:p>
              </w:tc>
              <w:tc>
                <w:tcPr>
                  <w:tcW w:w="743" w:type="pct"/>
                  <w:tcBorders>
                    <w:tl2br w:val="nil"/>
                    <w:tr2bl w:val="nil"/>
                  </w:tcBorders>
                  <w:shd w:val="clear" w:color="auto" w:fill="auto"/>
                  <w:noWrap w:val="0"/>
                  <w:vAlign w:val="center"/>
                </w:tcPr>
                <w:p w14:paraId="2FEB5E8C">
                  <w:pPr>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8</w:t>
                  </w:r>
                  <w:r>
                    <w:rPr>
                      <w:rFonts w:hint="default" w:ascii="Times New Roman" w:hAnsi="Times New Roman" w:eastAsia="宋体" w:cs="Times New Roman"/>
                      <w:color w:val="auto"/>
                      <w:kern w:val="2"/>
                      <w:sz w:val="18"/>
                      <w:szCs w:val="18"/>
                      <w:lang w:val="en-US" w:eastAsia="zh-CN" w:bidi="ar-SA"/>
                    </w:rPr>
                    <w:t>842105</w:t>
                  </w:r>
                </w:p>
              </w:tc>
            </w:tr>
            <w:tr w14:paraId="0D5D61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50" w:type="pct"/>
                  <w:tcBorders>
                    <w:tl2br w:val="nil"/>
                    <w:tr2bl w:val="nil"/>
                  </w:tcBorders>
                  <w:noWrap w:val="0"/>
                  <w:vAlign w:val="center"/>
                </w:tcPr>
                <w:p w14:paraId="56804897">
                  <w:pPr>
                    <w:jc w:val="center"/>
                    <w:textAlignment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1058" w:type="pct"/>
                  <w:tcBorders>
                    <w:tl2br w:val="nil"/>
                    <w:tr2bl w:val="nil"/>
                  </w:tcBorders>
                  <w:shd w:val="clear" w:color="auto" w:fill="auto"/>
                  <w:noWrap w:val="0"/>
                  <w:vAlign w:val="center"/>
                </w:tcPr>
                <w:p w14:paraId="46F1512E">
                  <w:pPr>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常化酸洗机组APL常化辐射管加热炉</w:t>
                  </w:r>
                </w:p>
              </w:tc>
              <w:tc>
                <w:tcPr>
                  <w:tcW w:w="613" w:type="pct"/>
                  <w:tcBorders>
                    <w:tl2br w:val="nil"/>
                    <w:tr2bl w:val="nil"/>
                  </w:tcBorders>
                  <w:shd w:val="clear" w:color="auto" w:fill="auto"/>
                  <w:noWrap w:val="0"/>
                  <w:vAlign w:val="center"/>
                </w:tcPr>
                <w:p w14:paraId="0FF115E9">
                  <w:pPr>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336.84</w:t>
                  </w:r>
                </w:p>
              </w:tc>
              <w:tc>
                <w:tcPr>
                  <w:tcW w:w="743" w:type="pct"/>
                  <w:tcBorders>
                    <w:tl2br w:val="nil"/>
                    <w:tr2bl w:val="nil"/>
                  </w:tcBorders>
                  <w:shd w:val="clear" w:color="auto" w:fill="auto"/>
                  <w:noWrap w:val="0"/>
                  <w:vAlign w:val="center"/>
                </w:tcPr>
                <w:p w14:paraId="5DFD29B4">
                  <w:pPr>
                    <w:jc w:val="center"/>
                    <w:textAlignment w:val="center"/>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30</w:t>
                  </w:r>
                </w:p>
              </w:tc>
              <w:tc>
                <w:tcPr>
                  <w:tcW w:w="743" w:type="pct"/>
                  <w:tcBorders>
                    <w:tl2br w:val="nil"/>
                    <w:tr2bl w:val="nil"/>
                  </w:tcBorders>
                  <w:shd w:val="clear" w:color="auto" w:fill="auto"/>
                  <w:noWrap w:val="0"/>
                  <w:vAlign w:val="center"/>
                </w:tcPr>
                <w:p w14:paraId="380C5C6A">
                  <w:pPr>
                    <w:jc w:val="center"/>
                    <w:textAlignment w:val="center"/>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8500</w:t>
                  </w:r>
                </w:p>
              </w:tc>
              <w:tc>
                <w:tcPr>
                  <w:tcW w:w="746" w:type="pct"/>
                  <w:tcBorders>
                    <w:tl2br w:val="nil"/>
                    <w:tr2bl w:val="nil"/>
                  </w:tcBorders>
                  <w:shd w:val="clear" w:color="auto" w:fill="auto"/>
                  <w:noWrap w:val="0"/>
                  <w:vAlign w:val="center"/>
                </w:tcPr>
                <w:p w14:paraId="4C3C43B7">
                  <w:pPr>
                    <w:jc w:val="center"/>
                    <w:textAlignment w:val="center"/>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7000</w:t>
                  </w:r>
                </w:p>
              </w:tc>
              <w:tc>
                <w:tcPr>
                  <w:tcW w:w="743" w:type="pct"/>
                  <w:tcBorders>
                    <w:tl2br w:val="nil"/>
                    <w:tr2bl w:val="nil"/>
                  </w:tcBorders>
                  <w:shd w:val="clear" w:color="auto" w:fill="auto"/>
                  <w:noWrap w:val="0"/>
                  <w:vAlign w:val="center"/>
                </w:tcPr>
                <w:p w14:paraId="36CF50A7">
                  <w:pPr>
                    <w:jc w:val="center"/>
                    <w:textAlignment w:val="center"/>
                    <w:rPr>
                      <w:rFonts w:hint="default" w:eastAsia="宋体"/>
                      <w:color w:val="auto"/>
                      <w:sz w:val="18"/>
                      <w:szCs w:val="18"/>
                      <w:lang w:val="en-US" w:eastAsia="zh-CN"/>
                    </w:rPr>
                  </w:pPr>
                  <w:r>
                    <w:rPr>
                      <w:rFonts w:hint="eastAsia"/>
                      <w:color w:val="auto"/>
                      <w:sz w:val="18"/>
                      <w:szCs w:val="18"/>
                      <w:lang w:val="en-US" w:eastAsia="zh-CN"/>
                    </w:rPr>
                    <w:t>2357895</w:t>
                  </w:r>
                </w:p>
              </w:tc>
            </w:tr>
            <w:tr w14:paraId="3E962B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350" w:type="pct"/>
                  <w:tcBorders>
                    <w:tl2br w:val="nil"/>
                    <w:tr2bl w:val="nil"/>
                  </w:tcBorders>
                  <w:shd w:val="clear" w:color="auto" w:fill="auto"/>
                  <w:noWrap w:val="0"/>
                  <w:vAlign w:val="center"/>
                </w:tcPr>
                <w:p w14:paraId="097C5B61">
                  <w:pPr>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3</w:t>
                  </w:r>
                </w:p>
              </w:tc>
              <w:tc>
                <w:tcPr>
                  <w:tcW w:w="1058" w:type="pct"/>
                  <w:tcBorders>
                    <w:tl2br w:val="nil"/>
                    <w:tr2bl w:val="nil"/>
                  </w:tcBorders>
                  <w:shd w:val="clear" w:color="auto" w:fill="auto"/>
                  <w:noWrap w:val="0"/>
                  <w:vAlign w:val="center"/>
                </w:tcPr>
                <w:p w14:paraId="4749EF3F">
                  <w:pPr>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脱碳渗氮机组DCL退火炉</w:t>
                  </w:r>
                </w:p>
              </w:tc>
              <w:tc>
                <w:tcPr>
                  <w:tcW w:w="613" w:type="pct"/>
                  <w:tcBorders>
                    <w:tl2br w:val="nil"/>
                    <w:tr2bl w:val="nil"/>
                  </w:tcBorders>
                  <w:shd w:val="clear" w:color="auto" w:fill="auto"/>
                  <w:noWrap w:val="0"/>
                  <w:vAlign w:val="center"/>
                </w:tcPr>
                <w:p w14:paraId="703FFD0B">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480</w:t>
                  </w:r>
                </w:p>
              </w:tc>
              <w:tc>
                <w:tcPr>
                  <w:tcW w:w="743" w:type="pct"/>
                  <w:tcBorders>
                    <w:tl2br w:val="nil"/>
                    <w:tr2bl w:val="nil"/>
                  </w:tcBorders>
                  <w:shd w:val="clear" w:color="auto" w:fill="auto"/>
                  <w:noWrap w:val="0"/>
                  <w:vAlign w:val="center"/>
                </w:tcPr>
                <w:p w14:paraId="15B8EF3F">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30</w:t>
                  </w:r>
                </w:p>
              </w:tc>
              <w:tc>
                <w:tcPr>
                  <w:tcW w:w="743" w:type="pct"/>
                  <w:tcBorders>
                    <w:tl2br w:val="nil"/>
                    <w:tr2bl w:val="nil"/>
                  </w:tcBorders>
                  <w:shd w:val="clear" w:color="auto" w:fill="auto"/>
                  <w:noWrap w:val="0"/>
                  <w:vAlign w:val="center"/>
                </w:tcPr>
                <w:p w14:paraId="563AA0C1">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8500</w:t>
                  </w:r>
                </w:p>
              </w:tc>
              <w:tc>
                <w:tcPr>
                  <w:tcW w:w="746" w:type="pct"/>
                  <w:tcBorders>
                    <w:tl2br w:val="nil"/>
                    <w:tr2bl w:val="nil"/>
                  </w:tcBorders>
                  <w:shd w:val="clear" w:color="auto" w:fill="auto"/>
                  <w:noWrap w:val="0"/>
                  <w:vAlign w:val="center"/>
                </w:tcPr>
                <w:p w14:paraId="12AE8C27">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7000</w:t>
                  </w:r>
                </w:p>
              </w:tc>
              <w:tc>
                <w:tcPr>
                  <w:tcW w:w="743" w:type="pct"/>
                  <w:tcBorders>
                    <w:tl2br w:val="nil"/>
                    <w:tr2bl w:val="nil"/>
                  </w:tcBorders>
                  <w:shd w:val="clear" w:color="auto" w:fill="auto"/>
                  <w:noWrap w:val="0"/>
                  <w:vAlign w:val="center"/>
                </w:tcPr>
                <w:p w14:paraId="73112FEA">
                  <w:pPr>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3360000</w:t>
                  </w:r>
                </w:p>
              </w:tc>
            </w:tr>
            <w:tr w14:paraId="09B327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50" w:type="pct"/>
                  <w:tcBorders>
                    <w:tl2br w:val="nil"/>
                    <w:tr2bl w:val="nil"/>
                  </w:tcBorders>
                  <w:shd w:val="clear" w:color="auto" w:fill="auto"/>
                  <w:noWrap w:val="0"/>
                  <w:vAlign w:val="center"/>
                </w:tcPr>
                <w:p w14:paraId="2D066DC6">
                  <w:pPr>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4</w:t>
                  </w:r>
                </w:p>
              </w:tc>
              <w:tc>
                <w:tcPr>
                  <w:tcW w:w="1058" w:type="pct"/>
                  <w:tcBorders>
                    <w:tl2br w:val="nil"/>
                    <w:tr2bl w:val="nil"/>
                  </w:tcBorders>
                  <w:shd w:val="clear" w:color="auto" w:fill="auto"/>
                  <w:noWrap w:val="0"/>
                  <w:vAlign w:val="center"/>
                </w:tcPr>
                <w:p w14:paraId="3FB670D4">
                  <w:pPr>
                    <w:jc w:val="center"/>
                    <w:textAlignment w:val="center"/>
                    <w:rPr>
                      <w:rFonts w:hint="default" w:cs="Times New Roman"/>
                      <w:b/>
                      <w:bCs/>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脱碳渗氮机组DCL烘干烧结炉</w:t>
                  </w:r>
                </w:p>
              </w:tc>
              <w:tc>
                <w:tcPr>
                  <w:tcW w:w="613" w:type="pct"/>
                  <w:tcBorders>
                    <w:tl2br w:val="nil"/>
                    <w:tr2bl w:val="nil"/>
                  </w:tcBorders>
                  <w:shd w:val="clear" w:color="auto" w:fill="auto"/>
                  <w:noWrap w:val="0"/>
                  <w:vAlign w:val="center"/>
                </w:tcPr>
                <w:p w14:paraId="5D1839F5">
                  <w:pPr>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320</w:t>
                  </w:r>
                </w:p>
              </w:tc>
              <w:tc>
                <w:tcPr>
                  <w:tcW w:w="743" w:type="pct"/>
                  <w:tcBorders>
                    <w:tl2br w:val="nil"/>
                    <w:tr2bl w:val="nil"/>
                  </w:tcBorders>
                  <w:shd w:val="clear" w:color="auto" w:fill="auto"/>
                  <w:noWrap w:val="0"/>
                  <w:vAlign w:val="center"/>
                </w:tcPr>
                <w:p w14:paraId="5EF66CB0">
                  <w:pPr>
                    <w:jc w:val="center"/>
                    <w:textAlignment w:val="center"/>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30</w:t>
                  </w:r>
                </w:p>
              </w:tc>
              <w:tc>
                <w:tcPr>
                  <w:tcW w:w="743" w:type="pct"/>
                  <w:tcBorders>
                    <w:tl2br w:val="nil"/>
                    <w:tr2bl w:val="nil"/>
                  </w:tcBorders>
                  <w:shd w:val="clear" w:color="auto" w:fill="auto"/>
                  <w:noWrap w:val="0"/>
                  <w:vAlign w:val="center"/>
                </w:tcPr>
                <w:p w14:paraId="7631BA90">
                  <w:pPr>
                    <w:jc w:val="center"/>
                    <w:textAlignment w:val="center"/>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8500</w:t>
                  </w:r>
                </w:p>
              </w:tc>
              <w:tc>
                <w:tcPr>
                  <w:tcW w:w="746" w:type="pct"/>
                  <w:tcBorders>
                    <w:tl2br w:val="nil"/>
                    <w:tr2bl w:val="nil"/>
                  </w:tcBorders>
                  <w:shd w:val="clear" w:color="auto" w:fill="auto"/>
                  <w:noWrap w:val="0"/>
                  <w:vAlign w:val="center"/>
                </w:tcPr>
                <w:p w14:paraId="6DD77420">
                  <w:pPr>
                    <w:jc w:val="center"/>
                    <w:textAlignment w:val="center"/>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7000</w:t>
                  </w:r>
                </w:p>
              </w:tc>
              <w:tc>
                <w:tcPr>
                  <w:tcW w:w="743" w:type="pct"/>
                  <w:tcBorders>
                    <w:tl2br w:val="nil"/>
                    <w:tr2bl w:val="nil"/>
                  </w:tcBorders>
                  <w:shd w:val="clear" w:color="auto" w:fill="auto"/>
                  <w:noWrap w:val="0"/>
                  <w:vAlign w:val="center"/>
                </w:tcPr>
                <w:p w14:paraId="51242E39">
                  <w:pPr>
                    <w:jc w:val="center"/>
                    <w:textAlignment w:val="center"/>
                    <w:rPr>
                      <w:rFonts w:hint="default" w:eastAsia="宋体"/>
                      <w:color w:val="auto"/>
                      <w:sz w:val="18"/>
                      <w:szCs w:val="18"/>
                      <w:lang w:val="en-US" w:eastAsia="zh-CN"/>
                    </w:rPr>
                  </w:pPr>
                  <w:r>
                    <w:rPr>
                      <w:rFonts w:hint="eastAsia"/>
                      <w:color w:val="auto"/>
                      <w:sz w:val="18"/>
                      <w:szCs w:val="18"/>
                      <w:lang w:val="en-US" w:eastAsia="zh-CN"/>
                    </w:rPr>
                    <w:t>2240000</w:t>
                  </w:r>
                </w:p>
              </w:tc>
            </w:tr>
            <w:tr w14:paraId="7CD0085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50" w:type="pct"/>
                  <w:tcBorders>
                    <w:tl2br w:val="nil"/>
                    <w:tr2bl w:val="nil"/>
                  </w:tcBorders>
                  <w:shd w:val="clear" w:color="auto" w:fill="auto"/>
                  <w:noWrap w:val="0"/>
                  <w:vAlign w:val="center"/>
                </w:tcPr>
                <w:p w14:paraId="06DB4F83">
                  <w:pPr>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5</w:t>
                  </w:r>
                </w:p>
              </w:tc>
              <w:tc>
                <w:tcPr>
                  <w:tcW w:w="1058" w:type="pct"/>
                  <w:tcBorders>
                    <w:tl2br w:val="nil"/>
                    <w:tr2bl w:val="nil"/>
                  </w:tcBorders>
                  <w:shd w:val="clear" w:color="auto" w:fill="auto"/>
                  <w:noWrap w:val="0"/>
                  <w:vAlign w:val="center"/>
                </w:tcPr>
                <w:p w14:paraId="42F3F7F8">
                  <w:pPr>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热拉伸平整FCL卧式连续炉</w:t>
                  </w:r>
                </w:p>
              </w:tc>
              <w:tc>
                <w:tcPr>
                  <w:tcW w:w="613" w:type="pct"/>
                  <w:tcBorders>
                    <w:tl2br w:val="nil"/>
                    <w:tr2bl w:val="nil"/>
                  </w:tcBorders>
                  <w:shd w:val="clear" w:color="auto" w:fill="auto"/>
                  <w:noWrap w:val="0"/>
                  <w:vAlign w:val="center"/>
                </w:tcPr>
                <w:p w14:paraId="51A63960">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560</w:t>
                  </w:r>
                </w:p>
              </w:tc>
              <w:tc>
                <w:tcPr>
                  <w:tcW w:w="743" w:type="pct"/>
                  <w:tcBorders>
                    <w:tl2br w:val="nil"/>
                    <w:tr2bl w:val="nil"/>
                  </w:tcBorders>
                  <w:shd w:val="clear" w:color="auto" w:fill="auto"/>
                  <w:noWrap w:val="0"/>
                  <w:vAlign w:val="center"/>
                </w:tcPr>
                <w:p w14:paraId="361EAE15">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35</w:t>
                  </w:r>
                </w:p>
              </w:tc>
              <w:tc>
                <w:tcPr>
                  <w:tcW w:w="743" w:type="pct"/>
                  <w:tcBorders>
                    <w:tl2br w:val="nil"/>
                    <w:tr2bl w:val="nil"/>
                  </w:tcBorders>
                  <w:shd w:val="clear" w:color="auto" w:fill="auto"/>
                  <w:noWrap w:val="0"/>
                  <w:vAlign w:val="center"/>
                </w:tcPr>
                <w:p w14:paraId="38566F97">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8500</w:t>
                  </w:r>
                </w:p>
              </w:tc>
              <w:tc>
                <w:tcPr>
                  <w:tcW w:w="746" w:type="pct"/>
                  <w:tcBorders>
                    <w:tl2br w:val="nil"/>
                    <w:tr2bl w:val="nil"/>
                  </w:tcBorders>
                  <w:shd w:val="clear" w:color="auto" w:fill="auto"/>
                  <w:noWrap w:val="0"/>
                  <w:vAlign w:val="center"/>
                </w:tcPr>
                <w:p w14:paraId="14763977">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7000</w:t>
                  </w:r>
                </w:p>
              </w:tc>
              <w:tc>
                <w:tcPr>
                  <w:tcW w:w="743" w:type="pct"/>
                  <w:tcBorders>
                    <w:tl2br w:val="nil"/>
                    <w:tr2bl w:val="nil"/>
                  </w:tcBorders>
                  <w:shd w:val="clear" w:color="auto" w:fill="auto"/>
                  <w:noWrap w:val="0"/>
                  <w:vAlign w:val="center"/>
                </w:tcPr>
                <w:p w14:paraId="35590F66">
                  <w:pPr>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5600000</w:t>
                  </w:r>
                </w:p>
              </w:tc>
            </w:tr>
            <w:tr w14:paraId="6B1309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50" w:type="pct"/>
                  <w:tcBorders>
                    <w:tl2br w:val="nil"/>
                    <w:tr2bl w:val="nil"/>
                  </w:tcBorders>
                  <w:noWrap w:val="0"/>
                  <w:vAlign w:val="center"/>
                </w:tcPr>
                <w:p w14:paraId="2E5624A4">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6</w:t>
                  </w:r>
                </w:p>
              </w:tc>
              <w:tc>
                <w:tcPr>
                  <w:tcW w:w="1058" w:type="pct"/>
                  <w:tcBorders>
                    <w:tl2br w:val="nil"/>
                    <w:tr2bl w:val="nil"/>
                  </w:tcBorders>
                  <w:shd w:val="clear" w:color="auto" w:fill="auto"/>
                  <w:noWrap w:val="0"/>
                  <w:vAlign w:val="center"/>
                </w:tcPr>
                <w:p w14:paraId="4FD1FFEF">
                  <w:pPr>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酸再生装置</w:t>
                  </w:r>
                </w:p>
              </w:tc>
              <w:tc>
                <w:tcPr>
                  <w:tcW w:w="613" w:type="pct"/>
                  <w:tcBorders>
                    <w:tl2br w:val="nil"/>
                    <w:tr2bl w:val="nil"/>
                  </w:tcBorders>
                  <w:shd w:val="clear" w:color="auto" w:fill="auto"/>
                  <w:noWrap w:val="0"/>
                  <w:vAlign w:val="center"/>
                </w:tcPr>
                <w:p w14:paraId="6DD6B776">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111.428</w:t>
                  </w:r>
                </w:p>
              </w:tc>
              <w:tc>
                <w:tcPr>
                  <w:tcW w:w="743" w:type="pct"/>
                  <w:tcBorders>
                    <w:tl2br w:val="nil"/>
                    <w:tr2bl w:val="nil"/>
                  </w:tcBorders>
                  <w:shd w:val="clear" w:color="auto" w:fill="auto"/>
                  <w:noWrap w:val="0"/>
                  <w:vAlign w:val="center"/>
                </w:tcPr>
                <w:p w14:paraId="17BAE73C">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常压</w:t>
                  </w:r>
                </w:p>
              </w:tc>
              <w:tc>
                <w:tcPr>
                  <w:tcW w:w="743" w:type="pct"/>
                  <w:tcBorders>
                    <w:tl2br w:val="nil"/>
                    <w:tr2bl w:val="nil"/>
                  </w:tcBorders>
                  <w:shd w:val="clear" w:color="auto" w:fill="auto"/>
                  <w:noWrap w:val="0"/>
                  <w:vAlign w:val="center"/>
                </w:tcPr>
                <w:p w14:paraId="61E2A7AE">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8500</w:t>
                  </w:r>
                </w:p>
              </w:tc>
              <w:tc>
                <w:tcPr>
                  <w:tcW w:w="746" w:type="pct"/>
                  <w:tcBorders>
                    <w:tl2br w:val="nil"/>
                    <w:tr2bl w:val="nil"/>
                  </w:tcBorders>
                  <w:shd w:val="clear" w:color="auto" w:fill="auto"/>
                  <w:noWrap w:val="0"/>
                  <w:vAlign w:val="center"/>
                </w:tcPr>
                <w:p w14:paraId="691FFC91">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7000</w:t>
                  </w:r>
                </w:p>
              </w:tc>
              <w:tc>
                <w:tcPr>
                  <w:tcW w:w="743" w:type="pct"/>
                  <w:tcBorders>
                    <w:tl2br w:val="nil"/>
                    <w:tr2bl w:val="nil"/>
                  </w:tcBorders>
                  <w:shd w:val="clear" w:color="auto" w:fill="auto"/>
                  <w:noWrap w:val="0"/>
                  <w:vAlign w:val="center"/>
                </w:tcPr>
                <w:p w14:paraId="08F5B12D">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780000</w:t>
                  </w:r>
                </w:p>
              </w:tc>
            </w:tr>
            <w:tr w14:paraId="2977EA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4256" w:type="pct"/>
                  <w:gridSpan w:val="6"/>
                  <w:tcBorders>
                    <w:tl2br w:val="nil"/>
                    <w:tr2bl w:val="nil"/>
                  </w:tcBorders>
                  <w:noWrap w:val="0"/>
                  <w:vAlign w:val="center"/>
                </w:tcPr>
                <w:p w14:paraId="0554878B">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合计</w:t>
                  </w:r>
                </w:p>
              </w:tc>
              <w:tc>
                <w:tcPr>
                  <w:tcW w:w="743" w:type="pct"/>
                  <w:tcBorders>
                    <w:tl2br w:val="nil"/>
                    <w:tr2bl w:val="nil"/>
                  </w:tcBorders>
                  <w:shd w:val="clear" w:color="auto" w:fill="auto"/>
                  <w:noWrap w:val="0"/>
                  <w:vAlign w:val="center"/>
                </w:tcPr>
                <w:p w14:paraId="59794DB4">
                  <w:pPr>
                    <w:jc w:val="center"/>
                    <w:textAlignment w:val="center"/>
                    <w:rPr>
                      <w:rFonts w:hint="default" w:ascii="Times New Roman" w:hAnsi="Times New Roman" w:eastAsia="宋体" w:cs="Times New Roman"/>
                      <w:color w:val="auto"/>
                      <w:kern w:val="2"/>
                      <w:sz w:val="18"/>
                      <w:szCs w:val="18"/>
                      <w:highlight w:val="none"/>
                      <w:lang w:eastAsia="zh-CN" w:bidi="ar-SA"/>
                    </w:rPr>
                  </w:pPr>
                  <w:r>
                    <w:rPr>
                      <w:rFonts w:hint="default" w:ascii="Times New Roman" w:hAnsi="Times New Roman" w:eastAsia="宋体" w:cs="Times New Roman"/>
                      <w:color w:val="auto"/>
                      <w:kern w:val="2"/>
                      <w:sz w:val="18"/>
                      <w:szCs w:val="18"/>
                      <w:highlight w:val="none"/>
                      <w:lang w:eastAsia="zh-CN" w:bidi="ar-SA"/>
                    </w:rPr>
                    <w:fldChar w:fldCharType="begin"/>
                  </w:r>
                  <w:r>
                    <w:rPr>
                      <w:rFonts w:hint="default" w:ascii="Times New Roman" w:hAnsi="Times New Roman" w:eastAsia="宋体" w:cs="Times New Roman"/>
                      <w:color w:val="auto"/>
                      <w:kern w:val="2"/>
                      <w:sz w:val="18"/>
                      <w:szCs w:val="18"/>
                      <w:highlight w:val="none"/>
                      <w:lang w:eastAsia="zh-CN" w:bidi="ar-SA"/>
                    </w:rPr>
                    <w:instrText xml:space="preserve"> =SUM(ABOVE) \* MERGEFORMAT </w:instrText>
                  </w:r>
                  <w:r>
                    <w:rPr>
                      <w:rFonts w:hint="default" w:ascii="Times New Roman" w:hAnsi="Times New Roman" w:eastAsia="宋体" w:cs="Times New Roman"/>
                      <w:color w:val="auto"/>
                      <w:kern w:val="2"/>
                      <w:sz w:val="18"/>
                      <w:szCs w:val="18"/>
                      <w:highlight w:val="none"/>
                      <w:lang w:eastAsia="zh-CN" w:bidi="ar-SA"/>
                    </w:rPr>
                    <w:fldChar w:fldCharType="separate"/>
                  </w:r>
                  <w:r>
                    <w:rPr>
                      <w:rFonts w:hint="default" w:ascii="Times New Roman" w:hAnsi="Times New Roman" w:eastAsia="宋体" w:cs="Times New Roman"/>
                      <w:color w:val="auto"/>
                      <w:kern w:val="2"/>
                      <w:sz w:val="18"/>
                      <w:szCs w:val="18"/>
                      <w:highlight w:val="none"/>
                      <w:lang w:eastAsia="zh-CN" w:bidi="ar-SA"/>
                    </w:rPr>
                    <w:t>23180000</w:t>
                  </w:r>
                  <w:r>
                    <w:rPr>
                      <w:rFonts w:hint="default" w:ascii="Times New Roman" w:hAnsi="Times New Roman" w:eastAsia="宋体" w:cs="Times New Roman"/>
                      <w:color w:val="auto"/>
                      <w:kern w:val="2"/>
                      <w:sz w:val="18"/>
                      <w:szCs w:val="18"/>
                      <w:highlight w:val="none"/>
                      <w:lang w:eastAsia="zh-CN" w:bidi="ar-SA"/>
                    </w:rPr>
                    <w:fldChar w:fldCharType="end"/>
                  </w:r>
                </w:p>
              </w:tc>
            </w:tr>
          </w:tbl>
          <w:p w14:paraId="05D9ED36">
            <w:pPr>
              <w:keepNext w:val="0"/>
              <w:keepLines w:val="0"/>
              <w:widowControl/>
              <w:suppressLineNumbers w:val="0"/>
              <w:spacing w:before="0" w:beforeAutospacing="0" w:after="0" w:afterAutospacing="0" w:line="360" w:lineRule="auto"/>
              <w:ind w:left="0" w:right="0" w:firstLine="422" w:firstLineChars="200"/>
              <w:rPr>
                <w:rFonts w:hint="default"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（6）蒸汽</w:t>
            </w:r>
          </w:p>
          <w:p w14:paraId="1524DBAF">
            <w:pPr>
              <w:keepNext w:val="0"/>
              <w:keepLines w:val="0"/>
              <w:widowControl/>
              <w:suppressLineNumbers w:val="0"/>
              <w:spacing w:before="0" w:beforeAutospacing="0" w:after="0" w:afterAutospacing="0" w:line="360" w:lineRule="auto"/>
              <w:ind w:left="0" w:right="0" w:firstLine="420" w:firstLineChars="200"/>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为保证稳定热源以维持各机组稳定运行并考虑预留预留一定余量以发挥锅炉最大效能，本项目设置2台15t/h</w:t>
            </w:r>
            <w:r>
              <w:rPr>
                <w:rFonts w:hint="eastAsia" w:cs="Times New Roman"/>
                <w:color w:val="auto"/>
                <w:sz w:val="21"/>
                <w:szCs w:val="21"/>
                <w:highlight w:val="none"/>
                <w:lang w:val="en-US" w:eastAsia="zh-CN"/>
              </w:rPr>
              <w:t>电</w:t>
            </w:r>
            <w:r>
              <w:rPr>
                <w:rFonts w:hint="eastAsia" w:ascii="Times New Roman" w:hAnsi="Times New Roman" w:eastAsia="宋体" w:cs="Times New Roman"/>
                <w:color w:val="auto"/>
                <w:sz w:val="21"/>
                <w:szCs w:val="21"/>
                <w:highlight w:val="none"/>
                <w:lang w:val="en-US" w:eastAsia="zh-CN"/>
              </w:rPr>
              <w:t>蒸汽锅炉，同时为了进行余热利用，以实现节能降耗使生产供热可以灵活调节，设置1台2t/h余热锅炉。</w:t>
            </w:r>
            <w:r>
              <w:rPr>
                <w:rFonts w:hint="eastAsia" w:cs="Times New Roman"/>
                <w:color w:val="auto"/>
                <w:sz w:val="21"/>
                <w:szCs w:val="21"/>
                <w:highlight w:val="none"/>
                <w:lang w:val="en-US" w:eastAsia="zh-CN"/>
              </w:rPr>
              <w:t>各工序蒸汽消耗情况见下表。</w:t>
            </w:r>
          </w:p>
          <w:p w14:paraId="6F1DA177">
            <w:pPr>
              <w:spacing w:line="360" w:lineRule="auto"/>
              <w:jc w:val="center"/>
              <w:rPr>
                <w:rFonts w:hint="default" w:ascii="Times New Roman" w:hAnsi="Times New Roman" w:eastAsia="黑体" w:cs="Times New Roman"/>
                <w:bCs/>
                <w:color w:val="auto"/>
                <w:spacing w:val="2"/>
                <w:sz w:val="21"/>
                <w:szCs w:val="21"/>
                <w:lang w:val="en-US" w:eastAsia="zh-CN"/>
              </w:rPr>
            </w:pPr>
            <w:r>
              <w:rPr>
                <w:rFonts w:ascii="Times New Roman" w:hAnsi="Times New Roman" w:eastAsia="黑体" w:cs="Times New Roman"/>
                <w:bCs/>
                <w:color w:val="auto"/>
                <w:spacing w:val="2"/>
                <w:sz w:val="21"/>
                <w:szCs w:val="21"/>
                <w:lang w:eastAsia="zh-CN"/>
              </w:rPr>
              <w:t>表</w:t>
            </w:r>
            <w:r>
              <w:rPr>
                <w:rFonts w:hint="eastAsia" w:eastAsia="黑体" w:cs="Times New Roman"/>
                <w:bCs/>
                <w:color w:val="auto"/>
                <w:spacing w:val="2"/>
                <w:sz w:val="21"/>
                <w:szCs w:val="21"/>
                <w:lang w:val="en-US" w:eastAsia="zh-CN"/>
              </w:rPr>
              <w:t>2-10  本项目蒸汽消耗量表</w:t>
            </w:r>
          </w:p>
          <w:tbl>
            <w:tblPr>
              <w:tblStyle w:val="33"/>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591"/>
              <w:gridCol w:w="1783"/>
              <w:gridCol w:w="1036"/>
              <w:gridCol w:w="1251"/>
              <w:gridCol w:w="1251"/>
              <w:gridCol w:w="1251"/>
              <w:gridCol w:w="1251"/>
            </w:tblGrid>
            <w:tr w14:paraId="768B3E8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351" w:type="pct"/>
                  <w:tcBorders>
                    <w:tl2br w:val="nil"/>
                    <w:tr2bl w:val="nil"/>
                  </w:tcBorders>
                  <w:noWrap w:val="0"/>
                  <w:vAlign w:val="center"/>
                </w:tcPr>
                <w:p w14:paraId="32D706FE">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序号</w:t>
                  </w:r>
                </w:p>
              </w:tc>
              <w:tc>
                <w:tcPr>
                  <w:tcW w:w="1059" w:type="pct"/>
                  <w:tcBorders>
                    <w:tl2br w:val="nil"/>
                    <w:tr2bl w:val="nil"/>
                  </w:tcBorders>
                  <w:noWrap w:val="0"/>
                  <w:vAlign w:val="center"/>
                </w:tcPr>
                <w:p w14:paraId="0B8D74B4">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设备名称</w:t>
                  </w:r>
                </w:p>
              </w:tc>
              <w:tc>
                <w:tcPr>
                  <w:tcW w:w="615" w:type="pct"/>
                  <w:tcBorders>
                    <w:tl2br w:val="nil"/>
                    <w:tr2bl w:val="nil"/>
                  </w:tcBorders>
                  <w:noWrap w:val="0"/>
                  <w:vAlign w:val="center"/>
                </w:tcPr>
                <w:p w14:paraId="5D9761DA">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最大消耗量</w:t>
                  </w:r>
                  <w:r>
                    <w:rPr>
                      <w:rFonts w:hint="eastAsia"/>
                      <w:color w:val="auto"/>
                      <w:lang w:val="en-US" w:eastAsia="zh-CN"/>
                    </w:rPr>
                    <w:t>t</w:t>
                  </w:r>
                  <w:r>
                    <w:rPr>
                      <w:rFonts w:hint="eastAsia" w:cs="Times New Roman"/>
                      <w:color w:val="auto"/>
                      <w:sz w:val="18"/>
                      <w:szCs w:val="18"/>
                      <w:highlight w:val="none"/>
                      <w:lang w:val="en-US" w:eastAsia="zh-CN"/>
                    </w:rPr>
                    <w:t>/h</w:t>
                  </w:r>
                </w:p>
              </w:tc>
              <w:tc>
                <w:tcPr>
                  <w:tcW w:w="743" w:type="pct"/>
                  <w:tcBorders>
                    <w:tl2br w:val="nil"/>
                    <w:tr2bl w:val="nil"/>
                  </w:tcBorders>
                  <w:noWrap w:val="0"/>
                  <w:vAlign w:val="center"/>
                </w:tcPr>
                <w:p w14:paraId="6E79CDA7">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压力MPa</w:t>
                  </w:r>
                </w:p>
              </w:tc>
              <w:tc>
                <w:tcPr>
                  <w:tcW w:w="743" w:type="pct"/>
                  <w:tcBorders>
                    <w:tl2br w:val="nil"/>
                    <w:tr2bl w:val="nil"/>
                  </w:tcBorders>
                  <w:noWrap w:val="0"/>
                  <w:vAlign w:val="center"/>
                </w:tcPr>
                <w:p w14:paraId="2D8A7C99">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温度℃</w:t>
                  </w:r>
                </w:p>
              </w:tc>
              <w:tc>
                <w:tcPr>
                  <w:tcW w:w="743" w:type="pct"/>
                  <w:tcBorders>
                    <w:tl2br w:val="nil"/>
                    <w:tr2bl w:val="nil"/>
                  </w:tcBorders>
                  <w:noWrap w:val="0"/>
                  <w:vAlign w:val="center"/>
                </w:tcPr>
                <w:p w14:paraId="301F7127">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年使用时间</w:t>
                  </w:r>
                </w:p>
              </w:tc>
              <w:tc>
                <w:tcPr>
                  <w:tcW w:w="743" w:type="pct"/>
                  <w:tcBorders>
                    <w:tl2br w:val="nil"/>
                    <w:tr2bl w:val="nil"/>
                  </w:tcBorders>
                  <w:noWrap w:val="0"/>
                  <w:vAlign w:val="center"/>
                </w:tcPr>
                <w:p w14:paraId="196F642A">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年用量t/a</w:t>
                  </w:r>
                </w:p>
              </w:tc>
            </w:tr>
            <w:tr w14:paraId="2A60C9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51" w:type="pct"/>
                  <w:tcBorders>
                    <w:tl2br w:val="nil"/>
                    <w:tr2bl w:val="nil"/>
                  </w:tcBorders>
                  <w:noWrap w:val="0"/>
                  <w:vAlign w:val="center"/>
                </w:tcPr>
                <w:p w14:paraId="5CD7A2E6">
                  <w:pPr>
                    <w:jc w:val="center"/>
                    <w:textAlignment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1059" w:type="pct"/>
                  <w:tcBorders>
                    <w:tl2br w:val="nil"/>
                    <w:tr2bl w:val="nil"/>
                  </w:tcBorders>
                  <w:shd w:val="clear" w:color="auto" w:fill="auto"/>
                  <w:noWrap w:val="0"/>
                  <w:vAlign w:val="center"/>
                </w:tcPr>
                <w:p w14:paraId="455574F2">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常化酸洗机组APL</w:t>
                  </w:r>
                </w:p>
              </w:tc>
              <w:tc>
                <w:tcPr>
                  <w:tcW w:w="615" w:type="pct"/>
                  <w:tcBorders>
                    <w:tl2br w:val="nil"/>
                    <w:tr2bl w:val="nil"/>
                  </w:tcBorders>
                  <w:shd w:val="clear" w:color="auto" w:fill="auto"/>
                  <w:noWrap w:val="0"/>
                  <w:vAlign w:val="center"/>
                </w:tcPr>
                <w:p w14:paraId="7A7B4283">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8</w:t>
                  </w:r>
                </w:p>
              </w:tc>
              <w:tc>
                <w:tcPr>
                  <w:tcW w:w="743" w:type="pct"/>
                  <w:tcBorders>
                    <w:tl2br w:val="nil"/>
                    <w:tr2bl w:val="nil"/>
                  </w:tcBorders>
                  <w:shd w:val="clear" w:color="auto" w:fill="auto"/>
                  <w:noWrap w:val="0"/>
                  <w:vAlign w:val="center"/>
                </w:tcPr>
                <w:p w14:paraId="316BBFFF">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0.3-0.6</w:t>
                  </w:r>
                </w:p>
              </w:tc>
              <w:tc>
                <w:tcPr>
                  <w:tcW w:w="743" w:type="pct"/>
                  <w:tcBorders>
                    <w:tl2br w:val="nil"/>
                    <w:tr2bl w:val="nil"/>
                  </w:tcBorders>
                  <w:shd w:val="clear" w:color="auto" w:fill="auto"/>
                  <w:noWrap w:val="0"/>
                  <w:vAlign w:val="center"/>
                </w:tcPr>
                <w:p w14:paraId="164BA611">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150-170</w:t>
                  </w:r>
                </w:p>
              </w:tc>
              <w:tc>
                <w:tcPr>
                  <w:tcW w:w="743" w:type="pct"/>
                  <w:tcBorders>
                    <w:tl2br w:val="nil"/>
                    <w:tr2bl w:val="nil"/>
                  </w:tcBorders>
                  <w:shd w:val="clear" w:color="auto" w:fill="auto"/>
                  <w:noWrap w:val="0"/>
                  <w:vAlign w:val="center"/>
                </w:tcPr>
                <w:p w14:paraId="17FB9557">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7000</w:t>
                  </w:r>
                </w:p>
              </w:tc>
              <w:tc>
                <w:tcPr>
                  <w:tcW w:w="743" w:type="pct"/>
                  <w:tcBorders>
                    <w:tl2br w:val="nil"/>
                    <w:tr2bl w:val="nil"/>
                  </w:tcBorders>
                  <w:shd w:val="clear" w:color="auto" w:fill="auto"/>
                  <w:noWrap w:val="0"/>
                  <w:vAlign w:val="bottom"/>
                </w:tcPr>
                <w:p w14:paraId="45FB3333">
                  <w:pPr>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56000</w:t>
                  </w:r>
                </w:p>
              </w:tc>
            </w:tr>
            <w:tr w14:paraId="422D64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51" w:type="pct"/>
                  <w:tcBorders>
                    <w:tl2br w:val="nil"/>
                    <w:tr2bl w:val="nil"/>
                  </w:tcBorders>
                  <w:shd w:val="clear" w:color="auto" w:fill="auto"/>
                  <w:noWrap w:val="0"/>
                  <w:vAlign w:val="center"/>
                </w:tcPr>
                <w:p w14:paraId="108B8106">
                  <w:pPr>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w:t>
                  </w:r>
                </w:p>
              </w:tc>
              <w:tc>
                <w:tcPr>
                  <w:tcW w:w="1059" w:type="pct"/>
                  <w:tcBorders>
                    <w:tl2br w:val="nil"/>
                    <w:tr2bl w:val="nil"/>
                  </w:tcBorders>
                  <w:shd w:val="clear" w:color="auto" w:fill="auto"/>
                  <w:noWrap w:val="0"/>
                  <w:vAlign w:val="center"/>
                </w:tcPr>
                <w:p w14:paraId="28B5190C">
                  <w:pPr>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二十辊轧机RCM</w:t>
                  </w:r>
                </w:p>
              </w:tc>
              <w:tc>
                <w:tcPr>
                  <w:tcW w:w="615" w:type="pct"/>
                  <w:tcBorders>
                    <w:tl2br w:val="nil"/>
                    <w:tr2bl w:val="nil"/>
                  </w:tcBorders>
                  <w:shd w:val="clear" w:color="auto" w:fill="auto"/>
                  <w:noWrap w:val="0"/>
                  <w:vAlign w:val="center"/>
                </w:tcPr>
                <w:p w14:paraId="13715241">
                  <w:pPr>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3</w:t>
                  </w:r>
                </w:p>
              </w:tc>
              <w:tc>
                <w:tcPr>
                  <w:tcW w:w="743" w:type="pct"/>
                  <w:tcBorders>
                    <w:tl2br w:val="nil"/>
                    <w:tr2bl w:val="nil"/>
                  </w:tcBorders>
                  <w:shd w:val="clear" w:color="auto" w:fill="auto"/>
                  <w:noWrap w:val="0"/>
                  <w:vAlign w:val="center"/>
                </w:tcPr>
                <w:p w14:paraId="55E35D89">
                  <w:pPr>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0.5-0.7</w:t>
                  </w:r>
                </w:p>
              </w:tc>
              <w:tc>
                <w:tcPr>
                  <w:tcW w:w="743" w:type="pct"/>
                  <w:tcBorders>
                    <w:tl2br w:val="nil"/>
                    <w:tr2bl w:val="nil"/>
                  </w:tcBorders>
                  <w:shd w:val="clear" w:color="auto" w:fill="auto"/>
                  <w:noWrap w:val="0"/>
                  <w:vAlign w:val="center"/>
                </w:tcPr>
                <w:p w14:paraId="5C783846">
                  <w:pPr>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170</w:t>
                  </w:r>
                </w:p>
              </w:tc>
              <w:tc>
                <w:tcPr>
                  <w:tcW w:w="743" w:type="pct"/>
                  <w:tcBorders>
                    <w:tl2br w:val="nil"/>
                    <w:tr2bl w:val="nil"/>
                  </w:tcBorders>
                  <w:shd w:val="clear" w:color="auto" w:fill="auto"/>
                  <w:noWrap w:val="0"/>
                  <w:vAlign w:val="center"/>
                </w:tcPr>
                <w:p w14:paraId="7EA3E27A">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7000</w:t>
                  </w:r>
                </w:p>
              </w:tc>
              <w:tc>
                <w:tcPr>
                  <w:tcW w:w="743" w:type="pct"/>
                  <w:tcBorders>
                    <w:tl2br w:val="nil"/>
                    <w:tr2bl w:val="nil"/>
                  </w:tcBorders>
                  <w:shd w:val="clear" w:color="auto" w:fill="auto"/>
                  <w:noWrap w:val="0"/>
                  <w:vAlign w:val="bottom"/>
                </w:tcPr>
                <w:p w14:paraId="1F91EBF2">
                  <w:pPr>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21000</w:t>
                  </w:r>
                </w:p>
              </w:tc>
            </w:tr>
            <w:tr w14:paraId="0C487A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51" w:type="pct"/>
                  <w:tcBorders>
                    <w:tl2br w:val="nil"/>
                    <w:tr2bl w:val="nil"/>
                  </w:tcBorders>
                  <w:shd w:val="clear" w:color="auto" w:fill="auto"/>
                  <w:noWrap w:val="0"/>
                  <w:vAlign w:val="center"/>
                </w:tcPr>
                <w:p w14:paraId="269235A7">
                  <w:pPr>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3</w:t>
                  </w:r>
                </w:p>
              </w:tc>
              <w:tc>
                <w:tcPr>
                  <w:tcW w:w="1059" w:type="pct"/>
                  <w:tcBorders>
                    <w:tl2br w:val="nil"/>
                    <w:tr2bl w:val="nil"/>
                  </w:tcBorders>
                  <w:shd w:val="clear" w:color="auto" w:fill="auto"/>
                  <w:noWrap w:val="0"/>
                  <w:vAlign w:val="center"/>
                </w:tcPr>
                <w:p w14:paraId="2AB23BBA">
                  <w:pPr>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脱碳渗氮机组DCL</w:t>
                  </w:r>
                </w:p>
              </w:tc>
              <w:tc>
                <w:tcPr>
                  <w:tcW w:w="615" w:type="pct"/>
                  <w:tcBorders>
                    <w:tl2br w:val="nil"/>
                    <w:tr2bl w:val="nil"/>
                  </w:tcBorders>
                  <w:shd w:val="clear" w:color="auto" w:fill="auto"/>
                  <w:noWrap w:val="0"/>
                  <w:vAlign w:val="center"/>
                </w:tcPr>
                <w:p w14:paraId="3E14BEEA">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6</w:t>
                  </w:r>
                </w:p>
              </w:tc>
              <w:tc>
                <w:tcPr>
                  <w:tcW w:w="743" w:type="pct"/>
                  <w:tcBorders>
                    <w:tl2br w:val="nil"/>
                    <w:tr2bl w:val="nil"/>
                  </w:tcBorders>
                  <w:shd w:val="clear" w:color="auto" w:fill="auto"/>
                  <w:noWrap w:val="0"/>
                  <w:vAlign w:val="center"/>
                </w:tcPr>
                <w:p w14:paraId="4F313190">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0.4-0.6</w:t>
                  </w:r>
                </w:p>
              </w:tc>
              <w:tc>
                <w:tcPr>
                  <w:tcW w:w="743" w:type="pct"/>
                  <w:tcBorders>
                    <w:tl2br w:val="nil"/>
                    <w:tr2bl w:val="nil"/>
                  </w:tcBorders>
                  <w:shd w:val="clear" w:color="auto" w:fill="auto"/>
                  <w:noWrap w:val="0"/>
                  <w:vAlign w:val="center"/>
                </w:tcPr>
                <w:p w14:paraId="023B3939">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150-170</w:t>
                  </w:r>
                </w:p>
              </w:tc>
              <w:tc>
                <w:tcPr>
                  <w:tcW w:w="743" w:type="pct"/>
                  <w:tcBorders>
                    <w:tl2br w:val="nil"/>
                    <w:tr2bl w:val="nil"/>
                  </w:tcBorders>
                  <w:shd w:val="clear" w:color="auto" w:fill="auto"/>
                  <w:noWrap w:val="0"/>
                  <w:vAlign w:val="center"/>
                </w:tcPr>
                <w:p w14:paraId="0490AF9C">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7000</w:t>
                  </w:r>
                </w:p>
              </w:tc>
              <w:tc>
                <w:tcPr>
                  <w:tcW w:w="743" w:type="pct"/>
                  <w:tcBorders>
                    <w:tl2br w:val="nil"/>
                    <w:tr2bl w:val="nil"/>
                  </w:tcBorders>
                  <w:shd w:val="clear" w:color="auto" w:fill="auto"/>
                  <w:noWrap w:val="0"/>
                  <w:vAlign w:val="bottom"/>
                </w:tcPr>
                <w:p w14:paraId="069C72D3">
                  <w:pPr>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42000</w:t>
                  </w:r>
                </w:p>
              </w:tc>
            </w:tr>
            <w:tr w14:paraId="4ADA4CD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51" w:type="pct"/>
                  <w:tcBorders>
                    <w:tl2br w:val="nil"/>
                    <w:tr2bl w:val="nil"/>
                  </w:tcBorders>
                  <w:shd w:val="clear" w:color="auto" w:fill="auto"/>
                  <w:noWrap w:val="0"/>
                  <w:vAlign w:val="center"/>
                </w:tcPr>
                <w:p w14:paraId="50394005">
                  <w:pPr>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4</w:t>
                  </w:r>
                </w:p>
              </w:tc>
              <w:tc>
                <w:tcPr>
                  <w:tcW w:w="1059" w:type="pct"/>
                  <w:tcBorders>
                    <w:tl2br w:val="nil"/>
                    <w:tr2bl w:val="nil"/>
                  </w:tcBorders>
                  <w:shd w:val="clear" w:color="auto" w:fill="auto"/>
                  <w:noWrap w:val="0"/>
                  <w:vAlign w:val="center"/>
                </w:tcPr>
                <w:p w14:paraId="5F60DE9A">
                  <w:pPr>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热拉伸平整FCL</w:t>
                  </w:r>
                </w:p>
              </w:tc>
              <w:tc>
                <w:tcPr>
                  <w:tcW w:w="615" w:type="pct"/>
                  <w:tcBorders>
                    <w:tl2br w:val="nil"/>
                    <w:tr2bl w:val="nil"/>
                  </w:tcBorders>
                  <w:shd w:val="clear" w:color="auto" w:fill="auto"/>
                  <w:noWrap w:val="0"/>
                  <w:vAlign w:val="center"/>
                </w:tcPr>
                <w:p w14:paraId="1DF83538">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9</w:t>
                  </w:r>
                </w:p>
              </w:tc>
              <w:tc>
                <w:tcPr>
                  <w:tcW w:w="743" w:type="pct"/>
                  <w:tcBorders>
                    <w:tl2br w:val="nil"/>
                    <w:tr2bl w:val="nil"/>
                  </w:tcBorders>
                  <w:shd w:val="clear" w:color="auto" w:fill="auto"/>
                  <w:noWrap w:val="0"/>
                  <w:vAlign w:val="center"/>
                </w:tcPr>
                <w:p w14:paraId="27F9D8F8">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0.4-0.6</w:t>
                  </w:r>
                </w:p>
              </w:tc>
              <w:tc>
                <w:tcPr>
                  <w:tcW w:w="743" w:type="pct"/>
                  <w:tcBorders>
                    <w:tl2br w:val="nil"/>
                    <w:tr2bl w:val="nil"/>
                  </w:tcBorders>
                  <w:shd w:val="clear" w:color="auto" w:fill="auto"/>
                  <w:noWrap w:val="0"/>
                  <w:vAlign w:val="center"/>
                </w:tcPr>
                <w:p w14:paraId="14882D7A">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150-170</w:t>
                  </w:r>
                </w:p>
              </w:tc>
              <w:tc>
                <w:tcPr>
                  <w:tcW w:w="743" w:type="pct"/>
                  <w:tcBorders>
                    <w:tl2br w:val="nil"/>
                    <w:tr2bl w:val="nil"/>
                  </w:tcBorders>
                  <w:shd w:val="clear" w:color="auto" w:fill="auto"/>
                  <w:noWrap w:val="0"/>
                  <w:vAlign w:val="center"/>
                </w:tcPr>
                <w:p w14:paraId="0A5DBCC6">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7000</w:t>
                  </w:r>
                </w:p>
              </w:tc>
              <w:tc>
                <w:tcPr>
                  <w:tcW w:w="743" w:type="pct"/>
                  <w:tcBorders>
                    <w:tl2br w:val="nil"/>
                    <w:tr2bl w:val="nil"/>
                  </w:tcBorders>
                  <w:shd w:val="clear" w:color="auto" w:fill="auto"/>
                  <w:noWrap w:val="0"/>
                  <w:vAlign w:val="bottom"/>
                </w:tcPr>
                <w:p w14:paraId="2F24862F">
                  <w:pPr>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63000</w:t>
                  </w:r>
                </w:p>
              </w:tc>
            </w:tr>
            <w:tr w14:paraId="756ABD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51" w:type="pct"/>
                  <w:tcBorders>
                    <w:tl2br w:val="nil"/>
                    <w:tr2bl w:val="nil"/>
                  </w:tcBorders>
                  <w:noWrap w:val="0"/>
                  <w:vAlign w:val="center"/>
                </w:tcPr>
                <w:p w14:paraId="5976E573">
                  <w:pPr>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w:t>
                  </w:r>
                </w:p>
              </w:tc>
              <w:tc>
                <w:tcPr>
                  <w:tcW w:w="1059" w:type="pct"/>
                  <w:tcBorders>
                    <w:tl2br w:val="nil"/>
                    <w:tr2bl w:val="nil"/>
                  </w:tcBorders>
                  <w:shd w:val="clear" w:color="auto" w:fill="auto"/>
                  <w:noWrap w:val="0"/>
                  <w:vAlign w:val="center"/>
                </w:tcPr>
                <w:p w14:paraId="5FE537EF">
                  <w:pPr>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其他公辅工程</w:t>
                  </w:r>
                </w:p>
              </w:tc>
              <w:tc>
                <w:tcPr>
                  <w:tcW w:w="615" w:type="pct"/>
                  <w:tcBorders>
                    <w:tl2br w:val="nil"/>
                    <w:tr2bl w:val="nil"/>
                  </w:tcBorders>
                  <w:shd w:val="clear" w:color="auto" w:fill="auto"/>
                  <w:noWrap w:val="0"/>
                  <w:vAlign w:val="center"/>
                </w:tcPr>
                <w:p w14:paraId="1CD7B06F">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743" w:type="pct"/>
                  <w:tcBorders>
                    <w:tl2br w:val="nil"/>
                    <w:tr2bl w:val="nil"/>
                  </w:tcBorders>
                  <w:shd w:val="clear" w:color="auto" w:fill="auto"/>
                  <w:noWrap w:val="0"/>
                  <w:vAlign w:val="center"/>
                </w:tcPr>
                <w:p w14:paraId="2EBF3435">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0.5-0.7</w:t>
                  </w:r>
                </w:p>
              </w:tc>
              <w:tc>
                <w:tcPr>
                  <w:tcW w:w="743" w:type="pct"/>
                  <w:tcBorders>
                    <w:tl2br w:val="nil"/>
                    <w:tr2bl w:val="nil"/>
                  </w:tcBorders>
                  <w:shd w:val="clear" w:color="auto" w:fill="auto"/>
                  <w:noWrap w:val="0"/>
                  <w:vAlign w:val="center"/>
                </w:tcPr>
                <w:p w14:paraId="543C370F">
                  <w:pPr>
                    <w:jc w:val="center"/>
                    <w:textAlignment w:val="center"/>
                    <w:rPr>
                      <w:rFonts w:hint="default" w:ascii="Times New Roman" w:hAnsi="Times New Roman" w:eastAsia="宋体" w:cs="Times New Roman"/>
                      <w:color w:val="auto"/>
                      <w:kern w:val="2"/>
                      <w:sz w:val="18"/>
                      <w:szCs w:val="18"/>
                      <w:highlight w:val="none"/>
                      <w:lang w:val="en-US" w:eastAsia="zh-CN" w:bidi="ar-SA"/>
                    </w:rPr>
                  </w:pPr>
                </w:p>
              </w:tc>
              <w:tc>
                <w:tcPr>
                  <w:tcW w:w="743" w:type="pct"/>
                  <w:tcBorders>
                    <w:tl2br w:val="nil"/>
                    <w:tr2bl w:val="nil"/>
                  </w:tcBorders>
                  <w:shd w:val="clear" w:color="auto" w:fill="auto"/>
                  <w:noWrap w:val="0"/>
                  <w:vAlign w:val="center"/>
                </w:tcPr>
                <w:p w14:paraId="524546EC">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7000</w:t>
                  </w:r>
                </w:p>
              </w:tc>
              <w:tc>
                <w:tcPr>
                  <w:tcW w:w="743" w:type="pct"/>
                  <w:tcBorders>
                    <w:tl2br w:val="nil"/>
                    <w:tr2bl w:val="nil"/>
                  </w:tcBorders>
                  <w:shd w:val="clear" w:color="auto" w:fill="auto"/>
                  <w:noWrap w:val="0"/>
                  <w:vAlign w:val="center"/>
                </w:tcPr>
                <w:p w14:paraId="48DBD990">
                  <w:pPr>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7000</w:t>
                  </w:r>
                </w:p>
              </w:tc>
            </w:tr>
            <w:tr w14:paraId="647C6D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51" w:type="pct"/>
                  <w:tcBorders>
                    <w:tl2br w:val="nil"/>
                    <w:tr2bl w:val="nil"/>
                  </w:tcBorders>
                  <w:noWrap w:val="0"/>
                  <w:vAlign w:val="center"/>
                </w:tcPr>
                <w:p w14:paraId="4BC72C5D">
                  <w:pPr>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6</w:t>
                  </w:r>
                </w:p>
              </w:tc>
              <w:tc>
                <w:tcPr>
                  <w:tcW w:w="1059" w:type="pct"/>
                  <w:tcBorders>
                    <w:tl2br w:val="nil"/>
                    <w:tr2bl w:val="nil"/>
                  </w:tcBorders>
                  <w:shd w:val="clear" w:color="auto" w:fill="auto"/>
                  <w:noWrap w:val="0"/>
                  <w:vAlign w:val="center"/>
                </w:tcPr>
                <w:p w14:paraId="6E6D90F6">
                  <w:pPr>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合计</w:t>
                  </w:r>
                </w:p>
              </w:tc>
              <w:tc>
                <w:tcPr>
                  <w:tcW w:w="615" w:type="pct"/>
                  <w:tcBorders>
                    <w:tl2br w:val="nil"/>
                    <w:tr2bl w:val="nil"/>
                  </w:tcBorders>
                  <w:shd w:val="clear" w:color="auto" w:fill="auto"/>
                  <w:noWrap w:val="0"/>
                  <w:vAlign w:val="center"/>
                </w:tcPr>
                <w:p w14:paraId="75212314">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27</w:t>
                  </w:r>
                </w:p>
              </w:tc>
              <w:tc>
                <w:tcPr>
                  <w:tcW w:w="743" w:type="pct"/>
                  <w:tcBorders>
                    <w:tl2br w:val="nil"/>
                    <w:tr2bl w:val="nil"/>
                  </w:tcBorders>
                  <w:shd w:val="clear" w:color="auto" w:fill="auto"/>
                  <w:noWrap w:val="0"/>
                  <w:vAlign w:val="center"/>
                </w:tcPr>
                <w:p w14:paraId="3B98762E">
                  <w:pPr>
                    <w:jc w:val="center"/>
                    <w:textAlignment w:val="center"/>
                    <w:rPr>
                      <w:rFonts w:hint="default" w:ascii="Times New Roman" w:hAnsi="Times New Roman" w:eastAsia="宋体" w:cs="Times New Roman"/>
                      <w:color w:val="auto"/>
                      <w:kern w:val="2"/>
                      <w:sz w:val="18"/>
                      <w:szCs w:val="18"/>
                      <w:highlight w:val="none"/>
                      <w:lang w:val="en-US" w:eastAsia="zh-CN" w:bidi="ar-SA"/>
                    </w:rPr>
                  </w:pPr>
                </w:p>
              </w:tc>
              <w:tc>
                <w:tcPr>
                  <w:tcW w:w="743" w:type="pct"/>
                  <w:tcBorders>
                    <w:tl2br w:val="nil"/>
                    <w:tr2bl w:val="nil"/>
                  </w:tcBorders>
                  <w:shd w:val="clear" w:color="auto" w:fill="auto"/>
                  <w:noWrap w:val="0"/>
                  <w:vAlign w:val="center"/>
                </w:tcPr>
                <w:p w14:paraId="31ECCBB7">
                  <w:pPr>
                    <w:jc w:val="center"/>
                    <w:textAlignment w:val="center"/>
                    <w:rPr>
                      <w:rFonts w:hint="default" w:ascii="Times New Roman" w:hAnsi="Times New Roman" w:eastAsia="宋体" w:cs="Times New Roman"/>
                      <w:color w:val="auto"/>
                      <w:kern w:val="2"/>
                      <w:sz w:val="18"/>
                      <w:szCs w:val="18"/>
                      <w:highlight w:val="none"/>
                      <w:lang w:val="en-US" w:eastAsia="zh-CN" w:bidi="ar-SA"/>
                    </w:rPr>
                  </w:pPr>
                </w:p>
              </w:tc>
              <w:tc>
                <w:tcPr>
                  <w:tcW w:w="743" w:type="pct"/>
                  <w:tcBorders>
                    <w:tl2br w:val="nil"/>
                    <w:tr2bl w:val="nil"/>
                  </w:tcBorders>
                  <w:shd w:val="clear" w:color="auto" w:fill="auto"/>
                  <w:noWrap w:val="0"/>
                  <w:vAlign w:val="center"/>
                </w:tcPr>
                <w:p w14:paraId="1DEB37EA">
                  <w:pPr>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7000</w:t>
                  </w:r>
                </w:p>
              </w:tc>
              <w:tc>
                <w:tcPr>
                  <w:tcW w:w="743" w:type="pct"/>
                  <w:tcBorders>
                    <w:tl2br w:val="nil"/>
                    <w:tr2bl w:val="nil"/>
                  </w:tcBorders>
                  <w:shd w:val="clear" w:color="auto" w:fill="auto"/>
                  <w:noWrap w:val="0"/>
                  <w:vAlign w:val="center"/>
                </w:tcPr>
                <w:p w14:paraId="2D83E4AC">
                  <w:pPr>
                    <w:jc w:val="center"/>
                    <w:textAlignment w:val="center"/>
                    <w:rPr>
                      <w:rFonts w:hint="default" w:ascii="Times New Roman" w:hAnsi="Times New Roman" w:eastAsia="宋体" w:cs="Times New Roman"/>
                      <w:color w:val="auto"/>
                      <w:kern w:val="2"/>
                      <w:sz w:val="18"/>
                      <w:szCs w:val="18"/>
                      <w:highlight w:val="none"/>
                      <w:lang w:eastAsia="zh-CN" w:bidi="ar-SA"/>
                    </w:rPr>
                  </w:pPr>
                  <w:r>
                    <w:rPr>
                      <w:rFonts w:hint="default" w:ascii="Times New Roman" w:hAnsi="Times New Roman" w:eastAsia="宋体" w:cs="Times New Roman"/>
                      <w:color w:val="auto"/>
                      <w:kern w:val="2"/>
                      <w:sz w:val="18"/>
                      <w:szCs w:val="18"/>
                      <w:highlight w:val="none"/>
                      <w:lang w:eastAsia="zh-CN" w:bidi="ar-SA"/>
                    </w:rPr>
                    <w:fldChar w:fldCharType="begin"/>
                  </w:r>
                  <w:r>
                    <w:rPr>
                      <w:rFonts w:hint="default" w:ascii="Times New Roman" w:hAnsi="Times New Roman" w:eastAsia="宋体" w:cs="Times New Roman"/>
                      <w:color w:val="auto"/>
                      <w:kern w:val="2"/>
                      <w:sz w:val="18"/>
                      <w:szCs w:val="18"/>
                      <w:highlight w:val="none"/>
                      <w:lang w:eastAsia="zh-CN" w:bidi="ar-SA"/>
                    </w:rPr>
                    <w:instrText xml:space="preserve"> =SUM(ABOVE) \* MERGEFORMAT </w:instrText>
                  </w:r>
                  <w:r>
                    <w:rPr>
                      <w:rFonts w:hint="default" w:ascii="Times New Roman" w:hAnsi="Times New Roman" w:eastAsia="宋体" w:cs="Times New Roman"/>
                      <w:color w:val="auto"/>
                      <w:kern w:val="2"/>
                      <w:sz w:val="18"/>
                      <w:szCs w:val="18"/>
                      <w:highlight w:val="none"/>
                      <w:lang w:eastAsia="zh-CN" w:bidi="ar-SA"/>
                    </w:rPr>
                    <w:fldChar w:fldCharType="separate"/>
                  </w:r>
                  <w:r>
                    <w:rPr>
                      <w:rFonts w:hint="default" w:ascii="Times New Roman" w:hAnsi="Times New Roman" w:eastAsia="宋体" w:cs="Times New Roman"/>
                      <w:color w:val="auto"/>
                      <w:kern w:val="2"/>
                      <w:sz w:val="18"/>
                      <w:szCs w:val="18"/>
                      <w:highlight w:val="none"/>
                      <w:lang w:eastAsia="zh-CN" w:bidi="ar-SA"/>
                    </w:rPr>
                    <w:t>189000</w:t>
                  </w:r>
                  <w:r>
                    <w:rPr>
                      <w:rFonts w:hint="default" w:ascii="Times New Roman" w:hAnsi="Times New Roman" w:eastAsia="宋体" w:cs="Times New Roman"/>
                      <w:color w:val="auto"/>
                      <w:kern w:val="2"/>
                      <w:sz w:val="18"/>
                      <w:szCs w:val="18"/>
                      <w:highlight w:val="none"/>
                      <w:lang w:eastAsia="zh-CN" w:bidi="ar-SA"/>
                    </w:rPr>
                    <w:fldChar w:fldCharType="end"/>
                  </w:r>
                </w:p>
              </w:tc>
            </w:tr>
          </w:tbl>
          <w:p w14:paraId="77126D3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eastAsia" w:cs="Times New Roman"/>
                <w:b w:val="0"/>
                <w:bCs/>
                <w:color w:val="auto"/>
                <w:sz w:val="21"/>
                <w:szCs w:val="21"/>
                <w:lang w:val="en-US" w:eastAsia="zh-CN"/>
              </w:rPr>
            </w:pPr>
            <w:r>
              <w:rPr>
                <w:rFonts w:hint="eastAsia" w:cs="Times New Roman"/>
                <w:b w:val="0"/>
                <w:bCs/>
                <w:color w:val="auto"/>
                <w:sz w:val="21"/>
                <w:szCs w:val="21"/>
                <w:lang w:val="en-US" w:eastAsia="zh-CN"/>
              </w:rPr>
              <w:t>由上表可知，本项目各工序最大蒸汽消耗量27t/h，其中2×15t/h电蒸汽锅炉供汽量25t/h，</w:t>
            </w:r>
            <w:r>
              <w:rPr>
                <w:rFonts w:hint="eastAsia" w:cs="Times New Roman"/>
                <w:color w:val="auto"/>
                <w:sz w:val="21"/>
                <w:szCs w:val="21"/>
                <w:highlight w:val="none"/>
                <w:lang w:val="en-US" w:eastAsia="zh-CN"/>
              </w:rPr>
              <w:t>余热锅炉</w:t>
            </w:r>
            <w:r>
              <w:rPr>
                <w:rFonts w:hint="eastAsia" w:cs="Times New Roman"/>
                <w:b w:val="0"/>
                <w:bCs/>
                <w:color w:val="auto"/>
                <w:sz w:val="21"/>
                <w:szCs w:val="21"/>
                <w:lang w:val="en-US" w:eastAsia="zh-CN"/>
              </w:rPr>
              <w:t>供汽量2t/h，可满足使用需求。</w:t>
            </w:r>
          </w:p>
          <w:p w14:paraId="5CE196E8">
            <w:pPr>
              <w:keepNext w:val="0"/>
              <w:keepLines w:val="0"/>
              <w:widowControl/>
              <w:suppressLineNumbers w:val="0"/>
              <w:jc w:val="center"/>
              <w:rPr>
                <w:rFonts w:ascii="宋体" w:hAnsi="宋体" w:eastAsia="宋体" w:cs="宋体"/>
                <w:color w:val="auto"/>
                <w:kern w:val="0"/>
                <w:sz w:val="24"/>
                <w:szCs w:val="24"/>
                <w:lang w:val="en-US" w:eastAsia="zh-CN" w:bidi="ar"/>
              </w:rPr>
            </w:pPr>
            <w:r>
              <w:rPr>
                <w:color w:val="auto"/>
              </w:rPr>
              <w:drawing>
                <wp:inline distT="0" distB="0" distL="114300" distR="114300">
                  <wp:extent cx="3811270" cy="2161540"/>
                  <wp:effectExtent l="0" t="0" r="17780" b="10160"/>
                  <wp:docPr id="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pic:cNvPicPr>
                            <a:picLocks noChangeAspect="1"/>
                          </pic:cNvPicPr>
                        </pic:nvPicPr>
                        <pic:blipFill>
                          <a:blip r:embed="rId16"/>
                          <a:stretch>
                            <a:fillRect/>
                          </a:stretch>
                        </pic:blipFill>
                        <pic:spPr>
                          <a:xfrm>
                            <a:off x="0" y="0"/>
                            <a:ext cx="3811270" cy="2161540"/>
                          </a:xfrm>
                          <a:prstGeom prst="rect">
                            <a:avLst/>
                          </a:prstGeom>
                          <a:noFill/>
                          <a:ln>
                            <a:noFill/>
                          </a:ln>
                        </pic:spPr>
                      </pic:pic>
                    </a:graphicData>
                  </a:graphic>
                </wp:inline>
              </w:drawing>
            </w:r>
          </w:p>
          <w:p w14:paraId="24FC38A6">
            <w:pPr>
              <w:keepNext w:val="0"/>
              <w:keepLines w:val="0"/>
              <w:pageBreakBefore w:val="0"/>
              <w:widowControl w:val="0"/>
              <w:suppressLineNumbers w:val="0"/>
              <w:kinsoku/>
              <w:wordWrap/>
              <w:overflowPunct/>
              <w:topLinePunct/>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黑体" w:cs="Times New Roman"/>
                <w:bCs/>
                <w:color w:val="auto"/>
                <w:spacing w:val="2"/>
                <w:sz w:val="21"/>
                <w:szCs w:val="21"/>
                <w:lang w:val="en-US" w:eastAsia="zh-CN"/>
              </w:rPr>
            </w:pPr>
            <w:r>
              <w:rPr>
                <w:rFonts w:hint="default" w:ascii="Times New Roman" w:hAnsi="Times New Roman" w:eastAsia="黑体" w:cs="Times New Roman"/>
                <w:bCs/>
                <w:color w:val="auto"/>
                <w:spacing w:val="2"/>
                <w:sz w:val="21"/>
                <w:szCs w:val="21"/>
                <w:lang w:val="en-US" w:eastAsia="zh-CN"/>
              </w:rPr>
              <w:t>图</w:t>
            </w:r>
            <w:r>
              <w:rPr>
                <w:rFonts w:hint="eastAsia" w:ascii="Times New Roman" w:hAnsi="Times New Roman" w:eastAsia="黑体" w:cs="Times New Roman"/>
                <w:bCs/>
                <w:color w:val="auto"/>
                <w:spacing w:val="2"/>
                <w:sz w:val="21"/>
                <w:szCs w:val="21"/>
                <w:lang w:val="en-US" w:eastAsia="zh-CN"/>
              </w:rPr>
              <w:t>2-</w:t>
            </w:r>
            <w:r>
              <w:rPr>
                <w:rFonts w:hint="eastAsia" w:eastAsia="黑体" w:cs="Times New Roman"/>
                <w:bCs/>
                <w:color w:val="auto"/>
                <w:spacing w:val="2"/>
                <w:sz w:val="21"/>
                <w:szCs w:val="21"/>
                <w:lang w:val="en-US" w:eastAsia="zh-CN"/>
              </w:rPr>
              <w:t xml:space="preserve">3  </w:t>
            </w:r>
            <w:r>
              <w:rPr>
                <w:rFonts w:hint="default" w:ascii="Times New Roman" w:hAnsi="Times New Roman" w:eastAsia="黑体" w:cs="Times New Roman"/>
                <w:bCs/>
                <w:color w:val="auto"/>
                <w:spacing w:val="2"/>
                <w:sz w:val="21"/>
                <w:szCs w:val="21"/>
                <w:lang w:val="en-US" w:eastAsia="zh-CN"/>
              </w:rPr>
              <w:t>项目</w:t>
            </w:r>
            <w:r>
              <w:rPr>
                <w:rFonts w:hint="eastAsia" w:ascii="Times New Roman" w:hAnsi="Times New Roman" w:eastAsia="黑体" w:cs="Times New Roman"/>
                <w:bCs/>
                <w:color w:val="auto"/>
                <w:spacing w:val="2"/>
                <w:sz w:val="21"/>
                <w:szCs w:val="21"/>
                <w:lang w:val="en-US" w:eastAsia="zh-CN"/>
              </w:rPr>
              <w:t>蒸汽</w:t>
            </w:r>
            <w:r>
              <w:rPr>
                <w:rFonts w:hint="default" w:ascii="Times New Roman" w:hAnsi="Times New Roman" w:eastAsia="黑体" w:cs="Times New Roman"/>
                <w:bCs/>
                <w:color w:val="auto"/>
                <w:spacing w:val="2"/>
                <w:sz w:val="21"/>
                <w:szCs w:val="21"/>
                <w:lang w:val="en-US" w:eastAsia="zh-CN"/>
              </w:rPr>
              <w:t>平衡图（</w:t>
            </w:r>
            <w:r>
              <w:rPr>
                <w:rFonts w:hint="eastAsia" w:ascii="Times New Roman" w:hAnsi="Times New Roman" w:eastAsia="黑体" w:cs="Times New Roman"/>
                <w:bCs/>
                <w:color w:val="auto"/>
                <w:spacing w:val="2"/>
                <w:sz w:val="21"/>
                <w:szCs w:val="21"/>
                <w:lang w:val="en-US" w:eastAsia="zh-CN"/>
              </w:rPr>
              <w:t>t</w:t>
            </w:r>
            <w:r>
              <w:rPr>
                <w:rFonts w:hint="default" w:ascii="Times New Roman" w:hAnsi="Times New Roman" w:eastAsia="黑体" w:cs="Times New Roman"/>
                <w:bCs/>
                <w:color w:val="auto"/>
                <w:spacing w:val="2"/>
                <w:sz w:val="21"/>
                <w:szCs w:val="21"/>
                <w:lang w:val="en-US" w:eastAsia="zh-CN"/>
              </w:rPr>
              <w:t>/</w:t>
            </w:r>
            <w:r>
              <w:rPr>
                <w:rFonts w:hint="eastAsia" w:ascii="Times New Roman" w:hAnsi="Times New Roman" w:eastAsia="黑体" w:cs="Times New Roman"/>
                <w:bCs/>
                <w:color w:val="auto"/>
                <w:spacing w:val="2"/>
                <w:sz w:val="21"/>
                <w:szCs w:val="21"/>
                <w:lang w:val="en-US" w:eastAsia="zh-CN"/>
              </w:rPr>
              <w:t>h</w:t>
            </w:r>
            <w:r>
              <w:rPr>
                <w:rFonts w:hint="default" w:ascii="Times New Roman" w:hAnsi="Times New Roman" w:eastAsia="黑体" w:cs="Times New Roman"/>
                <w:bCs/>
                <w:color w:val="auto"/>
                <w:spacing w:val="2"/>
                <w:sz w:val="21"/>
                <w:szCs w:val="21"/>
                <w:lang w:val="en-US" w:eastAsia="zh-CN"/>
              </w:rPr>
              <w:t>）</w:t>
            </w:r>
          </w:p>
          <w:p w14:paraId="37FD4B2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jc w:val="both"/>
              <w:textAlignment w:val="auto"/>
              <w:rPr>
                <w:rFonts w:hint="default" w:ascii="Times New Roman" w:hAnsi="Times New Roman" w:eastAsia="宋体" w:cs="Times New Roman"/>
                <w:bCs/>
                <w:color w:val="auto"/>
                <w:sz w:val="21"/>
                <w:szCs w:val="21"/>
                <w:lang w:val="en-US" w:eastAsia="zh-CN"/>
              </w:rPr>
            </w:pPr>
            <w:r>
              <w:rPr>
                <w:rFonts w:hint="eastAsia" w:cs="Times New Roman"/>
                <w:b/>
                <w:bCs w:val="0"/>
                <w:color w:val="auto"/>
                <w:sz w:val="21"/>
                <w:szCs w:val="21"/>
                <w:lang w:val="en-US" w:eastAsia="zh-CN"/>
              </w:rPr>
              <w:t>（7）劳动定员及工作制度</w:t>
            </w:r>
          </w:p>
          <w:p w14:paraId="1C0B350A">
            <w:pPr>
              <w:keepNext w:val="0"/>
              <w:keepLines w:val="0"/>
              <w:widowControl/>
              <w:suppressLineNumbers w:val="0"/>
              <w:spacing w:before="0" w:beforeAutospacing="0" w:after="0" w:afterAutospacing="0" w:line="360" w:lineRule="auto"/>
              <w:ind w:left="0" w:right="0" w:firstLine="420" w:firstLineChars="20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highlight w:val="none"/>
                <w:lang w:val="en-US" w:eastAsia="zh-CN"/>
              </w:rPr>
              <w:t>本项目</w:t>
            </w:r>
            <w:r>
              <w:rPr>
                <w:rFonts w:hint="eastAsia" w:cs="Times New Roman"/>
                <w:color w:val="auto"/>
                <w:sz w:val="21"/>
                <w:szCs w:val="21"/>
                <w:highlight w:val="none"/>
                <w:lang w:val="en-US" w:eastAsia="zh-CN"/>
              </w:rPr>
              <w:t>新增</w:t>
            </w:r>
            <w:r>
              <w:rPr>
                <w:rFonts w:hint="eastAsia" w:ascii="Times New Roman" w:hAnsi="Times New Roman" w:eastAsia="宋体" w:cs="Times New Roman"/>
                <w:color w:val="auto"/>
                <w:sz w:val="21"/>
                <w:szCs w:val="21"/>
                <w:highlight w:val="none"/>
                <w:lang w:val="en-US" w:eastAsia="zh-CN"/>
              </w:rPr>
              <w:t>劳动定员</w:t>
            </w:r>
            <w:r>
              <w:rPr>
                <w:rFonts w:hint="eastAsia" w:cs="Times New Roman"/>
                <w:color w:val="auto"/>
                <w:sz w:val="21"/>
                <w:szCs w:val="21"/>
                <w:highlight w:val="none"/>
                <w:lang w:val="en-US" w:eastAsia="zh-CN"/>
              </w:rPr>
              <w:t>215人。</w:t>
            </w:r>
            <w:r>
              <w:rPr>
                <w:rFonts w:hint="eastAsia" w:ascii="Times New Roman" w:hAnsi="Times New Roman" w:eastAsia="宋体" w:cs="Times New Roman"/>
                <w:color w:val="auto"/>
                <w:sz w:val="21"/>
                <w:szCs w:val="21"/>
                <w:highlight w:val="none"/>
                <w:lang w:val="en-US" w:eastAsia="zh-CN"/>
              </w:rPr>
              <w:t>项目各生产机组均为三班连续工作制。由于各机组的特点和设备复杂程度不同，其年修、定修时间及年工作小时有所不同。</w:t>
            </w:r>
            <w:r>
              <w:rPr>
                <w:rFonts w:hint="eastAsia" w:cs="Times New Roman"/>
                <w:color w:val="auto"/>
                <w:sz w:val="21"/>
                <w:szCs w:val="21"/>
                <w:highlight w:val="none"/>
                <w:lang w:val="en-US" w:eastAsia="zh-CN"/>
              </w:rPr>
              <w:t>本次年工作时间统一按照7000h计算。</w:t>
            </w:r>
          </w:p>
        </w:tc>
      </w:tr>
      <w:tr w14:paraId="046D7F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34" w:type="dxa"/>
            <w:noWrap w:val="0"/>
            <w:vAlign w:val="center"/>
          </w:tcPr>
          <w:p w14:paraId="5FAB5BC9">
            <w:pPr>
              <w:pStyle w:val="29"/>
              <w:adjustRightInd w:val="0"/>
              <w:snapToGrid w:val="0"/>
              <w:spacing w:before="0" w:beforeAutospacing="0" w:after="0" w:afterAutospacing="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工艺流程和产排污环节</w:t>
            </w:r>
          </w:p>
        </w:tc>
        <w:tc>
          <w:tcPr>
            <w:tcW w:w="8626" w:type="dxa"/>
            <w:noWrap w:val="0"/>
            <w:vAlign w:val="top"/>
          </w:tcPr>
          <w:p w14:paraId="44F12C92">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360" w:lineRule="auto"/>
              <w:jc w:val="both"/>
              <w:textAlignment w:val="auto"/>
              <w:rPr>
                <w:rFonts w:hint="eastAsia" w:cs="Times New Roman"/>
                <w:b/>
                <w:bCs w:val="0"/>
                <w:color w:val="auto"/>
                <w:sz w:val="21"/>
                <w:szCs w:val="21"/>
                <w:lang w:val="en-US" w:eastAsia="zh-CN"/>
              </w:rPr>
            </w:pPr>
            <w:r>
              <w:rPr>
                <w:rFonts w:hint="eastAsia" w:cs="Times New Roman"/>
                <w:b/>
                <w:bCs w:val="0"/>
                <w:color w:val="auto"/>
                <w:sz w:val="21"/>
                <w:szCs w:val="21"/>
                <w:lang w:val="en-US" w:eastAsia="zh-CN"/>
              </w:rPr>
              <w:t>一、施工期工艺流程和产排污环节</w:t>
            </w:r>
          </w:p>
          <w:p w14:paraId="66CC70BC">
            <w:pPr>
              <w:keepNext w:val="0"/>
              <w:keepLines w:val="0"/>
              <w:widowControl/>
              <w:suppressLineNumbers w:val="0"/>
              <w:spacing w:before="0" w:beforeAutospacing="0" w:after="0" w:afterAutospacing="0" w:line="360" w:lineRule="auto"/>
              <w:ind w:left="0" w:right="0" w:firstLine="420" w:firstLineChars="20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拟建项目施工期工艺流程如下：</w:t>
            </w:r>
          </w:p>
          <w:p w14:paraId="680E6C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object>
                <v:shape id="_x0000_i1026" o:spt="75" type="#_x0000_t75" style="height:119.45pt;width:298.45pt;" o:ole="t" filled="f" o:preferrelative="t" stroked="f" coordsize="21600,21600">
                  <v:path/>
                  <v:fill on="f" focussize="0,0"/>
                  <v:stroke on="f"/>
                  <v:imagedata r:id="rId18" o:title=""/>
                  <o:lock v:ext="edit" aspectratio="f"/>
                  <w10:wrap type="none"/>
                  <w10:anchorlock/>
                </v:shape>
                <o:OLEObject Type="Embed" ProgID="Visio.Drawing.11" ShapeID="_x0000_i1026" DrawAspect="Content" ObjectID="_1468075726" r:id="rId17">
                  <o:LockedField>false</o:LockedField>
                </o:OLEObject>
              </w:object>
            </w:r>
          </w:p>
          <w:p w14:paraId="008321F9">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snapToGrid w:val="0"/>
                <w:color w:val="auto"/>
                <w:szCs w:val="28"/>
                <w:highlight w:val="none"/>
                <w:lang w:val="en-US" w:eastAsia="zh-CN"/>
              </w:rPr>
            </w:pPr>
            <w:r>
              <w:rPr>
                <w:rFonts w:hint="eastAsia" w:cs="Times New Roman"/>
                <w:snapToGrid w:val="0"/>
                <w:color w:val="auto"/>
                <w:szCs w:val="28"/>
                <w:highlight w:val="none"/>
                <w:lang w:val="en-US" w:eastAsia="zh-CN"/>
              </w:rPr>
              <w:t>本项目施工期包括</w:t>
            </w:r>
            <w:r>
              <w:rPr>
                <w:rFonts w:hint="default" w:ascii="Times New Roman" w:hAnsi="Times New Roman" w:eastAsia="宋体" w:cs="Times New Roman"/>
                <w:snapToGrid w:val="0"/>
                <w:color w:val="auto"/>
                <w:szCs w:val="28"/>
                <w:highlight w:val="none"/>
                <w:lang w:val="en-US" w:eastAsia="zh-CN"/>
              </w:rPr>
              <w:t>基础工程、主体工程、装饰工程、设备安装等</w:t>
            </w:r>
            <w:r>
              <w:rPr>
                <w:rFonts w:hint="eastAsia" w:cs="Times New Roman"/>
                <w:snapToGrid w:val="0"/>
                <w:color w:val="auto"/>
                <w:szCs w:val="28"/>
                <w:highlight w:val="none"/>
                <w:lang w:val="en-US" w:eastAsia="zh-CN"/>
              </w:rPr>
              <w:t>，主要污染物产生情况如下：</w:t>
            </w:r>
          </w:p>
          <w:p w14:paraId="72B23DED">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snapToGrid w:val="0"/>
                <w:color w:val="auto"/>
                <w:szCs w:val="28"/>
                <w:highlight w:val="none"/>
                <w:lang w:val="en-US" w:eastAsia="zh-CN"/>
              </w:rPr>
            </w:pPr>
            <w:r>
              <w:rPr>
                <w:rFonts w:hint="eastAsia" w:ascii="Times New Roman" w:hAnsi="Times New Roman" w:eastAsia="宋体" w:cs="Times New Roman"/>
                <w:snapToGrid w:val="0"/>
                <w:color w:val="auto"/>
                <w:szCs w:val="28"/>
                <w:highlight w:val="none"/>
                <w:lang w:val="en-US" w:eastAsia="zh-CN"/>
              </w:rPr>
              <w:t>1、</w:t>
            </w:r>
            <w:r>
              <w:rPr>
                <w:rFonts w:hint="default" w:ascii="Times New Roman" w:hAnsi="Times New Roman" w:eastAsia="宋体" w:cs="Times New Roman"/>
                <w:snapToGrid w:val="0"/>
                <w:color w:val="auto"/>
                <w:szCs w:val="28"/>
                <w:highlight w:val="none"/>
                <w:lang w:val="en-US" w:eastAsia="zh-CN"/>
              </w:rPr>
              <w:t>施工期废气</w:t>
            </w:r>
          </w:p>
          <w:p w14:paraId="651F3A3E">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snapToGrid w:val="0"/>
                <w:color w:val="auto"/>
                <w:szCs w:val="28"/>
                <w:highlight w:val="none"/>
                <w:lang w:val="en-US" w:eastAsia="zh-CN"/>
              </w:rPr>
            </w:pPr>
            <w:r>
              <w:rPr>
                <w:rFonts w:hint="default" w:ascii="Times New Roman" w:hAnsi="Times New Roman" w:eastAsia="宋体" w:cs="Times New Roman"/>
                <w:snapToGrid w:val="0"/>
                <w:color w:val="auto"/>
                <w:szCs w:val="28"/>
                <w:highlight w:val="none"/>
                <w:lang w:val="en-US" w:eastAsia="zh-CN"/>
              </w:rPr>
              <w:t>施工期废气主要为施工扬尘和施工车辆的尾气</w:t>
            </w:r>
            <w:r>
              <w:rPr>
                <w:rFonts w:hint="eastAsia" w:ascii="Times New Roman" w:hAnsi="Times New Roman" w:eastAsia="宋体" w:cs="Times New Roman"/>
                <w:snapToGrid w:val="0"/>
                <w:color w:val="auto"/>
                <w:szCs w:val="28"/>
                <w:highlight w:val="none"/>
                <w:lang w:val="en-US" w:eastAsia="zh-CN"/>
              </w:rPr>
              <w:t>。</w:t>
            </w:r>
          </w:p>
          <w:p w14:paraId="7E509F75">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snapToGrid w:val="0"/>
                <w:color w:val="auto"/>
                <w:szCs w:val="28"/>
                <w:highlight w:val="none"/>
                <w:lang w:val="en-US" w:eastAsia="zh-CN"/>
              </w:rPr>
            </w:pPr>
            <w:r>
              <w:rPr>
                <w:rFonts w:hint="default" w:ascii="Times New Roman" w:hAnsi="Times New Roman" w:eastAsia="宋体" w:cs="Times New Roman"/>
                <w:snapToGrid w:val="0"/>
                <w:color w:val="auto"/>
                <w:szCs w:val="28"/>
                <w:highlight w:val="none"/>
                <w:lang w:val="en-US" w:eastAsia="zh-CN"/>
              </w:rPr>
              <w:t>2、施工期废水</w:t>
            </w:r>
          </w:p>
          <w:p w14:paraId="1F7BF2C6">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snapToGrid w:val="0"/>
                <w:color w:val="auto"/>
                <w:szCs w:val="28"/>
                <w:highlight w:val="none"/>
                <w:lang w:val="en-US" w:eastAsia="zh-CN"/>
              </w:rPr>
            </w:pPr>
            <w:r>
              <w:rPr>
                <w:rFonts w:hint="default" w:ascii="Times New Roman" w:hAnsi="Times New Roman" w:eastAsia="宋体" w:cs="Times New Roman"/>
                <w:snapToGrid w:val="0"/>
                <w:color w:val="auto"/>
                <w:szCs w:val="28"/>
                <w:highlight w:val="none"/>
                <w:lang w:val="en-US" w:eastAsia="zh-CN"/>
              </w:rPr>
              <w:t>废水为施工生产废水和施工人员产生的生活污水。生产废水主要来源于砂石料系统冲洗水、施工机械设备冲洗水、混凝土搅拌、浇注和养护用水</w:t>
            </w:r>
            <w:r>
              <w:rPr>
                <w:rFonts w:hint="eastAsia" w:ascii="Times New Roman" w:hAnsi="Times New Roman" w:eastAsia="宋体" w:cs="Times New Roman"/>
                <w:snapToGrid w:val="0"/>
                <w:color w:val="auto"/>
                <w:szCs w:val="28"/>
                <w:highlight w:val="none"/>
                <w:lang w:val="en-US" w:eastAsia="zh-CN"/>
              </w:rPr>
              <w:t>。</w:t>
            </w:r>
          </w:p>
          <w:p w14:paraId="41E3A009">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snapToGrid w:val="0"/>
                <w:color w:val="auto"/>
                <w:szCs w:val="28"/>
                <w:highlight w:val="none"/>
                <w:lang w:val="en-US" w:eastAsia="zh-CN"/>
              </w:rPr>
            </w:pPr>
            <w:r>
              <w:rPr>
                <w:rFonts w:hint="default" w:ascii="Times New Roman" w:hAnsi="Times New Roman" w:eastAsia="宋体" w:cs="Times New Roman"/>
                <w:snapToGrid w:val="0"/>
                <w:color w:val="auto"/>
                <w:szCs w:val="28"/>
                <w:highlight w:val="none"/>
                <w:lang w:val="en-US" w:eastAsia="zh-CN"/>
              </w:rPr>
              <w:t>3、施工期噪声</w:t>
            </w:r>
          </w:p>
          <w:p w14:paraId="0D7F3AFE">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snapToGrid w:val="0"/>
                <w:color w:val="auto"/>
                <w:szCs w:val="28"/>
                <w:highlight w:val="none"/>
                <w:lang w:val="en-US" w:eastAsia="zh-CN"/>
              </w:rPr>
            </w:pPr>
            <w:r>
              <w:rPr>
                <w:rFonts w:hint="default" w:ascii="Times New Roman" w:hAnsi="Times New Roman" w:eastAsia="宋体" w:cs="Times New Roman"/>
                <w:snapToGrid w:val="0"/>
                <w:color w:val="auto"/>
                <w:szCs w:val="28"/>
                <w:highlight w:val="none"/>
                <w:lang w:val="en-US" w:eastAsia="zh-CN"/>
              </w:rPr>
              <w:t>不同施工阶段(土石方、打桩、结构、装修)，推土机、挖土机、各种打桩机、混凝土搅拌机等各种机械设备及运输材料的车辆产生的噪声，将对周围环境造成一定影响。</w:t>
            </w:r>
          </w:p>
          <w:p w14:paraId="57A0863B">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snapToGrid w:val="0"/>
                <w:color w:val="auto"/>
                <w:szCs w:val="28"/>
                <w:highlight w:val="none"/>
                <w:lang w:val="en-US" w:eastAsia="zh-CN"/>
              </w:rPr>
            </w:pPr>
            <w:r>
              <w:rPr>
                <w:rFonts w:hint="default" w:ascii="Times New Roman" w:hAnsi="Times New Roman" w:eastAsia="宋体" w:cs="Times New Roman"/>
                <w:snapToGrid w:val="0"/>
                <w:color w:val="auto"/>
                <w:szCs w:val="28"/>
                <w:highlight w:val="none"/>
                <w:lang w:val="en-US" w:eastAsia="zh-CN"/>
              </w:rPr>
              <w:t>4、施工期固体废物</w:t>
            </w:r>
          </w:p>
          <w:p w14:paraId="46FD2CEE">
            <w:pPr>
              <w:keepNext w:val="0"/>
              <w:keepLines w:val="0"/>
              <w:pageBreakBefore w:val="0"/>
              <w:widowControl w:val="0"/>
              <w:kinsoku/>
              <w:wordWrap/>
              <w:overflowPunct/>
              <w:topLinePunct w:val="0"/>
              <w:autoSpaceDE/>
              <w:autoSpaceDN/>
              <w:bidi w:val="0"/>
              <w:adjustRightInd w:val="0"/>
              <w:snapToGrid/>
              <w:spacing w:line="360" w:lineRule="auto"/>
              <w:ind w:firstLine="420" w:firstLineChars="200"/>
              <w:textAlignment w:val="auto"/>
              <w:rPr>
                <w:rFonts w:hint="default" w:ascii="Times New Roman" w:hAnsi="Times New Roman" w:eastAsia="宋体" w:cs="Times New Roman"/>
                <w:snapToGrid w:val="0"/>
                <w:color w:val="auto"/>
                <w:szCs w:val="28"/>
                <w:highlight w:val="none"/>
                <w:lang w:val="en-US" w:eastAsia="zh-CN"/>
              </w:rPr>
            </w:pPr>
            <w:r>
              <w:rPr>
                <w:rFonts w:hint="default" w:ascii="Times New Roman" w:hAnsi="Times New Roman" w:eastAsia="宋体" w:cs="Times New Roman"/>
                <w:snapToGrid w:val="0"/>
                <w:color w:val="auto"/>
                <w:szCs w:val="28"/>
                <w:highlight w:val="none"/>
                <w:lang w:val="en-US" w:eastAsia="zh-CN"/>
              </w:rPr>
              <w:t>本项目施工期主要固废为施工</w:t>
            </w:r>
            <w:r>
              <w:rPr>
                <w:rFonts w:hint="eastAsia" w:cs="Times New Roman"/>
                <w:snapToGrid w:val="0"/>
                <w:color w:val="auto"/>
                <w:szCs w:val="28"/>
                <w:highlight w:val="none"/>
                <w:lang w:val="en-US" w:eastAsia="zh-CN"/>
              </w:rPr>
              <w:t>建筑</w:t>
            </w:r>
            <w:r>
              <w:rPr>
                <w:rFonts w:hint="default" w:ascii="Times New Roman" w:hAnsi="Times New Roman" w:eastAsia="宋体" w:cs="Times New Roman"/>
                <w:snapToGrid w:val="0"/>
                <w:color w:val="auto"/>
                <w:szCs w:val="28"/>
                <w:highlight w:val="none"/>
                <w:lang w:val="en-US" w:eastAsia="zh-CN"/>
              </w:rPr>
              <w:t>垃圾、弃土石方以及施工人员生活垃圾</w:t>
            </w:r>
            <w:r>
              <w:rPr>
                <w:rFonts w:hint="eastAsia" w:ascii="Times New Roman" w:hAnsi="Times New Roman" w:eastAsia="宋体" w:cs="Times New Roman"/>
                <w:snapToGrid w:val="0"/>
                <w:color w:val="auto"/>
                <w:szCs w:val="28"/>
                <w:highlight w:val="none"/>
                <w:lang w:val="en-US" w:eastAsia="zh-CN"/>
              </w:rPr>
              <w:t>。</w:t>
            </w:r>
          </w:p>
          <w:p w14:paraId="401DF011">
            <w:pPr>
              <w:keepNext w:val="0"/>
              <w:keepLines w:val="0"/>
              <w:pageBreakBefore w:val="0"/>
              <w:widowControl w:val="0"/>
              <w:kinsoku/>
              <w:wordWrap/>
              <w:overflowPunct/>
              <w:topLinePunct w:val="0"/>
              <w:autoSpaceDE/>
              <w:autoSpaceDN/>
              <w:bidi w:val="0"/>
              <w:adjustRightInd w:val="0"/>
              <w:snapToGrid w:val="0"/>
              <w:spacing w:line="360" w:lineRule="auto"/>
              <w:contextualSpacing/>
              <w:jc w:val="both"/>
              <w:textAlignment w:val="auto"/>
              <w:rPr>
                <w:rFonts w:hint="eastAsia" w:cs="Times New Roman"/>
                <w:b/>
                <w:bCs w:val="0"/>
                <w:color w:val="auto"/>
                <w:sz w:val="21"/>
                <w:szCs w:val="21"/>
                <w:lang w:val="en-US" w:eastAsia="zh-CN"/>
              </w:rPr>
            </w:pPr>
            <w:r>
              <w:rPr>
                <w:rFonts w:hint="eastAsia" w:cs="Times New Roman"/>
                <w:b/>
                <w:bCs w:val="0"/>
                <w:color w:val="auto"/>
                <w:sz w:val="21"/>
                <w:szCs w:val="21"/>
                <w:lang w:val="en-US" w:eastAsia="zh-CN"/>
              </w:rPr>
              <w:t>二、运营期工艺流程和产污环节</w:t>
            </w:r>
          </w:p>
          <w:p w14:paraId="2D942AA5">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snapToGrid w:val="0"/>
                <w:color w:val="auto"/>
                <w:szCs w:val="28"/>
                <w:highlight w:val="none"/>
                <w:lang w:val="en-US" w:eastAsia="zh-CN"/>
              </w:rPr>
            </w:pPr>
            <w:r>
              <w:rPr>
                <w:rFonts w:hint="eastAsia" w:cs="Times New Roman"/>
                <w:snapToGrid w:val="0"/>
                <w:color w:val="auto"/>
                <w:szCs w:val="28"/>
                <w:highlight w:val="none"/>
                <w:lang w:val="en-US" w:eastAsia="zh-CN"/>
              </w:rPr>
              <w:t>1、HiB高磁感取向硅钢工艺流程及产污环节</w:t>
            </w:r>
          </w:p>
          <w:p w14:paraId="2C9A3388">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cs="Times New Roman"/>
                <w:color w:val="auto"/>
                <w:szCs w:val="28"/>
                <w:highlight w:val="none"/>
                <w:lang w:val="en-US" w:eastAsia="zh-CN"/>
              </w:rPr>
            </w:pPr>
            <w:bookmarkStart w:id="4" w:name="_Toc227990194"/>
            <w:r>
              <w:rPr>
                <w:rFonts w:hint="eastAsia" w:cs="Times New Roman"/>
                <w:color w:val="auto"/>
                <w:szCs w:val="28"/>
                <w:highlight w:val="none"/>
                <w:lang w:val="en-US" w:eastAsia="zh-CN"/>
              </w:rPr>
              <w:t>外购</w:t>
            </w:r>
            <w:r>
              <w:rPr>
                <w:rFonts w:hint="eastAsia" w:cs="Times New Roman"/>
                <w:color w:val="auto"/>
                <w:szCs w:val="28"/>
                <w:highlight w:val="none"/>
                <w:lang w:eastAsia="zh-CN"/>
              </w:rPr>
              <w:t>合格的热轧硅钢卷通过天车进入常化酸洗机组进行常化退火、抛丸、酸洗处理，处理完的钢卷进入二十辊机组进行多道次往复轧制，轧制到最终成品厚度。轧后钢卷经脱碳渗氮机组进行脱碳退火工艺处理，再对钢卷进行MgO涂层处理，为进入下一道工序罩式退火炉做好准备。随后钢卷进入高温罩式炉进行高温退火。经高温退火后，钢卷进入热拉伸平整机组，清洗掉表面</w:t>
            </w:r>
            <w:r>
              <w:rPr>
                <w:rFonts w:hint="eastAsia" w:cs="Times New Roman"/>
                <w:color w:val="auto"/>
                <w:szCs w:val="28"/>
                <w:highlight w:val="none"/>
                <w:lang w:val="en-US" w:eastAsia="zh-CN"/>
              </w:rPr>
              <w:t>残留</w:t>
            </w:r>
            <w:r>
              <w:rPr>
                <w:rFonts w:hint="eastAsia" w:cs="Times New Roman"/>
                <w:color w:val="auto"/>
                <w:szCs w:val="28"/>
                <w:highlight w:val="none"/>
                <w:lang w:eastAsia="zh-CN"/>
              </w:rPr>
              <w:t>Mg</w:t>
            </w:r>
            <w:r>
              <w:rPr>
                <w:rFonts w:hint="eastAsia" w:cs="Times New Roman"/>
                <w:color w:val="auto"/>
                <w:szCs w:val="28"/>
                <w:highlight w:val="none"/>
                <w:lang w:val="en-US" w:eastAsia="zh-CN"/>
              </w:rPr>
              <w:t>O</w:t>
            </w:r>
            <w:r>
              <w:rPr>
                <w:rFonts w:hint="eastAsia" w:cs="Times New Roman"/>
                <w:color w:val="auto"/>
                <w:szCs w:val="28"/>
                <w:highlight w:val="none"/>
                <w:lang w:eastAsia="zh-CN"/>
              </w:rPr>
              <w:t>涂层后，对钢卷进行热拉伸平整处理。随后经过在线激光刻痕后卷取下线。之后钢卷经重卷剪切机组进行成品分切，再经包装机组打捆包装后，成品入库等待外运。</w:t>
            </w:r>
            <w:r>
              <w:rPr>
                <w:rFonts w:hint="eastAsia" w:cs="Times New Roman"/>
                <w:color w:val="auto"/>
                <w:szCs w:val="28"/>
                <w:highlight w:val="none"/>
                <w:lang w:val="en-US" w:eastAsia="zh-CN"/>
              </w:rPr>
              <w:t>各工段详细工艺流程如下：</w:t>
            </w:r>
          </w:p>
          <w:bookmarkEnd w:id="4"/>
          <w:p w14:paraId="6EF1DD51">
            <w:pPr>
              <w:keepNext w:val="0"/>
              <w:keepLines w:val="0"/>
              <w:pageBreakBefore w:val="0"/>
              <w:kinsoku/>
              <w:wordWrap/>
              <w:overflowPunct/>
              <w:topLinePunct w:val="0"/>
              <w:autoSpaceDE/>
              <w:autoSpaceDN/>
              <w:bidi w:val="0"/>
              <w:adjustRightInd w:val="0"/>
              <w:snapToGrid w:val="0"/>
              <w:spacing w:line="360" w:lineRule="auto"/>
              <w:ind w:firstLine="422" w:firstLineChars="200"/>
              <w:textAlignment w:val="auto"/>
              <w:rPr>
                <w:rFonts w:hint="default" w:ascii="Times New Roman" w:hAnsi="Times New Roman" w:cs="Times New Roman"/>
                <w:b/>
                <w:bCs/>
                <w:i w:val="0"/>
                <w:iCs w:val="0"/>
                <w:color w:val="auto"/>
                <w:szCs w:val="28"/>
                <w:highlight w:val="none"/>
                <w:lang w:val="en-US" w:eastAsia="zh-CN"/>
              </w:rPr>
            </w:pPr>
            <w:r>
              <w:rPr>
                <w:rFonts w:hint="eastAsia" w:cs="Times New Roman"/>
                <w:b/>
                <w:bCs/>
                <w:i w:val="0"/>
                <w:iCs w:val="0"/>
                <w:color w:val="auto"/>
                <w:szCs w:val="28"/>
                <w:highlight w:val="none"/>
                <w:lang w:val="en-US" w:eastAsia="zh-CN"/>
              </w:rPr>
              <w:t>（1）常化酸洗</w:t>
            </w:r>
          </w:p>
          <w:p w14:paraId="3B0579A8">
            <w:pPr>
              <w:keepNext w:val="0"/>
              <w:keepLines w:val="0"/>
              <w:pageBreakBefore w:val="0"/>
              <w:widowControl/>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Cs w:val="28"/>
                <w:highlight w:val="none"/>
                <w:lang w:val="en-US" w:eastAsia="zh-CN"/>
              </w:rPr>
            </w:pPr>
            <w:r>
              <w:rPr>
                <w:rFonts w:hint="default" w:ascii="Times New Roman" w:hAnsi="Times New Roman" w:cs="Times New Roman"/>
                <w:color w:val="auto"/>
                <w:szCs w:val="28"/>
                <w:highlight w:val="none"/>
                <w:lang w:eastAsia="zh-CN"/>
              </w:rPr>
              <w:t>常化酸洗机组</w:t>
            </w:r>
            <w:r>
              <w:rPr>
                <w:rFonts w:hint="eastAsia" w:cs="Times New Roman"/>
                <w:b w:val="0"/>
                <w:bCs w:val="0"/>
                <w:i w:val="0"/>
                <w:iCs w:val="0"/>
                <w:color w:val="auto"/>
                <w:szCs w:val="28"/>
                <w:highlight w:val="none"/>
                <w:lang w:val="en-US" w:eastAsia="zh-CN"/>
              </w:rPr>
              <w:t>（APL）</w:t>
            </w:r>
            <w:r>
              <w:rPr>
                <w:rFonts w:hint="default" w:ascii="Times New Roman" w:hAnsi="Times New Roman" w:cs="Times New Roman"/>
                <w:color w:val="auto"/>
                <w:szCs w:val="28"/>
                <w:highlight w:val="none"/>
                <w:lang w:eastAsia="zh-CN"/>
              </w:rPr>
              <w:t>用于</w:t>
            </w:r>
            <w:r>
              <w:rPr>
                <w:rFonts w:hint="eastAsia" w:cs="Times New Roman"/>
                <w:color w:val="auto"/>
                <w:szCs w:val="28"/>
                <w:highlight w:val="none"/>
                <w:lang w:val="en-US" w:eastAsia="zh-CN"/>
              </w:rPr>
              <w:t>高磁感</w:t>
            </w:r>
            <w:r>
              <w:rPr>
                <w:rFonts w:hint="default" w:ascii="Times New Roman" w:hAnsi="Times New Roman" w:cs="Times New Roman"/>
                <w:color w:val="auto"/>
                <w:szCs w:val="28"/>
                <w:highlight w:val="none"/>
                <w:lang w:eastAsia="zh-CN"/>
              </w:rPr>
              <w:t>取向硅钢的常化退火</w:t>
            </w:r>
            <w:r>
              <w:rPr>
                <w:rFonts w:hint="eastAsia" w:cs="Times New Roman"/>
                <w:color w:val="auto"/>
                <w:szCs w:val="28"/>
                <w:highlight w:val="none"/>
                <w:lang w:eastAsia="zh-CN"/>
              </w:rPr>
              <w:t>、</w:t>
            </w:r>
            <w:r>
              <w:rPr>
                <w:rFonts w:hint="eastAsia" w:cs="Times New Roman"/>
                <w:color w:val="auto"/>
                <w:szCs w:val="28"/>
                <w:highlight w:val="none"/>
                <w:lang w:val="en-US" w:eastAsia="zh-CN"/>
              </w:rPr>
              <w:t>抛丸</w:t>
            </w:r>
            <w:r>
              <w:rPr>
                <w:rFonts w:hint="default" w:ascii="Times New Roman" w:hAnsi="Times New Roman" w:cs="Times New Roman"/>
                <w:color w:val="auto"/>
                <w:szCs w:val="28"/>
                <w:highlight w:val="none"/>
                <w:lang w:eastAsia="zh-CN"/>
              </w:rPr>
              <w:t>和酸洗，为后续冷轧机组提供合格的原料卷。</w:t>
            </w:r>
            <w:r>
              <w:rPr>
                <w:rFonts w:hint="eastAsia" w:cs="Times New Roman"/>
                <w:color w:val="auto"/>
                <w:szCs w:val="28"/>
                <w:highlight w:val="none"/>
                <w:lang w:val="en-US" w:eastAsia="zh-CN"/>
              </w:rPr>
              <w:t>该机组包括开卷机、焊机、圆盘剪、入口活套、退火炉、抛丸机、酸洗段、出口活套、卷取机等设备。</w:t>
            </w:r>
          </w:p>
          <w:p w14:paraId="6693605B">
            <w:pPr>
              <w:keepNext w:val="0"/>
              <w:keepLines w:val="0"/>
              <w:pageBreakBefore w:val="0"/>
              <w:widowControl/>
              <w:kinsoku/>
              <w:wordWrap/>
              <w:overflowPunct/>
              <w:topLinePunct w:val="0"/>
              <w:autoSpaceDE/>
              <w:autoSpaceDN/>
              <w:bidi w:val="0"/>
              <w:adjustRightInd w:val="0"/>
              <w:snapToGrid w:val="0"/>
              <w:spacing w:line="360" w:lineRule="auto"/>
              <w:ind w:firstLine="422" w:firstLineChars="200"/>
              <w:textAlignment w:val="auto"/>
              <w:rPr>
                <w:rFonts w:hint="eastAsia" w:cs="Times New Roman"/>
                <w:color w:val="auto"/>
                <w:szCs w:val="28"/>
                <w:highlight w:val="none"/>
                <w:lang w:eastAsia="zh-CN"/>
              </w:rPr>
            </w:pPr>
            <w:r>
              <w:rPr>
                <w:rFonts w:hint="eastAsia" w:cs="Times New Roman"/>
                <w:b/>
                <w:bCs/>
                <w:color w:val="auto"/>
                <w:szCs w:val="28"/>
                <w:highlight w:val="none"/>
                <w:lang w:val="en-US" w:eastAsia="zh-CN"/>
              </w:rPr>
              <w:t>退火：</w:t>
            </w:r>
            <w:r>
              <w:rPr>
                <w:rFonts w:hint="eastAsia" w:ascii="Times New Roman" w:hAnsi="Times New Roman" w:cs="Times New Roman"/>
                <w:color w:val="auto"/>
                <w:szCs w:val="28"/>
                <w:highlight w:val="none"/>
                <w:lang w:val="en-US" w:eastAsia="zh-CN"/>
              </w:rPr>
              <w:t>外购的热轧卷采用行车放置开卷机的钢卷鞍座上，钢卷拆带后套入到开卷机的卷筒上。开卷后的带头经矫直后，在入口剪处切除不合格部分，与前一卷带钢尾部在</w:t>
            </w:r>
            <w:r>
              <w:rPr>
                <w:rFonts w:hint="eastAsia" w:cs="Times New Roman"/>
                <w:color w:val="auto"/>
                <w:szCs w:val="28"/>
                <w:highlight w:val="none"/>
                <w:lang w:val="en-US" w:eastAsia="zh-CN"/>
              </w:rPr>
              <w:t>激光</w:t>
            </w:r>
            <w:r>
              <w:rPr>
                <w:rFonts w:hint="eastAsia" w:ascii="Times New Roman" w:hAnsi="Times New Roman" w:cs="Times New Roman"/>
                <w:color w:val="auto"/>
                <w:szCs w:val="28"/>
                <w:highlight w:val="none"/>
                <w:lang w:val="en-US" w:eastAsia="zh-CN"/>
              </w:rPr>
              <w:t>焊机上进行带钢焊接，后通过张力辊、纠偏辊把焊接带钢连续不断地送入活套。带钢从活套出来后，</w:t>
            </w:r>
            <w:r>
              <w:rPr>
                <w:rFonts w:hint="default" w:ascii="Times New Roman" w:hAnsi="Times New Roman" w:cs="Times New Roman"/>
                <w:color w:val="auto"/>
                <w:szCs w:val="28"/>
                <w:highlight w:val="none"/>
                <w:lang w:eastAsia="zh-CN"/>
              </w:rPr>
              <w:t>采用天然气无氧化加热+燃气辐射管加热和电均热常化加热技术</w:t>
            </w:r>
            <w:r>
              <w:rPr>
                <w:rFonts w:hint="eastAsia" w:cs="Times New Roman"/>
                <w:color w:val="auto"/>
                <w:szCs w:val="28"/>
                <w:highlight w:val="none"/>
                <w:lang w:val="en-US" w:eastAsia="zh-CN"/>
              </w:rPr>
              <w:t>进行退火</w:t>
            </w:r>
            <w:r>
              <w:rPr>
                <w:rFonts w:hint="eastAsia" w:cs="Times New Roman"/>
                <w:color w:val="auto"/>
                <w:szCs w:val="28"/>
                <w:highlight w:val="none"/>
                <w:lang w:eastAsia="zh-CN"/>
              </w:rPr>
              <w:t>（退火温度800-1050℃全程连续退火，单位带钢退火时间约120</w:t>
            </w:r>
            <w:r>
              <w:rPr>
                <w:rFonts w:hint="eastAsia" w:cs="Times New Roman"/>
                <w:color w:val="auto"/>
                <w:szCs w:val="28"/>
                <w:highlight w:val="none"/>
                <w:lang w:val="en-US" w:eastAsia="zh-CN"/>
              </w:rPr>
              <w:t>s</w:t>
            </w:r>
            <w:r>
              <w:rPr>
                <w:rFonts w:hint="eastAsia" w:cs="Times New Roman"/>
                <w:color w:val="auto"/>
                <w:szCs w:val="28"/>
                <w:highlight w:val="none"/>
                <w:lang w:eastAsia="zh-CN"/>
              </w:rPr>
              <w:t>。退火气氛的选用氮气保护气体，</w:t>
            </w:r>
            <w:r>
              <w:rPr>
                <w:rFonts w:hint="default" w:ascii="Times New Roman" w:hAnsi="Times New Roman" w:cs="Times New Roman"/>
                <w:color w:val="auto"/>
                <w:szCs w:val="28"/>
                <w:highlight w:val="none"/>
                <w:lang w:eastAsia="zh-CN"/>
              </w:rPr>
              <w:t>无氧化加热速度快，有效缩短炉长，从而达到节能</w:t>
            </w:r>
            <w:r>
              <w:rPr>
                <w:rFonts w:hint="eastAsia" w:cs="Times New Roman"/>
                <w:color w:val="auto"/>
                <w:szCs w:val="28"/>
                <w:highlight w:val="none"/>
                <w:lang w:eastAsia="zh-CN"/>
              </w:rPr>
              <w:t>；</w:t>
            </w:r>
            <w:r>
              <w:rPr>
                <w:rFonts w:hint="default" w:ascii="Times New Roman" w:hAnsi="Times New Roman" w:cs="Times New Roman"/>
                <w:color w:val="auto"/>
                <w:szCs w:val="28"/>
                <w:highlight w:val="none"/>
                <w:lang w:eastAsia="zh-CN"/>
              </w:rPr>
              <w:t>电均热保证加热均匀性好，控制简单，板形好</w:t>
            </w:r>
            <w:r>
              <w:rPr>
                <w:rFonts w:hint="eastAsia" w:cs="Times New Roman"/>
                <w:color w:val="auto"/>
                <w:szCs w:val="28"/>
                <w:highlight w:val="none"/>
                <w:lang w:eastAsia="zh-CN"/>
              </w:rPr>
              <w:t>），</w:t>
            </w:r>
            <w:r>
              <w:rPr>
                <w:rFonts w:hint="eastAsia" w:cs="Times New Roman"/>
                <w:color w:val="auto"/>
                <w:szCs w:val="28"/>
                <w:highlight w:val="none"/>
                <w:lang w:val="en-US" w:eastAsia="zh-CN"/>
              </w:rPr>
              <w:t>并</w:t>
            </w:r>
            <w:r>
              <w:rPr>
                <w:rFonts w:hint="default" w:ascii="Times New Roman" w:hAnsi="Times New Roman" w:cs="Times New Roman"/>
                <w:color w:val="auto"/>
                <w:szCs w:val="28"/>
                <w:highlight w:val="none"/>
                <w:lang w:eastAsia="zh-CN"/>
              </w:rPr>
              <w:t>采用辐射管冷却</w:t>
            </w:r>
            <w:r>
              <w:rPr>
                <w:rFonts w:hint="eastAsia" w:cs="Times New Roman"/>
                <w:color w:val="auto"/>
                <w:szCs w:val="28"/>
                <w:highlight w:val="none"/>
                <w:lang w:val="en-US" w:eastAsia="zh-CN"/>
              </w:rPr>
              <w:t>+水雾</w:t>
            </w:r>
            <w:r>
              <w:rPr>
                <w:rFonts w:hint="default" w:ascii="Times New Roman" w:hAnsi="Times New Roman" w:cs="Times New Roman"/>
                <w:color w:val="auto"/>
                <w:szCs w:val="28"/>
                <w:highlight w:val="none"/>
                <w:lang w:eastAsia="zh-CN"/>
              </w:rPr>
              <w:t>冷却+空气喷射冷却+喷水冷却等多种冷却方式相结合的混合冷却工艺</w:t>
            </w:r>
            <w:r>
              <w:rPr>
                <w:rFonts w:hint="eastAsia" w:cs="Times New Roman"/>
                <w:color w:val="auto"/>
                <w:szCs w:val="28"/>
                <w:highlight w:val="none"/>
                <w:lang w:val="en-US" w:eastAsia="zh-CN"/>
              </w:rPr>
              <w:t>进行冷却完成退火</w:t>
            </w:r>
            <w:r>
              <w:rPr>
                <w:rFonts w:hint="default" w:ascii="Times New Roman" w:hAnsi="Times New Roman" w:cs="Times New Roman"/>
                <w:color w:val="auto"/>
                <w:szCs w:val="28"/>
                <w:highlight w:val="none"/>
                <w:lang w:eastAsia="zh-CN"/>
              </w:rPr>
              <w:t>，满足不同品种的硅钢在不同温度段的冷却要求</w:t>
            </w:r>
            <w:r>
              <w:rPr>
                <w:rFonts w:hint="eastAsia" w:cs="Times New Roman"/>
                <w:color w:val="auto"/>
                <w:szCs w:val="28"/>
                <w:highlight w:val="none"/>
                <w:lang w:eastAsia="zh-CN"/>
              </w:rPr>
              <w:t>，以降低带钢的硬度，消除冷轧加工硬化，改善带钢的塑性变形能力。</w:t>
            </w:r>
          </w:p>
          <w:p w14:paraId="0429D5D3">
            <w:pPr>
              <w:keepNext w:val="0"/>
              <w:keepLines w:val="0"/>
              <w:pageBreakBefore w:val="0"/>
              <w:widowControl/>
              <w:kinsoku/>
              <w:wordWrap/>
              <w:overflowPunct/>
              <w:topLinePunct w:val="0"/>
              <w:autoSpaceDE/>
              <w:autoSpaceDN/>
              <w:bidi w:val="0"/>
              <w:adjustRightInd w:val="0"/>
              <w:snapToGrid w:val="0"/>
              <w:spacing w:line="360" w:lineRule="auto"/>
              <w:ind w:firstLine="422" w:firstLineChars="200"/>
              <w:textAlignment w:val="auto"/>
              <w:rPr>
                <w:rFonts w:hint="default" w:ascii="Times New Roman" w:hAnsi="Times New Roman" w:cs="Times New Roman"/>
                <w:color w:val="auto"/>
                <w:szCs w:val="28"/>
                <w:highlight w:val="none"/>
                <w:lang w:eastAsia="zh-CN"/>
              </w:rPr>
            </w:pPr>
            <w:r>
              <w:rPr>
                <w:rFonts w:hint="eastAsia" w:cs="Times New Roman"/>
                <w:b/>
                <w:bCs/>
                <w:color w:val="auto"/>
                <w:szCs w:val="28"/>
                <w:highlight w:val="none"/>
                <w:lang w:val="en-US" w:eastAsia="zh-CN"/>
              </w:rPr>
              <w:t>抛丸：</w:t>
            </w:r>
            <w:r>
              <w:rPr>
                <w:rFonts w:hint="eastAsia" w:cs="Times New Roman"/>
                <w:color w:val="auto"/>
                <w:szCs w:val="28"/>
                <w:highlight w:val="none"/>
                <w:lang w:val="en-US" w:eastAsia="zh-CN"/>
              </w:rPr>
              <w:t>退火</w:t>
            </w:r>
            <w:r>
              <w:rPr>
                <w:rFonts w:hint="eastAsia" w:ascii="Times New Roman" w:hAnsi="Times New Roman" w:cs="Times New Roman"/>
                <w:color w:val="auto"/>
                <w:szCs w:val="28"/>
                <w:highlight w:val="none"/>
                <w:lang w:val="en-US" w:eastAsia="zh-CN"/>
              </w:rPr>
              <w:t>完成</w:t>
            </w:r>
            <w:r>
              <w:rPr>
                <w:rFonts w:hint="eastAsia" w:cs="Times New Roman"/>
                <w:color w:val="auto"/>
                <w:szCs w:val="28"/>
                <w:highlight w:val="none"/>
                <w:lang w:val="en-US" w:eastAsia="zh-CN"/>
              </w:rPr>
              <w:t>将带钢干燥后</w:t>
            </w:r>
            <w:r>
              <w:rPr>
                <w:rFonts w:hint="eastAsia"/>
                <w:color w:val="auto"/>
                <w:lang w:eastAsia="zh-CN"/>
              </w:rPr>
              <w:t>（</w:t>
            </w:r>
            <w:r>
              <w:rPr>
                <w:rFonts w:hint="eastAsia"/>
                <w:color w:val="auto"/>
                <w:lang w:val="en-US" w:eastAsia="zh-CN"/>
              </w:rPr>
              <w:t>热源为蒸汽</w:t>
            </w:r>
            <w:r>
              <w:rPr>
                <w:rFonts w:hint="eastAsia"/>
                <w:color w:val="auto"/>
                <w:lang w:eastAsia="zh-CN"/>
              </w:rPr>
              <w:t>）</w:t>
            </w:r>
            <w:r>
              <w:rPr>
                <w:rFonts w:hint="eastAsia" w:ascii="Times New Roman" w:hAnsi="Times New Roman" w:cs="Times New Roman"/>
                <w:color w:val="auto"/>
                <w:szCs w:val="28"/>
                <w:highlight w:val="none"/>
                <w:lang w:val="en-US" w:eastAsia="zh-CN"/>
              </w:rPr>
              <w:t>送入抛丸室抛丸，抛丸机通过加速钢丸击打带钢的外表面除掉带钢表面氧化皮或锈斑。本项目钢丸循环使用，具体过程是从料仓经抛头打在带钢表面，然后落在舱室底部，经绞龙和斗提机返回到料仓循环使用，直至在使用过程中打碎或磨成粉尘，经风机收集后进入除尘系统。</w:t>
            </w:r>
          </w:p>
          <w:p w14:paraId="524DE9E8">
            <w:pPr>
              <w:keepNext w:val="0"/>
              <w:keepLines w:val="0"/>
              <w:pageBreakBefore w:val="0"/>
              <w:widowControl/>
              <w:kinsoku/>
              <w:wordWrap/>
              <w:overflowPunct/>
              <w:topLinePunct w:val="0"/>
              <w:autoSpaceDE/>
              <w:autoSpaceDN/>
              <w:bidi w:val="0"/>
              <w:adjustRightInd w:val="0"/>
              <w:snapToGrid w:val="0"/>
              <w:spacing w:line="360" w:lineRule="auto"/>
              <w:ind w:firstLine="422" w:firstLineChars="200"/>
              <w:textAlignment w:val="auto"/>
              <w:rPr>
                <w:rFonts w:hint="eastAsia" w:cs="Times New Roman"/>
                <w:color w:val="auto"/>
                <w:szCs w:val="28"/>
                <w:highlight w:val="none"/>
                <w:lang w:val="en-US" w:eastAsia="zh-CN"/>
              </w:rPr>
            </w:pPr>
            <w:r>
              <w:rPr>
                <w:rFonts w:hint="eastAsia" w:cs="Times New Roman"/>
                <w:b/>
                <w:bCs/>
                <w:color w:val="auto"/>
                <w:szCs w:val="28"/>
                <w:highlight w:val="none"/>
                <w:lang w:val="en-US" w:eastAsia="zh-CN"/>
              </w:rPr>
              <w:t>酸洗：</w:t>
            </w:r>
            <w:r>
              <w:rPr>
                <w:rFonts w:hint="eastAsia" w:cs="Times New Roman"/>
                <w:b w:val="0"/>
                <w:bCs w:val="0"/>
                <w:color w:val="auto"/>
                <w:szCs w:val="28"/>
                <w:highlight w:val="none"/>
                <w:lang w:val="en-US" w:eastAsia="zh-CN"/>
              </w:rPr>
              <w:t>抛丸后的</w:t>
            </w:r>
            <w:r>
              <w:rPr>
                <w:rFonts w:hint="eastAsia" w:ascii="Times New Roman" w:hAnsi="Times New Roman" w:cs="Times New Roman"/>
                <w:color w:val="auto"/>
                <w:szCs w:val="28"/>
                <w:highlight w:val="none"/>
                <w:lang w:val="en-US" w:eastAsia="zh-CN"/>
              </w:rPr>
              <w:t>带钢通过转向辊进入</w:t>
            </w:r>
            <w:r>
              <w:rPr>
                <w:rFonts w:hint="eastAsia" w:cs="Times New Roman"/>
                <w:color w:val="auto"/>
                <w:szCs w:val="28"/>
                <w:highlight w:val="none"/>
                <w:lang w:val="en-US" w:eastAsia="zh-CN"/>
              </w:rPr>
              <w:t>紊流浅槽进行</w:t>
            </w:r>
            <w:r>
              <w:rPr>
                <w:rFonts w:hint="eastAsia" w:ascii="Times New Roman" w:hAnsi="Times New Roman" w:cs="Times New Roman"/>
                <w:color w:val="auto"/>
                <w:szCs w:val="28"/>
                <w:highlight w:val="none"/>
                <w:lang w:val="en-US" w:eastAsia="zh-CN"/>
              </w:rPr>
              <w:t>酸洗，以去除带钢表面的氧化铁皮，使带钢具有洁净的表面。常化酸洗设置盐酸酸洗槽</w:t>
            </w:r>
            <w:r>
              <w:rPr>
                <w:rFonts w:hint="eastAsia" w:cs="Times New Roman"/>
                <w:color w:val="auto"/>
                <w:szCs w:val="28"/>
                <w:highlight w:val="none"/>
                <w:lang w:val="en-US" w:eastAsia="zh-CN"/>
              </w:rPr>
              <w:t>3个</w:t>
            </w:r>
            <w:r>
              <w:rPr>
                <w:rFonts w:hint="eastAsia" w:ascii="Times New Roman" w:hAnsi="Times New Roman" w:cs="Times New Roman"/>
                <w:color w:val="auto"/>
                <w:szCs w:val="28"/>
                <w:highlight w:val="none"/>
                <w:lang w:val="en-US" w:eastAsia="zh-CN"/>
              </w:rPr>
              <w:t>，酸槽尺寸：20000mm（L）×2200mm（B）×700mm（H），有效使用量约为90%，则最大容积为55.44m</w:t>
            </w:r>
            <w:r>
              <w:rPr>
                <w:rFonts w:hint="eastAsia" w:cs="Times New Roman"/>
                <w:color w:val="auto"/>
                <w:szCs w:val="28"/>
                <w:highlight w:val="none"/>
                <w:vertAlign w:val="superscript"/>
                <w:lang w:val="en-US" w:eastAsia="zh-CN"/>
              </w:rPr>
              <w:t>3</w:t>
            </w:r>
            <w:r>
              <w:rPr>
                <w:rFonts w:hint="eastAsia" w:cs="Times New Roman"/>
                <w:color w:val="auto"/>
                <w:szCs w:val="28"/>
                <w:highlight w:val="none"/>
                <w:lang w:val="en-US" w:eastAsia="zh-CN"/>
              </w:rPr>
              <w:t>。</w:t>
            </w:r>
            <w:r>
              <w:rPr>
                <w:rFonts w:hint="eastAsia" w:ascii="Times New Roman" w:hAnsi="Times New Roman" w:cs="Times New Roman"/>
                <w:color w:val="auto"/>
                <w:szCs w:val="28"/>
                <w:highlight w:val="none"/>
                <w:lang w:val="en-US" w:eastAsia="zh-CN"/>
              </w:rPr>
              <w:t>酸洗槽液体一般不整体更换，即排即补。更换的废酸在厂内再生后回用；酸洗液盐酸的浓度为</w:t>
            </w:r>
            <w:r>
              <w:rPr>
                <w:rFonts w:hint="eastAsia" w:cs="Times New Roman"/>
                <w:color w:val="auto"/>
                <w:szCs w:val="28"/>
                <w:highlight w:val="none"/>
                <w:lang w:val="en-US" w:eastAsia="zh-CN"/>
              </w:rPr>
              <w:t>18</w:t>
            </w:r>
            <w:r>
              <w:rPr>
                <w:rFonts w:hint="default" w:ascii="Times New Roman" w:hAnsi="Times New Roman" w:cs="Times New Roman"/>
                <w:color w:val="auto"/>
                <w:szCs w:val="28"/>
                <w:highlight w:val="none"/>
                <w:lang w:val="en-US" w:eastAsia="zh-CN"/>
              </w:rPr>
              <w:t>%</w:t>
            </w:r>
            <w:r>
              <w:rPr>
                <w:rFonts w:hint="eastAsia" w:cs="Times New Roman"/>
                <w:color w:val="auto"/>
                <w:szCs w:val="28"/>
                <w:highlight w:val="none"/>
                <w:lang w:val="en-US" w:eastAsia="zh-CN"/>
              </w:rPr>
              <w:t>左右（部分为</w:t>
            </w:r>
            <w:r>
              <w:rPr>
                <w:rFonts w:hint="eastAsia" w:ascii="Times New Roman" w:hAnsi="Times New Roman" w:cs="Times New Roman"/>
                <w:color w:val="auto"/>
                <w:szCs w:val="28"/>
                <w:highlight w:val="none"/>
                <w:lang w:val="en-US" w:eastAsia="zh-CN"/>
              </w:rPr>
              <w:t>外购的</w:t>
            </w:r>
            <w:r>
              <w:rPr>
                <w:rFonts w:hint="default" w:ascii="Times New Roman" w:hAnsi="Times New Roman" w:cs="Times New Roman"/>
                <w:color w:val="auto"/>
                <w:szCs w:val="28"/>
                <w:highlight w:val="none"/>
                <w:lang w:val="en-US" w:eastAsia="zh-CN"/>
              </w:rPr>
              <w:t>31%</w:t>
            </w:r>
            <w:r>
              <w:rPr>
                <w:rFonts w:hint="eastAsia" w:ascii="Times New Roman" w:hAnsi="Times New Roman" w:cs="Times New Roman"/>
                <w:color w:val="auto"/>
                <w:szCs w:val="28"/>
                <w:highlight w:val="none"/>
                <w:lang w:val="en-US" w:eastAsia="zh-CN"/>
              </w:rPr>
              <w:t>的盐酸</w:t>
            </w:r>
            <w:r>
              <w:rPr>
                <w:rFonts w:hint="eastAsia" w:cs="Times New Roman"/>
                <w:color w:val="auto"/>
                <w:szCs w:val="28"/>
                <w:highlight w:val="none"/>
                <w:lang w:val="en-US" w:eastAsia="zh-CN"/>
              </w:rPr>
              <w:t>和脱盐水</w:t>
            </w:r>
            <w:r>
              <w:rPr>
                <w:rFonts w:hint="eastAsia" w:ascii="Times New Roman" w:hAnsi="Times New Roman" w:cs="Times New Roman"/>
                <w:color w:val="auto"/>
                <w:szCs w:val="28"/>
                <w:highlight w:val="none"/>
                <w:lang w:val="en-US" w:eastAsia="zh-CN"/>
              </w:rPr>
              <w:t>配置而成</w:t>
            </w:r>
            <w:r>
              <w:rPr>
                <w:rFonts w:hint="eastAsia" w:cs="Times New Roman"/>
                <w:color w:val="auto"/>
                <w:szCs w:val="28"/>
                <w:highlight w:val="none"/>
                <w:lang w:val="en-US" w:eastAsia="zh-CN"/>
              </w:rPr>
              <w:t>，部分为酸再生装置回收的18%盐酸）</w:t>
            </w:r>
            <w:r>
              <w:rPr>
                <w:rFonts w:hint="eastAsia" w:ascii="Times New Roman" w:hAnsi="Times New Roman" w:cs="Times New Roman"/>
                <w:color w:val="auto"/>
                <w:szCs w:val="28"/>
                <w:highlight w:val="none"/>
                <w:lang w:val="en-US" w:eastAsia="zh-CN"/>
              </w:rPr>
              <w:t>，酸洗温度约</w:t>
            </w:r>
            <w:r>
              <w:rPr>
                <w:rFonts w:hint="default" w:ascii="Times New Roman" w:hAnsi="Times New Roman" w:cs="Times New Roman"/>
                <w:color w:val="auto"/>
                <w:szCs w:val="28"/>
                <w:highlight w:val="none"/>
                <w:lang w:val="en-US" w:eastAsia="zh-CN"/>
              </w:rPr>
              <w:t>75℃</w:t>
            </w:r>
            <w:r>
              <w:rPr>
                <w:rFonts w:hint="eastAsia" w:ascii="Times New Roman" w:hAnsi="Times New Roman" w:cs="Times New Roman"/>
                <w:color w:val="auto"/>
                <w:szCs w:val="28"/>
                <w:highlight w:val="none"/>
                <w:lang w:val="en-US" w:eastAsia="zh-CN"/>
              </w:rPr>
              <w:t>（蒸汽加热），带钢经稀盐酸酸洗及水漂洗（温度约</w:t>
            </w:r>
            <w:r>
              <w:rPr>
                <w:rFonts w:hint="default" w:ascii="Times New Roman" w:hAnsi="Times New Roman" w:cs="Times New Roman"/>
                <w:color w:val="auto"/>
                <w:szCs w:val="28"/>
                <w:highlight w:val="none"/>
                <w:lang w:val="en-US" w:eastAsia="zh-CN"/>
              </w:rPr>
              <w:t>80℃</w:t>
            </w:r>
            <w:r>
              <w:rPr>
                <w:rFonts w:hint="eastAsia" w:cs="Times New Roman"/>
                <w:color w:val="auto"/>
                <w:szCs w:val="28"/>
                <w:highlight w:val="none"/>
                <w:lang w:val="en-US" w:eastAsia="zh-CN"/>
              </w:rPr>
              <w:t>，蒸汽加热</w:t>
            </w:r>
            <w:r>
              <w:rPr>
                <w:rFonts w:hint="eastAsia" w:ascii="Times New Roman" w:hAnsi="Times New Roman" w:cs="Times New Roman"/>
                <w:color w:val="auto"/>
                <w:szCs w:val="28"/>
                <w:highlight w:val="none"/>
                <w:lang w:val="en-US" w:eastAsia="zh-CN"/>
              </w:rPr>
              <w:t>），</w:t>
            </w:r>
            <w:r>
              <w:rPr>
                <w:rFonts w:hint="default" w:ascii="Times New Roman" w:hAnsi="Times New Roman" w:cs="Times New Roman"/>
                <w:color w:val="auto"/>
                <w:szCs w:val="28"/>
                <w:highlight w:val="none"/>
                <w:lang w:eastAsia="zh-CN"/>
              </w:rPr>
              <w:t>酸洗出口的热风干燥器带有吹边装置</w:t>
            </w:r>
            <w:r>
              <w:rPr>
                <w:rFonts w:hint="eastAsia" w:cs="Times New Roman"/>
                <w:color w:val="auto"/>
                <w:szCs w:val="28"/>
                <w:highlight w:val="none"/>
                <w:lang w:eastAsia="zh-CN"/>
              </w:rPr>
              <w:t>，</w:t>
            </w:r>
            <w:r>
              <w:rPr>
                <w:rFonts w:hint="eastAsia" w:ascii="Times New Roman" w:hAnsi="Times New Roman" w:cs="Times New Roman"/>
                <w:color w:val="auto"/>
                <w:szCs w:val="28"/>
                <w:highlight w:val="none"/>
                <w:lang w:val="en-US" w:eastAsia="zh-CN"/>
              </w:rPr>
              <w:t>烘干带钢表面的</w:t>
            </w:r>
            <w:r>
              <w:rPr>
                <w:rFonts w:hint="eastAsia" w:cs="Times New Roman"/>
                <w:color w:val="auto"/>
                <w:szCs w:val="28"/>
                <w:highlight w:val="none"/>
                <w:lang w:val="en-US" w:eastAsia="zh-CN"/>
              </w:rPr>
              <w:t>水分</w:t>
            </w:r>
            <w:r>
              <w:rPr>
                <w:rFonts w:hint="eastAsia" w:ascii="Times New Roman" w:hAnsi="Times New Roman" w:cs="Times New Roman"/>
                <w:color w:val="auto"/>
                <w:szCs w:val="28"/>
                <w:highlight w:val="none"/>
                <w:lang w:val="en-US" w:eastAsia="zh-CN"/>
              </w:rPr>
              <w:t>后，送入出口活套</w:t>
            </w:r>
            <w:r>
              <w:rPr>
                <w:rFonts w:hint="eastAsia" w:cs="Times New Roman"/>
                <w:color w:val="auto"/>
                <w:szCs w:val="28"/>
                <w:highlight w:val="none"/>
                <w:lang w:val="en-US" w:eastAsia="zh-CN"/>
              </w:rPr>
              <w:t>，再进行切边、碎边、检查、涂油、切尾、卷取、称重、打捆等一系列工序后入库，待用于下一机组。</w:t>
            </w:r>
          </w:p>
          <w:p w14:paraId="745FA1BD">
            <w:pPr>
              <w:keepNext w:val="0"/>
              <w:keepLines w:val="0"/>
              <w:pageBreakBefore w:val="0"/>
              <w:widowControl/>
              <w:kinsoku/>
              <w:wordWrap/>
              <w:overflowPunct/>
              <w:topLinePunct w:val="0"/>
              <w:autoSpaceDE/>
              <w:autoSpaceDN/>
              <w:bidi w:val="0"/>
              <w:adjustRightInd w:val="0"/>
              <w:snapToGrid w:val="0"/>
              <w:spacing w:line="360" w:lineRule="auto"/>
              <w:ind w:firstLine="422" w:firstLineChars="200"/>
              <w:textAlignment w:val="auto"/>
              <w:rPr>
                <w:rFonts w:hint="default" w:cs="Times New Roman"/>
                <w:b/>
                <w:bCs/>
                <w:color w:val="auto"/>
                <w:szCs w:val="28"/>
                <w:highlight w:val="none"/>
                <w:lang w:val="en-US" w:eastAsia="zh-CN"/>
              </w:rPr>
            </w:pPr>
            <w:r>
              <w:rPr>
                <w:rFonts w:hint="eastAsia" w:cs="Times New Roman"/>
                <w:b/>
                <w:bCs/>
                <w:color w:val="auto"/>
                <w:szCs w:val="28"/>
                <w:highlight w:val="none"/>
                <w:lang w:val="en-US" w:eastAsia="zh-CN"/>
              </w:rPr>
              <w:t>产污环节：</w:t>
            </w:r>
          </w:p>
          <w:p w14:paraId="427C0F6E">
            <w:pPr>
              <w:keepNext w:val="0"/>
              <w:keepLines w:val="0"/>
              <w:pageBreakBefore w:val="0"/>
              <w:widowControl/>
              <w:kinsoku/>
              <w:wordWrap/>
              <w:overflowPunct/>
              <w:topLinePunct w:val="0"/>
              <w:autoSpaceDE/>
              <w:autoSpaceDN/>
              <w:bidi w:val="0"/>
              <w:adjustRightInd w:val="0"/>
              <w:snapToGrid w:val="0"/>
              <w:spacing w:line="360" w:lineRule="auto"/>
              <w:ind w:firstLine="420" w:firstLineChars="200"/>
              <w:textAlignment w:val="auto"/>
              <w:rPr>
                <w:color w:val="auto"/>
              </w:rPr>
            </w:pPr>
            <w:r>
              <w:rPr>
                <w:rFonts w:hint="eastAsia" w:cs="Times New Roman"/>
                <w:color w:val="auto"/>
                <w:szCs w:val="28"/>
                <w:highlight w:val="none"/>
                <w:lang w:val="en-US" w:eastAsia="zh-CN"/>
              </w:rPr>
              <w:t>废气：激光焊接产生少量焊接烟尘G1、常化无氧化加热炉燃烧废气G2、常化辐射加热炉废气G3、抛丸过程产生抛丸废气G4；</w:t>
            </w:r>
            <w:r>
              <w:rPr>
                <w:rFonts w:hint="eastAsia" w:ascii="Times New Roman" w:hAnsi="Times New Roman" w:cs="Times New Roman"/>
                <w:color w:val="auto"/>
                <w:szCs w:val="28"/>
                <w:highlight w:val="none"/>
                <w:lang w:val="en-US" w:eastAsia="zh-CN"/>
              </w:rPr>
              <w:t>酸洗</w:t>
            </w:r>
            <w:r>
              <w:rPr>
                <w:rFonts w:hint="eastAsia" w:cs="Times New Roman"/>
                <w:color w:val="auto"/>
                <w:szCs w:val="28"/>
                <w:highlight w:val="none"/>
                <w:lang w:val="en-US" w:eastAsia="zh-CN"/>
              </w:rPr>
              <w:t>及漂洗</w:t>
            </w:r>
            <w:r>
              <w:rPr>
                <w:rFonts w:hint="eastAsia" w:ascii="Times New Roman" w:hAnsi="Times New Roman" w:cs="Times New Roman"/>
                <w:color w:val="auto"/>
                <w:szCs w:val="28"/>
                <w:highlight w:val="none"/>
                <w:lang w:val="en-US" w:eastAsia="zh-CN"/>
              </w:rPr>
              <w:t>过程有盐酸废气</w:t>
            </w:r>
            <w:r>
              <w:rPr>
                <w:rFonts w:hint="default" w:ascii="Times New Roman" w:hAnsi="Times New Roman" w:cs="Times New Roman"/>
                <w:color w:val="auto"/>
                <w:szCs w:val="28"/>
                <w:highlight w:val="none"/>
                <w:lang w:val="en-US" w:eastAsia="zh-CN"/>
              </w:rPr>
              <w:t>G</w:t>
            </w:r>
            <w:r>
              <w:rPr>
                <w:rFonts w:hint="eastAsia" w:cs="Times New Roman"/>
                <w:color w:val="auto"/>
                <w:szCs w:val="28"/>
                <w:highlight w:val="none"/>
                <w:lang w:val="en-US" w:eastAsia="zh-CN"/>
              </w:rPr>
              <w:t>5</w:t>
            </w:r>
            <w:r>
              <w:rPr>
                <w:rFonts w:hint="eastAsia" w:ascii="Times New Roman" w:hAnsi="Times New Roman" w:cs="Times New Roman"/>
                <w:color w:val="auto"/>
                <w:szCs w:val="28"/>
                <w:highlight w:val="none"/>
                <w:lang w:val="en-US" w:eastAsia="zh-CN"/>
              </w:rPr>
              <w:t>产生。</w:t>
            </w:r>
          </w:p>
          <w:p w14:paraId="2948590F">
            <w:pPr>
              <w:keepNext w:val="0"/>
              <w:keepLines w:val="0"/>
              <w:pageBreakBefore w:val="0"/>
              <w:widowControl/>
              <w:kinsoku/>
              <w:wordWrap/>
              <w:overflowPunct/>
              <w:topLinePunct w:val="0"/>
              <w:autoSpaceDE/>
              <w:autoSpaceDN/>
              <w:bidi w:val="0"/>
              <w:adjustRightInd w:val="0"/>
              <w:snapToGrid w:val="0"/>
              <w:spacing w:line="360" w:lineRule="auto"/>
              <w:ind w:firstLine="422" w:firstLineChars="200"/>
              <w:textAlignment w:val="auto"/>
              <w:rPr>
                <w:rFonts w:hint="eastAsia"/>
                <w:b/>
                <w:bCs/>
                <w:color w:val="auto"/>
                <w:lang w:val="en-US" w:eastAsia="zh-CN"/>
              </w:rPr>
            </w:pPr>
            <w:r>
              <w:rPr>
                <w:rFonts w:hint="eastAsia"/>
                <w:b/>
                <w:bCs/>
                <w:color w:val="auto"/>
                <w:lang w:val="en-US" w:eastAsia="zh-CN"/>
              </w:rPr>
              <w:t>废水：带钢喷淋冷却过程产生废水W1，酸洗后漂洗过程产生废水W2；</w:t>
            </w:r>
          </w:p>
          <w:p w14:paraId="38FB78CE">
            <w:pPr>
              <w:keepNext w:val="0"/>
              <w:keepLines w:val="0"/>
              <w:pageBreakBefore w:val="0"/>
              <w:widowControl/>
              <w:kinsoku/>
              <w:wordWrap/>
              <w:overflowPunct/>
              <w:topLinePunct w:val="0"/>
              <w:autoSpaceDE/>
              <w:autoSpaceDN/>
              <w:bidi w:val="0"/>
              <w:adjustRightInd w:val="0"/>
              <w:snapToGrid w:val="0"/>
              <w:spacing w:line="360" w:lineRule="auto"/>
              <w:ind w:firstLine="422" w:firstLineChars="200"/>
              <w:textAlignment w:val="auto"/>
              <w:rPr>
                <w:rFonts w:hint="default"/>
                <w:b/>
                <w:bCs/>
                <w:color w:val="auto"/>
                <w:lang w:val="en-US" w:eastAsia="zh-CN"/>
              </w:rPr>
            </w:pPr>
            <w:r>
              <w:rPr>
                <w:rFonts w:hint="eastAsia"/>
                <w:b/>
                <w:bCs/>
                <w:color w:val="auto"/>
                <w:lang w:val="en-US" w:eastAsia="zh-CN"/>
              </w:rPr>
              <w:t>固废：剪切工序产生边角料S1，焊渣S2；废酸洗液S3；</w:t>
            </w:r>
          </w:p>
          <w:p w14:paraId="0B7B778D">
            <w:pPr>
              <w:keepNext w:val="0"/>
              <w:keepLines w:val="0"/>
              <w:pageBreakBefore w:val="0"/>
              <w:widowControl/>
              <w:kinsoku/>
              <w:wordWrap/>
              <w:overflowPunct/>
              <w:topLinePunct w:val="0"/>
              <w:autoSpaceDE/>
              <w:autoSpaceDN/>
              <w:bidi w:val="0"/>
              <w:adjustRightInd w:val="0"/>
              <w:snapToGrid w:val="0"/>
              <w:spacing w:line="360" w:lineRule="auto"/>
              <w:ind w:firstLine="422" w:firstLineChars="200"/>
              <w:textAlignment w:val="auto"/>
              <w:rPr>
                <w:rFonts w:hint="eastAsia" w:cs="Times New Roman"/>
                <w:b/>
                <w:bCs/>
                <w:color w:val="auto"/>
                <w:szCs w:val="28"/>
                <w:highlight w:val="none"/>
                <w:lang w:val="en-US" w:eastAsia="zh-CN"/>
              </w:rPr>
            </w:pPr>
            <w:r>
              <w:rPr>
                <w:rFonts w:hint="eastAsia" w:cs="Times New Roman"/>
                <w:b/>
                <w:bCs/>
                <w:color w:val="auto"/>
                <w:szCs w:val="28"/>
                <w:highlight w:val="none"/>
                <w:lang w:val="en-US" w:eastAsia="zh-CN"/>
              </w:rPr>
              <w:t>噪声：抛丸机、开卷机、泵类、风机等设备运转噪声N。</w:t>
            </w:r>
          </w:p>
          <w:p w14:paraId="5B29E26E">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eastAsia"/>
                <w:color w:val="auto"/>
                <w:lang w:val="en-US" w:eastAsia="zh-CN"/>
              </w:rPr>
            </w:pPr>
            <w:r>
              <w:rPr>
                <w:rFonts w:hint="eastAsia"/>
                <w:color w:val="auto"/>
                <w:lang w:val="en-US" w:eastAsia="zh-CN"/>
              </w:rPr>
              <w:t>本项目酸洗过程产生的废酸洗液送至酸再生站采用喷雾焙烧法进行回收，酸再生站是为酸洗硅钢钢板所产生的废盐酸而配套建设的。盐酸酸洗时，钢板表面铁及氧化铁皮被盐酸洗掉，消耗的盐酸转变成以FeCl</w:t>
            </w:r>
            <w:r>
              <w:rPr>
                <w:rFonts w:hint="eastAsia"/>
                <w:color w:val="auto"/>
                <w:vertAlign w:val="subscript"/>
                <w:lang w:val="en-US" w:eastAsia="zh-CN"/>
              </w:rPr>
              <w:t>2</w:t>
            </w:r>
            <w:r>
              <w:rPr>
                <w:rFonts w:hint="eastAsia"/>
                <w:color w:val="auto"/>
                <w:lang w:val="en-US" w:eastAsia="zh-CN"/>
              </w:rPr>
              <w:t>为主的氯化物，溶解在盐酸溶液中，随着酸洗过程的进行，酸洗液中的铁离子浓度会升高，而游离HCl的浓度相应降低。为了保持酸洗酸液中的游离HCl的浓度，除去酸液中增加的铁离子，将废酸液送至酸再生装置。</w:t>
            </w:r>
          </w:p>
          <w:p w14:paraId="15EA0AE9">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eastAsia"/>
                <w:color w:val="auto"/>
                <w:lang w:val="en-US" w:eastAsia="zh-CN"/>
              </w:rPr>
            </w:pPr>
            <w:r>
              <w:rPr>
                <w:rFonts w:hint="eastAsia"/>
                <w:color w:val="auto"/>
                <w:lang w:val="en-US" w:eastAsia="zh-CN"/>
              </w:rPr>
              <w:t>本站采用喷雾焙烧法，通过雾状形式向焙烧炉内喷入废盐酸，在高温环境下进行化学反应，生成再生酸，再返回酸洗机组，重复利用废酸再生过程，同时得到氧化铁粉。具体工艺流程如下：从酸洗线排出的废酸，用泵送入酸再生站，在进入酸再生系统之前，用过滤器将废酸中的杂质去除避免堵塞酸枪的喷嘴。</w:t>
            </w:r>
          </w:p>
          <w:p w14:paraId="1FE1D9D4">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eastAsia"/>
                <w:color w:val="auto"/>
                <w:lang w:val="en-US" w:eastAsia="zh-CN"/>
              </w:rPr>
            </w:pPr>
            <w:r>
              <w:rPr>
                <w:rFonts w:hint="eastAsia"/>
                <w:color w:val="auto"/>
                <w:lang w:val="en-US" w:eastAsia="zh-CN"/>
              </w:rPr>
              <w:t>酸再生系统由焙烧炉、预浓缩器、吸收塔、洗涤塔、烟囱等组成，经过滤后的废酸液由泵打入预浓缩分离器，通过循环泵在预浓缩器内循环，被浓缩的废酸由焙烧炉供给泵送到焙烧炉顶部的酸枪喷入焙烧炉中。</w:t>
            </w:r>
          </w:p>
          <w:p w14:paraId="556DAC30">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eastAsia"/>
                <w:color w:val="auto"/>
                <w:lang w:val="en-US" w:eastAsia="zh-CN"/>
              </w:rPr>
            </w:pPr>
            <w:r>
              <w:rPr>
                <w:rFonts w:hint="eastAsia"/>
                <w:color w:val="auto"/>
                <w:lang w:val="en-US" w:eastAsia="zh-CN"/>
              </w:rPr>
              <w:t>焙烧炉是一个内衬耐火耐酸砖的钢壳体，用来焙烧在炉内的预浓缩废酸液，在焙烧炉底部柱体的侧壁上安装了呈切线方向进气的烧嘴，向炉内供入必须的热量，在焙烧炉内靠重力落下的喷散的废酸液中的水分及FeCl</w:t>
            </w:r>
            <w:r>
              <w:rPr>
                <w:rFonts w:hint="eastAsia"/>
                <w:color w:val="auto"/>
                <w:vertAlign w:val="subscript"/>
                <w:lang w:val="en-US" w:eastAsia="zh-CN"/>
              </w:rPr>
              <w:t>2</w:t>
            </w:r>
            <w:r>
              <w:rPr>
                <w:rFonts w:hint="eastAsia"/>
                <w:color w:val="auto"/>
                <w:lang w:val="en-US" w:eastAsia="zh-CN"/>
              </w:rPr>
              <w:t>，随着汽化过程，起下列反应进行分解：</w:t>
            </w:r>
          </w:p>
          <w:p w14:paraId="461F6765">
            <w:pPr>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color w:val="auto"/>
              </w:rPr>
            </w:pPr>
            <w:r>
              <w:rPr>
                <w:color w:val="auto"/>
              </w:rPr>
              <w:drawing>
                <wp:inline distT="0" distB="0" distL="114300" distR="114300">
                  <wp:extent cx="2816225" cy="544195"/>
                  <wp:effectExtent l="0" t="0" r="3175" b="8255"/>
                  <wp:docPr id="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
                          <pic:cNvPicPr>
                            <a:picLocks noChangeAspect="1"/>
                          </pic:cNvPicPr>
                        </pic:nvPicPr>
                        <pic:blipFill>
                          <a:blip r:embed="rId19"/>
                          <a:stretch>
                            <a:fillRect/>
                          </a:stretch>
                        </pic:blipFill>
                        <pic:spPr>
                          <a:xfrm>
                            <a:off x="0" y="0"/>
                            <a:ext cx="2816225" cy="544195"/>
                          </a:xfrm>
                          <a:prstGeom prst="rect">
                            <a:avLst/>
                          </a:prstGeom>
                          <a:noFill/>
                          <a:ln>
                            <a:noFill/>
                          </a:ln>
                        </pic:spPr>
                      </pic:pic>
                    </a:graphicData>
                  </a:graphic>
                </wp:inline>
              </w:drawing>
            </w:r>
          </w:p>
          <w:p w14:paraId="6689432C">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eastAsia"/>
                <w:color w:val="auto"/>
                <w:lang w:val="en-US" w:eastAsia="zh-CN"/>
              </w:rPr>
            </w:pPr>
            <w:r>
              <w:rPr>
                <w:rFonts w:hint="eastAsia"/>
                <w:color w:val="auto"/>
                <w:lang w:val="en-US" w:eastAsia="zh-CN"/>
              </w:rPr>
              <w:t>其结果是呈固态的氧化铁粉(Fe</w:t>
            </w:r>
            <w:r>
              <w:rPr>
                <w:rFonts w:hint="eastAsia"/>
                <w:color w:val="auto"/>
                <w:vertAlign w:val="subscript"/>
                <w:lang w:val="en-US" w:eastAsia="zh-CN"/>
              </w:rPr>
              <w:t>2</w:t>
            </w:r>
            <w:r>
              <w:rPr>
                <w:rFonts w:hint="eastAsia"/>
                <w:color w:val="auto"/>
                <w:lang w:val="en-US" w:eastAsia="zh-CN"/>
              </w:rPr>
              <w:t>O</w:t>
            </w:r>
            <w:r>
              <w:rPr>
                <w:rFonts w:hint="eastAsia"/>
                <w:color w:val="auto"/>
                <w:vertAlign w:val="subscript"/>
                <w:lang w:val="en-US" w:eastAsia="zh-CN"/>
              </w:rPr>
              <w:t>3</w:t>
            </w:r>
            <w:r>
              <w:rPr>
                <w:rFonts w:hint="eastAsia"/>
                <w:color w:val="auto"/>
                <w:lang w:val="en-US" w:eastAsia="zh-CN"/>
              </w:rPr>
              <w:t>)落入焙烧炉的锥形体底部，通过破碎机、旋转阀排出。含HCl的高温气体通过焙烧炉顶部的出口进入双旋风分离器，将残留的氧化铁粉分离出来，并通过旋转阀返回到焙烧炉中。</w:t>
            </w:r>
          </w:p>
          <w:p w14:paraId="240E068B">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eastAsia"/>
                <w:color w:val="auto"/>
                <w:lang w:val="en-US" w:eastAsia="zh-CN"/>
              </w:rPr>
            </w:pPr>
            <w:r>
              <w:rPr>
                <w:rFonts w:hint="eastAsia"/>
                <w:color w:val="auto"/>
                <w:lang w:val="en-US" w:eastAsia="zh-CN"/>
              </w:rPr>
              <w:t>经除尘的高温气体进入预浓缩器，在预浓缩器内与废酸进行热交换，使废酸浓缩，高温气体得到冷却及净化后进入吸收塔内，从下往上经过塔内填料与漂洗水对流接触，在此过程中，废气中的HCl被吸收到水中成为再生酸。</w:t>
            </w:r>
          </w:p>
          <w:p w14:paraId="4A9983E0">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default"/>
                <w:color w:val="auto"/>
                <w:lang w:val="en-US" w:eastAsia="zh-CN"/>
              </w:rPr>
            </w:pPr>
            <w:r>
              <w:rPr>
                <w:rFonts w:hint="eastAsia"/>
                <w:color w:val="auto"/>
                <w:lang w:val="en-US" w:eastAsia="zh-CN"/>
              </w:rPr>
              <w:t>含有微量HCl的焙烧炉气体从吸收塔顶部离开，进入二级吸收塔。二级吸收塔顶部设有一个PPH喷嘴，来自酸洗机组的漂洗水通过二级吸收塔循环泵从二级吸收塔顶部经喷嘴进入塔内，均匀分布在塔内的PPH填料上，吸收废气中残余的HCl气体和氧化铁粉颗粒。未被吸收的含HCl经酸洗塔+水洗塔处理后排放。</w:t>
            </w:r>
          </w:p>
          <w:p w14:paraId="3E1A6295">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default"/>
                <w:color w:val="auto"/>
                <w:lang w:val="en-US" w:eastAsia="zh-CN"/>
              </w:rPr>
            </w:pPr>
            <w:r>
              <w:rPr>
                <w:rFonts w:hint="default"/>
                <w:color w:val="auto"/>
                <w:lang w:val="en-US" w:eastAsia="zh-CN"/>
              </w:rPr>
              <w:t>从反应炉底部排出的氧化铁粉，由排气风机造成的负压抽入铁粉料仓内，在料仓底部设有门型阀，进入自动装袋机，进行包装。</w:t>
            </w:r>
          </w:p>
          <w:p w14:paraId="43903978">
            <w:pPr>
              <w:keepNext w:val="0"/>
              <w:keepLines w:val="0"/>
              <w:pageBreakBefore w:val="0"/>
              <w:widowControl/>
              <w:kinsoku/>
              <w:wordWrap/>
              <w:overflowPunct/>
              <w:topLinePunct w:val="0"/>
              <w:autoSpaceDE/>
              <w:autoSpaceDN/>
              <w:bidi w:val="0"/>
              <w:adjustRightInd w:val="0"/>
              <w:snapToGrid w:val="0"/>
              <w:spacing w:line="360" w:lineRule="auto"/>
              <w:ind w:firstLine="422" w:firstLineChars="200"/>
              <w:jc w:val="both"/>
              <w:textAlignment w:val="auto"/>
              <w:rPr>
                <w:rFonts w:hint="eastAsia"/>
                <w:b/>
                <w:bCs/>
                <w:color w:val="auto"/>
                <w:lang w:val="en-US" w:eastAsia="zh-CN"/>
              </w:rPr>
            </w:pPr>
            <w:r>
              <w:rPr>
                <w:rFonts w:hint="eastAsia"/>
                <w:b/>
                <w:bCs/>
                <w:color w:val="auto"/>
                <w:lang w:val="en-US" w:eastAsia="zh-CN"/>
              </w:rPr>
              <w:t>产污环节：</w:t>
            </w:r>
          </w:p>
          <w:p w14:paraId="2B48B118">
            <w:pPr>
              <w:keepNext w:val="0"/>
              <w:keepLines w:val="0"/>
              <w:pageBreakBefore w:val="0"/>
              <w:widowControl/>
              <w:kinsoku/>
              <w:wordWrap/>
              <w:overflowPunct/>
              <w:topLinePunct w:val="0"/>
              <w:autoSpaceDE/>
              <w:autoSpaceDN/>
              <w:bidi w:val="0"/>
              <w:adjustRightInd w:val="0"/>
              <w:snapToGrid w:val="0"/>
              <w:spacing w:line="360" w:lineRule="auto"/>
              <w:ind w:firstLine="422" w:firstLineChars="200"/>
              <w:jc w:val="both"/>
              <w:textAlignment w:val="auto"/>
              <w:rPr>
                <w:rFonts w:hint="eastAsia"/>
                <w:b/>
                <w:bCs/>
                <w:color w:val="auto"/>
                <w:lang w:val="en-US" w:eastAsia="zh-CN"/>
              </w:rPr>
            </w:pPr>
            <w:r>
              <w:rPr>
                <w:rFonts w:hint="eastAsia"/>
                <w:b/>
                <w:bCs/>
                <w:color w:val="auto"/>
                <w:lang w:val="en-US" w:eastAsia="zh-CN"/>
              </w:rPr>
              <w:t>废气：焙烧废气</w:t>
            </w:r>
            <w:r>
              <w:rPr>
                <w:rFonts w:hint="default"/>
                <w:b/>
                <w:bCs/>
                <w:color w:val="auto"/>
                <w:lang w:val="en-US" w:eastAsia="zh-CN"/>
              </w:rPr>
              <w:t>G</w:t>
            </w:r>
            <w:r>
              <w:rPr>
                <w:rFonts w:hint="eastAsia"/>
                <w:b/>
                <w:bCs/>
                <w:color w:val="auto"/>
                <w:lang w:val="en-US" w:eastAsia="zh-CN"/>
              </w:rPr>
              <w:t>17（二氧化硫、氮氧化物、颗粒物、盐酸酸雾）以及氧化铁粉仓、袋装机粉尘G18。</w:t>
            </w:r>
          </w:p>
          <w:p w14:paraId="2DA5BC60">
            <w:pPr>
              <w:keepNext w:val="0"/>
              <w:keepLines w:val="0"/>
              <w:pageBreakBefore w:val="0"/>
              <w:widowControl/>
              <w:kinsoku/>
              <w:wordWrap/>
              <w:overflowPunct/>
              <w:topLinePunct w:val="0"/>
              <w:autoSpaceDE/>
              <w:autoSpaceDN/>
              <w:bidi w:val="0"/>
              <w:adjustRightInd w:val="0"/>
              <w:snapToGrid w:val="0"/>
              <w:spacing w:line="360" w:lineRule="auto"/>
              <w:ind w:firstLine="422" w:firstLineChars="200"/>
              <w:jc w:val="both"/>
              <w:textAlignment w:val="auto"/>
              <w:rPr>
                <w:b/>
                <w:bCs/>
                <w:color w:val="auto"/>
              </w:rPr>
            </w:pPr>
            <w:r>
              <w:rPr>
                <w:rFonts w:hint="eastAsia"/>
                <w:b/>
                <w:bCs/>
                <w:color w:val="auto"/>
                <w:lang w:val="en-US" w:eastAsia="zh-CN"/>
              </w:rPr>
              <w:t>固废：杂质S13、氧化铁粉</w:t>
            </w:r>
            <w:r>
              <w:rPr>
                <w:rFonts w:hint="default"/>
                <w:b/>
                <w:bCs/>
                <w:color w:val="auto"/>
                <w:lang w:val="en-US" w:eastAsia="zh-CN"/>
              </w:rPr>
              <w:t>S</w:t>
            </w:r>
            <w:r>
              <w:rPr>
                <w:rFonts w:hint="eastAsia"/>
                <w:b/>
                <w:bCs/>
                <w:color w:val="auto"/>
                <w:lang w:val="en-US" w:eastAsia="zh-CN"/>
              </w:rPr>
              <w:t>14。</w:t>
            </w:r>
          </w:p>
          <w:p w14:paraId="6A575F35">
            <w:pPr>
              <w:keepNext w:val="0"/>
              <w:keepLines w:val="0"/>
              <w:pageBreakBefore w:val="0"/>
              <w:widowControl/>
              <w:kinsoku/>
              <w:wordWrap/>
              <w:overflowPunct/>
              <w:topLinePunct w:val="0"/>
              <w:autoSpaceDE/>
              <w:autoSpaceDN/>
              <w:bidi w:val="0"/>
              <w:adjustRightInd w:val="0"/>
              <w:snapToGrid w:val="0"/>
              <w:spacing w:line="360" w:lineRule="auto"/>
              <w:ind w:firstLine="422" w:firstLineChars="200"/>
              <w:textAlignment w:val="auto"/>
              <w:rPr>
                <w:rFonts w:hint="default"/>
                <w:color w:val="auto"/>
                <w:lang w:val="en-US" w:eastAsia="zh-CN"/>
              </w:rPr>
            </w:pPr>
            <w:r>
              <w:rPr>
                <w:rFonts w:hint="eastAsia" w:cs="Times New Roman"/>
                <w:b/>
                <w:bCs/>
                <w:color w:val="auto"/>
                <w:szCs w:val="28"/>
                <w:highlight w:val="none"/>
                <w:lang w:val="en-US" w:eastAsia="zh-CN"/>
              </w:rPr>
              <w:t>噪声：泵类、风机等设备运转噪声N。</w:t>
            </w:r>
          </w:p>
          <w:p w14:paraId="42DEAB35">
            <w:pPr>
              <w:keepNext w:val="0"/>
              <w:keepLines w:val="0"/>
              <w:pageBreakBefore w:val="0"/>
              <w:widowControl/>
              <w:kinsoku/>
              <w:wordWrap/>
              <w:overflowPunct/>
              <w:topLinePunct w:val="0"/>
              <w:autoSpaceDE/>
              <w:autoSpaceDN/>
              <w:bidi w:val="0"/>
              <w:adjustRightInd w:val="0"/>
              <w:snapToGrid w:val="0"/>
              <w:spacing w:line="360" w:lineRule="auto"/>
              <w:ind w:firstLine="422" w:firstLineChars="200"/>
              <w:textAlignment w:val="auto"/>
              <w:rPr>
                <w:rFonts w:hint="default" w:ascii="Times New Roman" w:hAnsi="Times New Roman" w:cs="Times New Roman"/>
                <w:b/>
                <w:bCs/>
                <w:color w:val="auto"/>
                <w:szCs w:val="28"/>
                <w:highlight w:val="none"/>
                <w:lang w:val="en-US" w:eastAsia="zh-CN"/>
              </w:rPr>
            </w:pPr>
            <w:r>
              <w:rPr>
                <w:rFonts w:hint="eastAsia" w:cs="Times New Roman"/>
                <w:b/>
                <w:bCs/>
                <w:color w:val="auto"/>
                <w:szCs w:val="28"/>
                <w:highlight w:val="none"/>
                <w:lang w:val="en-US" w:eastAsia="zh-CN"/>
              </w:rPr>
              <w:t>（2）冷轧</w:t>
            </w:r>
          </w:p>
          <w:p w14:paraId="19ABC98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s="Times New Roman"/>
                <w:snapToGrid w:val="0"/>
                <w:color w:val="auto"/>
                <w:highlight w:val="none"/>
                <w:lang w:val="en-US" w:eastAsia="zh-CN"/>
              </w:rPr>
            </w:pPr>
            <w:r>
              <w:rPr>
                <w:rFonts w:hint="eastAsia" w:cs="Times New Roman"/>
                <w:snapToGrid w:val="0"/>
                <w:color w:val="auto"/>
                <w:highlight w:val="none"/>
                <w:lang w:val="en-US" w:eastAsia="zh-CN"/>
              </w:rPr>
              <w:t>轧制工序对硅钢冷轧带钢的板型、表面、机械性能等参数起到决定性作用。常化酸洗机组处理后的钢卷由钢卷小车运输到轧前准备机组（CPL）</w:t>
            </w:r>
            <w:r>
              <w:rPr>
                <w:rFonts w:hint="eastAsia" w:cs="Times New Roman"/>
                <w:snapToGrid w:val="0"/>
                <w:color w:val="auto"/>
                <w:highlight w:val="none"/>
                <w:lang w:eastAsia="zh-CN"/>
              </w:rPr>
              <w:t>用于硅钢原料的准备处理，</w:t>
            </w:r>
            <w:r>
              <w:rPr>
                <w:rFonts w:hint="eastAsia" w:cs="Times New Roman"/>
                <w:snapToGrid w:val="0"/>
                <w:color w:val="auto"/>
                <w:highlight w:val="none"/>
                <w:lang w:val="en-US" w:eastAsia="zh-CN"/>
              </w:rPr>
              <w:t>进行</w:t>
            </w:r>
            <w:r>
              <w:rPr>
                <w:rFonts w:hint="eastAsia" w:cs="Times New Roman"/>
                <w:snapToGrid w:val="0"/>
                <w:color w:val="auto"/>
                <w:highlight w:val="none"/>
                <w:lang w:eastAsia="zh-CN"/>
              </w:rPr>
              <w:t>开卷、焊接引带（</w:t>
            </w:r>
            <w:r>
              <w:rPr>
                <w:rFonts w:hint="eastAsia" w:cs="Times New Roman"/>
                <w:snapToGrid w:val="0"/>
                <w:color w:val="auto"/>
                <w:highlight w:val="none"/>
                <w:lang w:val="en-US" w:eastAsia="zh-CN"/>
              </w:rPr>
              <w:t>激光焊接</w:t>
            </w:r>
            <w:r>
              <w:rPr>
                <w:rFonts w:hint="eastAsia" w:cs="Times New Roman"/>
                <w:snapToGrid w:val="0"/>
                <w:color w:val="auto"/>
                <w:highlight w:val="none"/>
                <w:lang w:eastAsia="zh-CN"/>
              </w:rPr>
              <w:t>）、剪切头尾、带钢加热</w:t>
            </w:r>
            <w:r>
              <w:rPr>
                <w:rFonts w:hint="eastAsia"/>
                <w:color w:val="auto"/>
                <w:lang w:eastAsia="zh-CN"/>
              </w:rPr>
              <w:t>（</w:t>
            </w:r>
            <w:r>
              <w:rPr>
                <w:rFonts w:hint="eastAsia"/>
                <w:color w:val="auto"/>
                <w:lang w:val="en-US" w:eastAsia="zh-CN"/>
              </w:rPr>
              <w:t>热源为蒸汽</w:t>
            </w:r>
            <w:r>
              <w:rPr>
                <w:rFonts w:hint="eastAsia"/>
                <w:color w:val="auto"/>
                <w:lang w:eastAsia="zh-CN"/>
              </w:rPr>
              <w:t>）</w:t>
            </w:r>
            <w:r>
              <w:rPr>
                <w:rFonts w:hint="eastAsia" w:cs="Times New Roman"/>
                <w:snapToGrid w:val="0"/>
                <w:color w:val="auto"/>
                <w:highlight w:val="none"/>
                <w:lang w:eastAsia="zh-CN"/>
              </w:rPr>
              <w:t>、带钢表面质量检查、分卷、卷取</w:t>
            </w:r>
            <w:r>
              <w:rPr>
                <w:rFonts w:hint="eastAsia" w:cs="Times New Roman"/>
                <w:snapToGrid w:val="0"/>
                <w:color w:val="auto"/>
                <w:highlight w:val="none"/>
                <w:lang w:val="en-US" w:eastAsia="zh-CN"/>
              </w:rPr>
              <w:t>工作，然后进入</w:t>
            </w:r>
            <w:r>
              <w:rPr>
                <w:rFonts w:hint="default" w:cs="Times New Roman"/>
                <w:snapToGrid w:val="0"/>
                <w:color w:val="auto"/>
                <w:highlight w:val="none"/>
                <w:lang w:val="en-US" w:eastAsia="zh-CN"/>
              </w:rPr>
              <w:t>二十辊单机架轧机机组</w:t>
            </w:r>
            <w:r>
              <w:rPr>
                <w:rFonts w:hint="eastAsia" w:cs="Times New Roman"/>
                <w:snapToGrid w:val="0"/>
                <w:color w:val="auto"/>
                <w:highlight w:val="none"/>
                <w:lang w:val="en-US" w:eastAsia="zh-CN"/>
              </w:rPr>
              <w:t>（RCM）进行轧制，带钢经过多道轧制到所需规格。轧机采用乳化液（由原料轧制油和纯水按浓度需求配置）对带钢进行润滑和冷却，乳化液循环使用，乳化液平均浓度约</w:t>
            </w:r>
            <w:r>
              <w:rPr>
                <w:rFonts w:hint="default" w:cs="Times New Roman"/>
                <w:snapToGrid w:val="0"/>
                <w:color w:val="auto"/>
                <w:highlight w:val="none"/>
                <w:lang w:val="en-US" w:eastAsia="zh-CN"/>
              </w:rPr>
              <w:t>3%</w:t>
            </w:r>
            <w:r>
              <w:rPr>
                <w:rFonts w:hint="eastAsia" w:cs="Times New Roman"/>
                <w:snapToGrid w:val="0"/>
                <w:color w:val="auto"/>
                <w:highlight w:val="none"/>
                <w:lang w:val="en-US" w:eastAsia="zh-CN"/>
              </w:rPr>
              <w:t>，带钢轧制到所要求的成品厚度和调质度后，由出口段张力卷取机卷成钢卷。</w:t>
            </w:r>
          </w:p>
          <w:p w14:paraId="2F8EC069">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eastAsia" w:cs="Times New Roman"/>
                <w:b/>
                <w:bCs/>
                <w:snapToGrid w:val="0"/>
                <w:color w:val="auto"/>
                <w:highlight w:val="none"/>
                <w:lang w:val="en-US" w:eastAsia="zh-CN"/>
              </w:rPr>
            </w:pPr>
            <w:r>
              <w:rPr>
                <w:rFonts w:hint="eastAsia" w:cs="Times New Roman"/>
                <w:b/>
                <w:bCs/>
                <w:snapToGrid w:val="0"/>
                <w:color w:val="auto"/>
                <w:highlight w:val="none"/>
                <w:lang w:val="en-US" w:eastAsia="zh-CN"/>
              </w:rPr>
              <w:t>产污环节：</w:t>
            </w:r>
          </w:p>
          <w:p w14:paraId="685123ED">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eastAsia" w:cs="Times New Roman"/>
                <w:b/>
                <w:bCs/>
                <w:snapToGrid w:val="0"/>
                <w:color w:val="auto"/>
                <w:highlight w:val="none"/>
                <w:lang w:val="en-US" w:eastAsia="zh-CN"/>
              </w:rPr>
            </w:pPr>
            <w:r>
              <w:rPr>
                <w:rFonts w:hint="eastAsia" w:cs="Times New Roman"/>
                <w:b/>
                <w:bCs/>
                <w:snapToGrid w:val="0"/>
                <w:color w:val="auto"/>
                <w:highlight w:val="none"/>
                <w:lang w:val="en-US" w:eastAsia="zh-CN"/>
              </w:rPr>
              <w:t>废气：焊接过程产生焊接烟尘G6，冷轧过程产生油雾G7；</w:t>
            </w:r>
          </w:p>
          <w:p w14:paraId="3D296A9C">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default" w:cs="Times New Roman"/>
                <w:b/>
                <w:bCs/>
                <w:snapToGrid w:val="0"/>
                <w:color w:val="auto"/>
                <w:highlight w:val="none"/>
                <w:lang w:val="en-US" w:eastAsia="zh-CN"/>
              </w:rPr>
            </w:pPr>
            <w:r>
              <w:rPr>
                <w:rFonts w:hint="eastAsia" w:cs="Times New Roman"/>
                <w:b/>
                <w:bCs/>
                <w:snapToGrid w:val="0"/>
                <w:color w:val="auto"/>
                <w:highlight w:val="none"/>
                <w:lang w:val="en-US" w:eastAsia="zh-CN"/>
              </w:rPr>
              <w:t>废水：</w:t>
            </w:r>
            <w:r>
              <w:rPr>
                <w:rFonts w:hint="eastAsia"/>
                <w:b/>
                <w:bCs/>
                <w:color w:val="auto"/>
                <w:lang w:val="en-US" w:eastAsia="zh-CN"/>
              </w:rPr>
              <w:t>冷轧工序产生含油和乳化液废水W3；</w:t>
            </w:r>
          </w:p>
          <w:p w14:paraId="5C95CF03">
            <w:pPr>
              <w:keepNext w:val="0"/>
              <w:keepLines w:val="0"/>
              <w:pageBreakBefore w:val="0"/>
              <w:widowControl/>
              <w:kinsoku/>
              <w:wordWrap/>
              <w:overflowPunct/>
              <w:topLinePunct w:val="0"/>
              <w:autoSpaceDE/>
              <w:autoSpaceDN/>
              <w:bidi w:val="0"/>
              <w:adjustRightInd w:val="0"/>
              <w:snapToGrid w:val="0"/>
              <w:spacing w:line="360" w:lineRule="auto"/>
              <w:ind w:firstLine="422" w:firstLineChars="200"/>
              <w:textAlignment w:val="auto"/>
              <w:rPr>
                <w:rFonts w:hint="eastAsia"/>
                <w:b/>
                <w:bCs/>
                <w:color w:val="auto"/>
                <w:lang w:val="en-US" w:eastAsia="zh-CN"/>
              </w:rPr>
            </w:pPr>
            <w:r>
              <w:rPr>
                <w:rFonts w:hint="eastAsia"/>
                <w:b/>
                <w:bCs/>
                <w:color w:val="auto"/>
                <w:lang w:val="en-US" w:eastAsia="zh-CN"/>
              </w:rPr>
              <w:t>固废：剪切工序产生边角料S5，焊渣S4；</w:t>
            </w:r>
          </w:p>
          <w:p w14:paraId="702D4CEC">
            <w:pPr>
              <w:keepNext w:val="0"/>
              <w:keepLines w:val="0"/>
              <w:pageBreakBefore w:val="0"/>
              <w:widowControl/>
              <w:kinsoku/>
              <w:wordWrap/>
              <w:overflowPunct/>
              <w:topLinePunct w:val="0"/>
              <w:autoSpaceDE/>
              <w:autoSpaceDN/>
              <w:bidi w:val="0"/>
              <w:adjustRightInd w:val="0"/>
              <w:snapToGrid w:val="0"/>
              <w:spacing w:line="360" w:lineRule="auto"/>
              <w:ind w:firstLine="422" w:firstLineChars="200"/>
              <w:textAlignment w:val="auto"/>
              <w:rPr>
                <w:rFonts w:hint="default"/>
                <w:b/>
                <w:bCs/>
                <w:color w:val="auto"/>
                <w:lang w:val="en-US" w:eastAsia="zh-CN"/>
              </w:rPr>
            </w:pPr>
            <w:r>
              <w:rPr>
                <w:rFonts w:hint="eastAsia" w:cs="Times New Roman"/>
                <w:b/>
                <w:bCs/>
                <w:color w:val="auto"/>
                <w:szCs w:val="28"/>
                <w:highlight w:val="none"/>
                <w:lang w:val="en-US" w:eastAsia="zh-CN"/>
              </w:rPr>
              <w:t>噪声：开卷机、泵类、风机等设备运转噪声N。</w:t>
            </w:r>
          </w:p>
          <w:p w14:paraId="61DA955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2" w:firstLineChars="200"/>
              <w:textAlignment w:val="auto"/>
              <w:rPr>
                <w:rFonts w:hint="eastAsia" w:cs="Times New Roman"/>
                <w:b/>
                <w:bCs/>
                <w:snapToGrid w:val="0"/>
                <w:color w:val="auto"/>
                <w:highlight w:val="none"/>
                <w:lang w:val="en-US" w:eastAsia="zh-CN"/>
              </w:rPr>
            </w:pPr>
            <w:r>
              <w:rPr>
                <w:rFonts w:hint="eastAsia" w:ascii="Times New Roman" w:hAnsi="Times New Roman" w:eastAsia="宋体" w:cs="Times New Roman"/>
                <w:b/>
                <w:bCs/>
                <w:snapToGrid w:val="0"/>
                <w:color w:val="auto"/>
                <w:kern w:val="2"/>
                <w:sz w:val="21"/>
                <w:szCs w:val="24"/>
                <w:lang w:val="en-US" w:eastAsia="zh-CN" w:bidi="ar-SA"/>
              </w:rPr>
              <w:t>（</w:t>
            </w:r>
            <w:r>
              <w:rPr>
                <w:rFonts w:hint="eastAsia" w:cs="Times New Roman"/>
                <w:b/>
                <w:bCs/>
                <w:snapToGrid w:val="0"/>
                <w:color w:val="auto"/>
                <w:kern w:val="2"/>
                <w:sz w:val="21"/>
                <w:szCs w:val="24"/>
                <w:lang w:val="en-US" w:eastAsia="zh-CN" w:bidi="ar-SA"/>
              </w:rPr>
              <w:t>3</w:t>
            </w:r>
            <w:r>
              <w:rPr>
                <w:rFonts w:hint="eastAsia" w:ascii="Times New Roman" w:hAnsi="Times New Roman" w:eastAsia="宋体" w:cs="Times New Roman"/>
                <w:b/>
                <w:bCs/>
                <w:snapToGrid w:val="0"/>
                <w:color w:val="auto"/>
                <w:kern w:val="2"/>
                <w:sz w:val="21"/>
                <w:szCs w:val="24"/>
                <w:lang w:val="en-US" w:eastAsia="zh-CN" w:bidi="ar-SA"/>
              </w:rPr>
              <w:t>）</w:t>
            </w:r>
            <w:r>
              <w:rPr>
                <w:rFonts w:hint="eastAsia" w:cs="Times New Roman"/>
                <w:b/>
                <w:bCs/>
                <w:snapToGrid w:val="0"/>
                <w:color w:val="auto"/>
                <w:highlight w:val="none"/>
                <w:lang w:val="en-US" w:eastAsia="zh-CN"/>
              </w:rPr>
              <w:t>取向硅钢脱碳退火涂层</w:t>
            </w:r>
          </w:p>
          <w:p w14:paraId="24DF929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eastAsia" w:cs="Times New Roman"/>
                <w:snapToGrid w:val="0"/>
                <w:color w:val="auto"/>
                <w:highlight w:val="none"/>
                <w:lang w:val="en-US" w:eastAsia="zh-CN"/>
              </w:rPr>
              <w:t>在</w:t>
            </w:r>
            <w:r>
              <w:rPr>
                <w:rFonts w:hint="default" w:cs="Times New Roman"/>
                <w:snapToGrid w:val="0"/>
                <w:color w:val="auto"/>
                <w:highlight w:val="none"/>
                <w:lang w:val="en-US" w:eastAsia="zh-CN"/>
              </w:rPr>
              <w:t>取向硅钢脱碳</w:t>
            </w:r>
            <w:r>
              <w:rPr>
                <w:rFonts w:hint="eastAsia" w:cs="Times New Roman"/>
                <w:snapToGrid w:val="0"/>
                <w:color w:val="auto"/>
                <w:highlight w:val="none"/>
                <w:lang w:val="en-US" w:eastAsia="zh-CN"/>
              </w:rPr>
              <w:t>退火</w:t>
            </w:r>
            <w:r>
              <w:rPr>
                <w:rFonts w:hint="default" w:cs="Times New Roman"/>
                <w:snapToGrid w:val="0"/>
                <w:color w:val="auto"/>
                <w:highlight w:val="none"/>
                <w:lang w:val="en-US" w:eastAsia="zh-CN"/>
              </w:rPr>
              <w:t>渗氮MgO涂层(DCL)机组</w:t>
            </w:r>
            <w:r>
              <w:rPr>
                <w:rFonts w:hint="eastAsia" w:cs="Times New Roman"/>
                <w:snapToGrid w:val="0"/>
                <w:color w:val="auto"/>
                <w:highlight w:val="none"/>
                <w:lang w:val="en-US" w:eastAsia="zh-CN"/>
              </w:rPr>
              <w:t>进行</w:t>
            </w:r>
            <w:r>
              <w:rPr>
                <w:rFonts w:hint="default" w:cs="Times New Roman"/>
                <w:snapToGrid w:val="0"/>
                <w:color w:val="auto"/>
                <w:highlight w:val="none"/>
                <w:lang w:val="en-US" w:eastAsia="zh-CN"/>
              </w:rPr>
              <w:t>，</w:t>
            </w:r>
            <w:r>
              <w:rPr>
                <w:rFonts w:hint="eastAsia" w:cs="Times New Roman"/>
                <w:snapToGrid w:val="0"/>
                <w:color w:val="auto"/>
                <w:highlight w:val="none"/>
                <w:lang w:val="en-US" w:eastAsia="zh-CN"/>
              </w:rPr>
              <w:t>该</w:t>
            </w:r>
            <w:r>
              <w:rPr>
                <w:rFonts w:hint="default" w:cs="Times New Roman"/>
                <w:snapToGrid w:val="0"/>
                <w:color w:val="auto"/>
                <w:highlight w:val="none"/>
                <w:lang w:val="en-US" w:eastAsia="zh-CN"/>
              </w:rPr>
              <w:t>机组的功能是去除前冷轧工序造成的带钢表面油脂、油污，然后进行脱碳渗氮退火处理，以降低钢中含碳量，最后在带钢表面涂覆MgO，并将涂层烘干、烧结，以方便后续整卷高温退火而不粘连。</w:t>
            </w:r>
            <w:r>
              <w:rPr>
                <w:rFonts w:hint="eastAsia" w:cs="Times New Roman"/>
                <w:snapToGrid w:val="0"/>
                <w:color w:val="auto"/>
                <w:highlight w:val="none"/>
                <w:lang w:val="en-US" w:eastAsia="zh-CN"/>
              </w:rPr>
              <w:t>主要工艺包括：</w:t>
            </w:r>
            <w:r>
              <w:rPr>
                <w:rFonts w:hint="default" w:cs="Times New Roman"/>
                <w:snapToGrid w:val="0"/>
                <w:color w:val="auto"/>
                <w:highlight w:val="none"/>
                <w:lang w:val="en-US" w:eastAsia="zh-CN"/>
              </w:rPr>
              <w:t>上卷</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开卷</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夹送</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剪切头尾</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焊接</w:t>
            </w:r>
            <w:r>
              <w:rPr>
                <w:rFonts w:hint="eastAsia"/>
                <w:color w:val="auto"/>
                <w:lang w:val="en-US" w:eastAsia="zh-CN"/>
              </w:rPr>
              <w:t>并卷（电阻焊接）</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入口活套</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碱喷刷洗</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电解脱脂</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水刷洗</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水喷淋</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挤干</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烘干机</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DCL</w:t>
            </w:r>
            <w:r>
              <w:rPr>
                <w:rFonts w:hint="eastAsia" w:cs="Times New Roman"/>
                <w:snapToGrid w:val="0"/>
                <w:color w:val="auto"/>
                <w:highlight w:val="none"/>
                <w:lang w:val="en-US" w:eastAsia="zh-CN"/>
              </w:rPr>
              <w:t>退火</w:t>
            </w:r>
            <w:r>
              <w:rPr>
                <w:rFonts w:hint="default" w:cs="Times New Roman"/>
                <w:snapToGrid w:val="0"/>
                <w:color w:val="auto"/>
                <w:highlight w:val="none"/>
                <w:lang w:val="en-US" w:eastAsia="zh-CN"/>
              </w:rPr>
              <w:t>炉(加热</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脱碳</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渗氮</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循环喷气冷却</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空气喷射冷却)</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出口活套</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清洗烘干</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Mg</w:t>
            </w:r>
            <w:r>
              <w:rPr>
                <w:rFonts w:hint="eastAsia" w:cs="Times New Roman"/>
                <w:snapToGrid w:val="0"/>
                <w:color w:val="auto"/>
                <w:highlight w:val="none"/>
                <w:lang w:val="en-US" w:eastAsia="zh-CN"/>
              </w:rPr>
              <w:t>O</w:t>
            </w:r>
            <w:r>
              <w:rPr>
                <w:rFonts w:hint="default" w:cs="Times New Roman"/>
                <w:snapToGrid w:val="0"/>
                <w:color w:val="auto"/>
                <w:highlight w:val="none"/>
                <w:lang w:val="en-US" w:eastAsia="zh-CN"/>
              </w:rPr>
              <w:t>涂层</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涂层烘干烧结(DF烘干炉)</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空气喷射冷却</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夹送</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剪切分卷</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张力卷取</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卸卷打包。</w:t>
            </w:r>
          </w:p>
          <w:p w14:paraId="3DEFF55A">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eastAsia" w:cs="Times New Roman"/>
                <w:snapToGrid w:val="0"/>
                <w:color w:val="auto"/>
                <w:highlight w:val="none"/>
                <w:lang w:val="en-US" w:eastAsia="zh-CN"/>
              </w:rPr>
            </w:pPr>
            <w:r>
              <w:rPr>
                <w:rFonts w:hint="eastAsia" w:cs="Times New Roman"/>
                <w:b/>
                <w:bCs/>
                <w:snapToGrid w:val="0"/>
                <w:color w:val="auto"/>
                <w:highlight w:val="none"/>
                <w:lang w:val="en-US" w:eastAsia="zh-CN"/>
              </w:rPr>
              <w:t>碱洗：</w:t>
            </w:r>
            <w:r>
              <w:rPr>
                <w:rFonts w:hint="eastAsia" w:cs="Times New Roman"/>
                <w:snapToGrid w:val="0"/>
                <w:color w:val="auto"/>
                <w:highlight w:val="none"/>
                <w:lang w:val="en-US" w:eastAsia="zh-CN"/>
              </w:rPr>
              <w:t>项目物料从冷轧工序出来后进入碱洗段，将物料表面的轧制油、氧化铁粉等清洗干净。碱洗段水平布置，配置有碱冲洗、电解脱脂等设备。</w:t>
            </w:r>
          </w:p>
          <w:p w14:paraId="3B63C28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eastAsia" w:cs="Times New Roman"/>
                <w:snapToGrid w:val="0"/>
                <w:color w:val="auto"/>
                <w:highlight w:val="none"/>
                <w:lang w:val="en-US" w:eastAsia="zh-CN"/>
              </w:rPr>
              <w:t>①将加温的脱脂溶液（氢氧化钠溶液）以一定冲击强度喷到钢卷表面，使其在一定时间内与基材表面的油、灰尘混合，并携裹脱离。出口处用一对挤干辊挤压钢板表面，用于除去钢板表面残液。碱液循环罐通过循环泵向碱清洗槽提供碱洗液，碱洗液浓度为3</w:t>
            </w:r>
            <w:r>
              <w:rPr>
                <w:rFonts w:hint="default" w:cs="Times New Roman"/>
                <w:snapToGrid w:val="0"/>
                <w:color w:val="auto"/>
                <w:highlight w:val="none"/>
                <w:lang w:val="en-US" w:eastAsia="zh-CN"/>
              </w:rPr>
              <w:t>%~</w:t>
            </w:r>
            <w:r>
              <w:rPr>
                <w:rFonts w:hint="eastAsia" w:cs="Times New Roman"/>
                <w:snapToGrid w:val="0"/>
                <w:color w:val="auto"/>
                <w:highlight w:val="none"/>
                <w:lang w:val="en-US" w:eastAsia="zh-CN"/>
              </w:rPr>
              <w:t xml:space="preserve">6 </w:t>
            </w:r>
            <w:r>
              <w:rPr>
                <w:rFonts w:hint="default" w:cs="Times New Roman"/>
                <w:snapToGrid w:val="0"/>
                <w:color w:val="auto"/>
                <w:highlight w:val="none"/>
                <w:lang w:val="en-US" w:eastAsia="zh-CN"/>
              </w:rPr>
              <w:t>%</w:t>
            </w:r>
            <w:r>
              <w:rPr>
                <w:rFonts w:hint="eastAsia" w:cs="Times New Roman"/>
                <w:snapToGrid w:val="0"/>
                <w:color w:val="auto"/>
                <w:highlight w:val="none"/>
                <w:lang w:val="en-US" w:eastAsia="zh-CN"/>
              </w:rPr>
              <w:t>（采用外购碱粉与脱盐水配制而成），定期进行补充碱洗液，温度为</w:t>
            </w:r>
            <w:r>
              <w:rPr>
                <w:rFonts w:hint="default" w:cs="Times New Roman"/>
                <w:snapToGrid w:val="0"/>
                <w:color w:val="auto"/>
                <w:highlight w:val="none"/>
                <w:lang w:val="en-US" w:eastAsia="zh-CN"/>
              </w:rPr>
              <w:t>60~65℃</w:t>
            </w:r>
            <w:r>
              <w:rPr>
                <w:rFonts w:hint="eastAsia" w:cs="Times New Roman"/>
                <w:snapToGrid w:val="0"/>
                <w:color w:val="auto"/>
                <w:highlight w:val="none"/>
                <w:lang w:val="en-US" w:eastAsia="zh-CN"/>
              </w:rPr>
              <w:t>，采用电加热。</w:t>
            </w:r>
          </w:p>
          <w:p w14:paraId="4D434AD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s="Times New Roman"/>
                <w:snapToGrid w:val="0"/>
                <w:color w:val="auto"/>
                <w:highlight w:val="none"/>
                <w:lang w:val="en-US" w:eastAsia="zh-CN"/>
              </w:rPr>
            </w:pPr>
            <w:r>
              <w:rPr>
                <w:rFonts w:hint="eastAsia" w:cs="Times New Roman"/>
                <w:snapToGrid w:val="0"/>
                <w:color w:val="auto"/>
                <w:highlight w:val="none"/>
                <w:lang w:val="en-US" w:eastAsia="zh-CN"/>
              </w:rPr>
              <w:t>②电解清洗：带钢通过装向辊完全浸入电解液中并通过</w:t>
            </w:r>
            <w:r>
              <w:rPr>
                <w:rFonts w:hint="default" w:cs="Times New Roman"/>
                <w:snapToGrid w:val="0"/>
                <w:color w:val="auto"/>
                <w:highlight w:val="none"/>
                <w:lang w:val="en-US" w:eastAsia="zh-CN"/>
              </w:rPr>
              <w:t>2</w:t>
            </w:r>
            <w:r>
              <w:rPr>
                <w:rFonts w:hint="eastAsia" w:cs="Times New Roman"/>
                <w:snapToGrid w:val="0"/>
                <w:color w:val="auto"/>
                <w:highlight w:val="none"/>
                <w:lang w:val="en-US" w:eastAsia="zh-CN"/>
              </w:rPr>
              <w:t>组电极板，由于带钢在电极板之间感应出大量电荷，与水溶液发生电解反应，带钢表面析出大量氢气和氧气，在氢氧的推动作用下，残留于带钢粗糙表面中的污垢就进一步被清除出来。该系统是使用管道循环泵作为动力，将清洗液从集水箱引出，一部分通过引射管路注入电解脱脂槽，清洗带钢表面并回流到集水箱中，另一部分通过喷嘴喷射到带钢表面和滚刷机辊面并回流到集水箱中。</w:t>
            </w:r>
          </w:p>
          <w:p w14:paraId="3C7AF0F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s="Times New Roman"/>
                <w:snapToGrid w:val="0"/>
                <w:color w:val="auto"/>
                <w:highlight w:val="none"/>
                <w:lang w:val="en-US" w:eastAsia="zh-CN"/>
              </w:rPr>
            </w:pPr>
            <w:r>
              <w:rPr>
                <w:rFonts w:hint="eastAsia" w:cs="Times New Roman"/>
                <w:snapToGrid w:val="0"/>
                <w:color w:val="auto"/>
                <w:highlight w:val="none"/>
                <w:lang w:val="en-US" w:eastAsia="zh-CN"/>
              </w:rPr>
              <w:t>电解碱清洗液浓度3</w:t>
            </w:r>
            <w:r>
              <w:rPr>
                <w:rFonts w:hint="default" w:cs="Times New Roman"/>
                <w:snapToGrid w:val="0"/>
                <w:color w:val="auto"/>
                <w:highlight w:val="none"/>
                <w:lang w:val="en-US" w:eastAsia="zh-CN"/>
              </w:rPr>
              <w:t>%-</w:t>
            </w:r>
            <w:r>
              <w:rPr>
                <w:rFonts w:hint="eastAsia" w:cs="Times New Roman"/>
                <w:snapToGrid w:val="0"/>
                <w:color w:val="auto"/>
                <w:highlight w:val="none"/>
                <w:lang w:val="en-US" w:eastAsia="zh-CN"/>
              </w:rPr>
              <w:t>6</w:t>
            </w:r>
            <w:r>
              <w:rPr>
                <w:rFonts w:hint="default" w:cs="Times New Roman"/>
                <w:snapToGrid w:val="0"/>
                <w:color w:val="auto"/>
                <w:highlight w:val="none"/>
                <w:lang w:val="en-US" w:eastAsia="zh-CN"/>
              </w:rPr>
              <w:t>%</w:t>
            </w:r>
            <w:r>
              <w:rPr>
                <w:rFonts w:hint="eastAsia" w:cs="Times New Roman"/>
                <w:snapToGrid w:val="0"/>
                <w:color w:val="auto"/>
                <w:highlight w:val="none"/>
                <w:lang w:val="en-US" w:eastAsia="zh-CN"/>
              </w:rPr>
              <w:t>（采用外购碱粉与脱盐水配制而成），温度为</w:t>
            </w:r>
            <w:r>
              <w:rPr>
                <w:rFonts w:hint="default" w:cs="Times New Roman"/>
                <w:snapToGrid w:val="0"/>
                <w:color w:val="auto"/>
                <w:highlight w:val="none"/>
                <w:lang w:val="en-US" w:eastAsia="zh-CN"/>
              </w:rPr>
              <w:t>55-65℃</w:t>
            </w:r>
            <w:r>
              <w:rPr>
                <w:rFonts w:hint="eastAsia" w:cs="Times New Roman"/>
                <w:snapToGrid w:val="0"/>
                <w:color w:val="auto"/>
                <w:highlight w:val="none"/>
                <w:lang w:val="en-US" w:eastAsia="zh-CN"/>
              </w:rPr>
              <w:t>左右，采用电加热。</w:t>
            </w:r>
          </w:p>
          <w:p w14:paraId="3B8AE90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eastAsia" w:cs="Times New Roman"/>
                <w:snapToGrid w:val="0"/>
                <w:color w:val="auto"/>
                <w:highlight w:val="none"/>
                <w:lang w:val="en-US" w:eastAsia="zh-CN"/>
              </w:rPr>
              <w:t>③水洗：项目采用三段水洗，</w:t>
            </w:r>
            <w:r>
              <w:rPr>
                <w:rFonts w:hint="default" w:cs="Times New Roman"/>
                <w:snapToGrid w:val="0"/>
                <w:color w:val="auto"/>
                <w:highlight w:val="none"/>
                <w:lang w:val="en-US" w:eastAsia="zh-CN"/>
              </w:rPr>
              <w:t>Ⅰ</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Ⅱ</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Ⅲ</w:t>
            </w:r>
            <w:r>
              <w:rPr>
                <w:rFonts w:hint="eastAsia" w:cs="Times New Roman"/>
                <w:snapToGrid w:val="0"/>
                <w:color w:val="auto"/>
                <w:highlight w:val="none"/>
                <w:lang w:val="en-US" w:eastAsia="zh-CN"/>
              </w:rPr>
              <w:t>该部分各段分别有独立的泵体、集水箱及喷淋循环系统，各集水箱相互连通，并遵循逆向用水原则相互组成一个整体用水系统。通过喷淋管及喷嘴将热水喷淋在带钢表面对带钢进行清洗的设备。将加温的软化水以一定冲击强度喷到基材表面，使其在较短时间内完成对钢卷表面残留的脱脂液的冲洗。</w:t>
            </w:r>
          </w:p>
          <w:p w14:paraId="42F3E29D">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default" w:eastAsia="宋体" w:cs="Times New Roman"/>
                <w:snapToGrid w:val="0"/>
                <w:color w:val="auto"/>
                <w:highlight w:val="yellow"/>
                <w:lang w:val="en-US" w:eastAsia="zh-CN"/>
              </w:rPr>
            </w:pPr>
            <w:r>
              <w:rPr>
                <w:rFonts w:hint="eastAsia" w:cs="Times New Roman"/>
                <w:b/>
                <w:bCs/>
                <w:snapToGrid w:val="0"/>
                <w:color w:val="auto"/>
                <w:highlight w:val="none"/>
                <w:lang w:val="en-US" w:eastAsia="zh-CN"/>
              </w:rPr>
              <w:t>退火：</w:t>
            </w:r>
            <w:r>
              <w:rPr>
                <w:rFonts w:hint="eastAsia" w:cs="Times New Roman"/>
                <w:snapToGrid w:val="0"/>
                <w:color w:val="auto"/>
                <w:highlight w:val="none"/>
                <w:lang w:val="en-US" w:eastAsia="zh-CN"/>
              </w:rPr>
              <w:t>经脱脂处理后的带钢烘干（热风热量来源于本机组退火炉高温烟气，通过热交换器间接交换热量获得）后由张力辊、测张辊进入</w:t>
            </w:r>
            <w:r>
              <w:rPr>
                <w:rFonts w:hint="default" w:cs="Times New Roman"/>
                <w:snapToGrid w:val="0"/>
                <w:color w:val="auto"/>
                <w:highlight w:val="none"/>
                <w:lang w:val="en-US" w:eastAsia="zh-CN"/>
              </w:rPr>
              <w:t>DCL</w:t>
            </w:r>
            <w:r>
              <w:rPr>
                <w:rFonts w:hint="eastAsia" w:cs="Times New Roman"/>
                <w:snapToGrid w:val="0"/>
                <w:color w:val="auto"/>
                <w:highlight w:val="none"/>
                <w:lang w:val="en-US" w:eastAsia="zh-CN"/>
              </w:rPr>
              <w:t>工艺段，对带钢进行脱碳渗氮退火处理。采用DCL多段式连续热处理炉对冷轧后低温高磁感取向硅钢进行一系列工艺处理，使带钢含碳量和含氮量达到规定范围，以消除冷轧带钢内应力，主要包括脱碳退火、渗氮处理等：该过程向炉内直接通入液氨，液氨经高温（约800~900℃）分解（分解率99.8%）成氮气和氢气，氮气和氢气是机组最稳定的保护气氛来源。氢气作为还原介质，与钢带表面碳反应生成CO排出，配合湿气氛（</w:t>
            </w:r>
            <w:r>
              <w:rPr>
                <w:rFonts w:hint="default" w:ascii="Times New Roman" w:hAnsi="Times New Roman" w:cs="Times New Roman"/>
                <w:snapToGrid w:val="0"/>
                <w:color w:val="auto"/>
                <w:highlight w:val="none"/>
                <w:lang w:val="en-US" w:eastAsia="zh-CN"/>
              </w:rPr>
              <w:t>H₂O</w:t>
            </w:r>
            <w:r>
              <w:rPr>
                <w:rFonts w:hint="eastAsia" w:cs="Times New Roman"/>
                <w:snapToGrid w:val="0"/>
                <w:color w:val="auto"/>
                <w:highlight w:val="none"/>
                <w:lang w:val="en-US" w:eastAsia="zh-CN"/>
              </w:rPr>
              <w:t>）实现深度脱碳，满足磁性能要求。取向硅钢需涂覆MgO隔离层，高温下与钢带表面</w:t>
            </w:r>
            <w:r>
              <w:rPr>
                <w:rFonts w:hint="default" w:ascii="Times New Roman" w:hAnsi="Times New Roman" w:cs="Times New Roman"/>
                <w:snapToGrid w:val="0"/>
                <w:color w:val="auto"/>
                <w:highlight w:val="none"/>
                <w:lang w:val="en-US" w:eastAsia="zh-CN"/>
              </w:rPr>
              <w:t>SiO₂</w:t>
            </w:r>
            <w:r>
              <w:rPr>
                <w:rFonts w:hint="eastAsia" w:cs="Times New Roman"/>
                <w:snapToGrid w:val="0"/>
                <w:color w:val="auto"/>
                <w:highlight w:val="none"/>
                <w:lang w:val="en-US" w:eastAsia="zh-CN"/>
              </w:rPr>
              <w:t>反应生成</w:t>
            </w:r>
            <w:r>
              <w:rPr>
                <w:rFonts w:hint="default" w:ascii="Times New Roman" w:hAnsi="Times New Roman" w:cs="Times New Roman"/>
                <w:snapToGrid w:val="0"/>
                <w:color w:val="auto"/>
                <w:highlight w:val="none"/>
                <w:lang w:val="en-US" w:eastAsia="zh-CN"/>
              </w:rPr>
              <w:t>Mg₂SiO₄</w:t>
            </w:r>
            <w:r>
              <w:rPr>
                <w:rFonts w:hint="eastAsia" w:cs="Times New Roman"/>
                <w:snapToGrid w:val="0"/>
                <w:color w:val="auto"/>
                <w:highlight w:val="none"/>
                <w:lang w:val="en-US" w:eastAsia="zh-CN"/>
              </w:rPr>
              <w:t>底层。液氨分解的氮气提供稳定惰性环境，氢气促进反应进行，确保底层均匀、绝缘性与附着力达标。</w:t>
            </w:r>
            <w:r>
              <w:rPr>
                <w:rFonts w:hint="eastAsia" w:ascii="Times New Roman" w:hAnsi="Times New Roman" w:eastAsia="宋体" w:cs="Times New Roman"/>
                <w:snapToGrid w:val="0"/>
                <w:color w:val="auto"/>
                <w:highlight w:val="none"/>
                <w:lang w:val="en-US" w:eastAsia="zh-CN"/>
              </w:rPr>
              <w:t>液氨在液氨罐内常温储存，压力0.8-1MPa，常温下液氨的饱和蒸气压约0.75MPa，略小于储存压力，因此本次不考虑液氨储罐挥发。</w:t>
            </w:r>
          </w:p>
          <w:p w14:paraId="50D6F015">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default" w:cs="Times New Roman"/>
                <w:snapToGrid w:val="0"/>
                <w:color w:val="auto"/>
                <w:highlight w:val="none"/>
                <w:lang w:val="en-US" w:eastAsia="zh-CN"/>
              </w:rPr>
            </w:pPr>
            <w:r>
              <w:rPr>
                <w:rFonts w:hint="default" w:cs="Times New Roman"/>
                <w:b/>
                <w:bCs/>
                <w:snapToGrid w:val="0"/>
                <w:color w:val="auto"/>
                <w:highlight w:val="none"/>
                <w:lang w:val="en-US" w:eastAsia="zh-CN"/>
              </w:rPr>
              <w:t>MgO</w:t>
            </w:r>
            <w:r>
              <w:rPr>
                <w:rFonts w:hint="eastAsia" w:cs="Times New Roman"/>
                <w:b/>
                <w:bCs/>
                <w:snapToGrid w:val="0"/>
                <w:color w:val="auto"/>
                <w:highlight w:val="none"/>
                <w:lang w:val="en-US" w:eastAsia="zh-CN"/>
              </w:rPr>
              <w:t>涂层：</w:t>
            </w:r>
            <w:r>
              <w:rPr>
                <w:rFonts w:hint="eastAsia" w:cs="Times New Roman"/>
                <w:snapToGrid w:val="0"/>
                <w:color w:val="auto"/>
                <w:highlight w:val="none"/>
                <w:lang w:val="en-US" w:eastAsia="zh-CN"/>
              </w:rPr>
              <w:t>涂层涂料由</w:t>
            </w:r>
            <w:r>
              <w:rPr>
                <w:rFonts w:hint="default" w:cs="Times New Roman"/>
                <w:snapToGrid w:val="0"/>
                <w:color w:val="auto"/>
                <w:highlight w:val="none"/>
                <w:lang w:val="en-US" w:eastAsia="zh-CN"/>
              </w:rPr>
              <w:t>MgO</w:t>
            </w:r>
            <w:r>
              <w:rPr>
                <w:rFonts w:hint="eastAsia" w:cs="Times New Roman"/>
                <w:snapToGrid w:val="0"/>
                <w:color w:val="auto"/>
                <w:highlight w:val="none"/>
                <w:lang w:val="en-US" w:eastAsia="zh-CN"/>
              </w:rPr>
              <w:t>加纯水配制而成，涂层在常温下进行，采用辊涂方法；涂层液收集槽内收集的</w:t>
            </w:r>
            <w:r>
              <w:rPr>
                <w:rFonts w:hint="default" w:cs="Times New Roman"/>
                <w:snapToGrid w:val="0"/>
                <w:color w:val="auto"/>
                <w:highlight w:val="none"/>
                <w:lang w:val="en-US" w:eastAsia="zh-CN"/>
              </w:rPr>
              <w:t>MgO</w:t>
            </w:r>
            <w:r>
              <w:rPr>
                <w:rFonts w:hint="eastAsia" w:cs="Times New Roman"/>
                <w:snapToGrid w:val="0"/>
                <w:color w:val="auto"/>
                <w:highlight w:val="none"/>
                <w:lang w:val="en-US" w:eastAsia="zh-CN"/>
              </w:rPr>
              <w:t>涂层液循环使用，涂层液收集槽定期清洗，清洗废水经沉淀过滤后回用于</w:t>
            </w:r>
            <w:r>
              <w:rPr>
                <w:rFonts w:hint="default" w:cs="Times New Roman"/>
                <w:snapToGrid w:val="0"/>
                <w:color w:val="auto"/>
                <w:highlight w:val="none"/>
                <w:lang w:val="en-US" w:eastAsia="zh-CN"/>
              </w:rPr>
              <w:t>MgO</w:t>
            </w:r>
            <w:r>
              <w:rPr>
                <w:rFonts w:hint="eastAsia" w:cs="Times New Roman"/>
                <w:snapToGrid w:val="0"/>
                <w:color w:val="auto"/>
                <w:highlight w:val="none"/>
                <w:lang w:val="en-US" w:eastAsia="zh-CN"/>
              </w:rPr>
              <w:t>收集槽清洗用水。</w:t>
            </w:r>
          </w:p>
          <w:p w14:paraId="0C832D34">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eastAsia" w:cs="Times New Roman"/>
                <w:snapToGrid w:val="0"/>
                <w:color w:val="auto"/>
                <w:highlight w:val="none"/>
                <w:lang w:val="en-US" w:eastAsia="zh-CN"/>
              </w:rPr>
            </w:pPr>
            <w:r>
              <w:rPr>
                <w:rFonts w:hint="eastAsia" w:cs="Times New Roman"/>
                <w:b/>
                <w:bCs/>
                <w:snapToGrid w:val="0"/>
                <w:color w:val="auto"/>
                <w:highlight w:val="none"/>
                <w:lang w:val="en-US" w:eastAsia="zh-CN"/>
              </w:rPr>
              <w:t>烘干烧结：</w:t>
            </w:r>
            <w:r>
              <w:rPr>
                <w:rFonts w:hint="eastAsia" w:cs="Times New Roman"/>
                <w:snapToGrid w:val="0"/>
                <w:color w:val="auto"/>
                <w:highlight w:val="none"/>
                <w:lang w:val="en-US" w:eastAsia="zh-CN"/>
              </w:rPr>
              <w:t>干燥</w:t>
            </w:r>
            <w:r>
              <w:rPr>
                <w:rFonts w:hint="default" w:cs="Times New Roman"/>
                <w:snapToGrid w:val="0"/>
                <w:color w:val="auto"/>
                <w:highlight w:val="none"/>
                <w:lang w:val="en-US" w:eastAsia="zh-CN"/>
              </w:rPr>
              <w:t>MgO</w:t>
            </w:r>
            <w:r>
              <w:rPr>
                <w:rFonts w:hint="eastAsia" w:cs="Times New Roman"/>
                <w:snapToGrid w:val="0"/>
                <w:color w:val="auto"/>
                <w:highlight w:val="none"/>
                <w:lang w:val="en-US" w:eastAsia="zh-CN"/>
              </w:rPr>
              <w:t>涂层，采用明火烧嘴进行加热，烧嘴安装在炉子的侧墙上，布置在带钢上下；炉温分4段控制，最高炉温</w:t>
            </w:r>
            <w:r>
              <w:rPr>
                <w:rFonts w:hint="default" w:cs="Times New Roman"/>
                <w:snapToGrid w:val="0"/>
                <w:color w:val="auto"/>
                <w:highlight w:val="none"/>
                <w:lang w:val="en-US" w:eastAsia="zh-CN"/>
              </w:rPr>
              <w:t>750℃</w:t>
            </w:r>
            <w:r>
              <w:rPr>
                <w:rFonts w:hint="eastAsia" w:cs="Times New Roman"/>
                <w:snapToGrid w:val="0"/>
                <w:color w:val="auto"/>
                <w:highlight w:val="none"/>
                <w:lang w:val="en-US" w:eastAsia="zh-CN"/>
              </w:rPr>
              <w:t>烘干烧结完成后采用</w:t>
            </w:r>
            <w:r>
              <w:rPr>
                <w:rFonts w:hint="default" w:cs="Times New Roman"/>
                <w:snapToGrid w:val="0"/>
                <w:color w:val="auto"/>
                <w:highlight w:val="none"/>
                <w:lang w:val="en-US" w:eastAsia="zh-CN"/>
              </w:rPr>
              <w:t>空气喷射冷却</w:t>
            </w:r>
            <w:r>
              <w:rPr>
                <w:rFonts w:hint="eastAsia" w:cs="Times New Roman"/>
                <w:snapToGrid w:val="0"/>
                <w:color w:val="auto"/>
                <w:highlight w:val="none"/>
                <w:lang w:val="en-US" w:eastAsia="zh-CN"/>
              </w:rPr>
              <w:t>，再进行</w:t>
            </w:r>
            <w:r>
              <w:rPr>
                <w:rFonts w:hint="default" w:cs="Times New Roman"/>
                <w:snapToGrid w:val="0"/>
                <w:color w:val="auto"/>
                <w:highlight w:val="none"/>
                <w:lang w:val="en-US" w:eastAsia="zh-CN"/>
              </w:rPr>
              <w:t>剪切分卷</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张力卷取</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卸卷打包</w:t>
            </w:r>
            <w:r>
              <w:rPr>
                <w:rFonts w:hint="eastAsia" w:cs="Times New Roman"/>
                <w:color w:val="auto"/>
                <w:szCs w:val="28"/>
                <w:highlight w:val="none"/>
                <w:lang w:val="en-US" w:eastAsia="zh-CN"/>
              </w:rPr>
              <w:t>等一系列工序后入库，待用于下一机组。</w:t>
            </w:r>
          </w:p>
          <w:p w14:paraId="574489E9">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eastAsia" w:cs="Times New Roman"/>
                <w:b/>
                <w:bCs/>
                <w:snapToGrid w:val="0"/>
                <w:color w:val="auto"/>
                <w:highlight w:val="none"/>
                <w:lang w:val="en-US" w:eastAsia="zh-CN"/>
              </w:rPr>
            </w:pPr>
            <w:r>
              <w:rPr>
                <w:rFonts w:hint="eastAsia" w:cs="Times New Roman"/>
                <w:b/>
                <w:bCs/>
                <w:snapToGrid w:val="0"/>
                <w:color w:val="auto"/>
                <w:highlight w:val="none"/>
                <w:lang w:val="en-US" w:eastAsia="zh-CN"/>
              </w:rPr>
              <w:t>产污环节：</w:t>
            </w:r>
          </w:p>
          <w:p w14:paraId="279C4141">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eastAsia" w:cs="Times New Roman"/>
                <w:b/>
                <w:bCs/>
                <w:snapToGrid w:val="0"/>
                <w:color w:val="auto"/>
                <w:highlight w:val="none"/>
                <w:lang w:val="en-US" w:eastAsia="zh-CN"/>
              </w:rPr>
            </w:pPr>
            <w:r>
              <w:rPr>
                <w:rFonts w:hint="eastAsia" w:cs="Times New Roman"/>
                <w:b/>
                <w:bCs/>
                <w:snapToGrid w:val="0"/>
                <w:color w:val="auto"/>
                <w:highlight w:val="none"/>
                <w:lang w:val="en-US" w:eastAsia="zh-CN"/>
              </w:rPr>
              <w:t>废气：焊接过程产生焊接烟气G8，碱洗及碱洗后水洗过程产生碱雾G9，脱碳渗氮过程少量氨气挥发G10，退火过程有天然气燃烧废气</w:t>
            </w:r>
            <w:r>
              <w:rPr>
                <w:rFonts w:hint="default" w:cs="Times New Roman"/>
                <w:b/>
                <w:bCs/>
                <w:snapToGrid w:val="0"/>
                <w:color w:val="auto"/>
                <w:highlight w:val="none"/>
                <w:lang w:val="en-US" w:eastAsia="zh-CN"/>
              </w:rPr>
              <w:t>G</w:t>
            </w:r>
            <w:r>
              <w:rPr>
                <w:rFonts w:hint="eastAsia" w:cs="Times New Roman"/>
                <w:b/>
                <w:bCs/>
                <w:snapToGrid w:val="0"/>
                <w:color w:val="auto"/>
                <w:highlight w:val="none"/>
                <w:lang w:val="en-US" w:eastAsia="zh-CN"/>
              </w:rPr>
              <w:t>11产生，烘干过程有天然气燃烧废气</w:t>
            </w:r>
            <w:r>
              <w:rPr>
                <w:rFonts w:hint="default" w:cs="Times New Roman"/>
                <w:b/>
                <w:bCs/>
                <w:snapToGrid w:val="0"/>
                <w:color w:val="auto"/>
                <w:highlight w:val="none"/>
                <w:lang w:val="en-US" w:eastAsia="zh-CN"/>
              </w:rPr>
              <w:t>G</w:t>
            </w:r>
            <w:r>
              <w:rPr>
                <w:rFonts w:hint="eastAsia" w:cs="Times New Roman"/>
                <w:b/>
                <w:bCs/>
                <w:snapToGrid w:val="0"/>
                <w:color w:val="auto"/>
                <w:highlight w:val="none"/>
                <w:lang w:val="en-US" w:eastAsia="zh-CN"/>
              </w:rPr>
              <w:t>12产生；</w:t>
            </w:r>
          </w:p>
          <w:p w14:paraId="2083BD40">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eastAsia" w:cs="Times New Roman"/>
                <w:b/>
                <w:bCs/>
                <w:snapToGrid w:val="0"/>
                <w:color w:val="auto"/>
                <w:highlight w:val="none"/>
                <w:lang w:val="en-US" w:eastAsia="zh-CN"/>
              </w:rPr>
            </w:pPr>
            <w:r>
              <w:rPr>
                <w:rFonts w:hint="eastAsia" w:cs="Times New Roman"/>
                <w:b/>
                <w:bCs/>
                <w:snapToGrid w:val="0"/>
                <w:color w:val="auto"/>
                <w:highlight w:val="none"/>
                <w:lang w:val="en-US" w:eastAsia="zh-CN"/>
              </w:rPr>
              <w:t>废水：碱洗及碱洗后水洗过程产生碱洗废水W4，涂层液收集槽清洗时产生含</w:t>
            </w:r>
            <w:r>
              <w:rPr>
                <w:rFonts w:hint="default" w:cs="Times New Roman"/>
                <w:b/>
                <w:bCs/>
                <w:snapToGrid w:val="0"/>
                <w:color w:val="auto"/>
                <w:highlight w:val="none"/>
                <w:lang w:val="en-US" w:eastAsia="zh-CN"/>
              </w:rPr>
              <w:t>MgO</w:t>
            </w:r>
            <w:r>
              <w:rPr>
                <w:rFonts w:hint="eastAsia" w:cs="Times New Roman"/>
                <w:b/>
                <w:bCs/>
                <w:snapToGrid w:val="0"/>
                <w:color w:val="auto"/>
                <w:highlight w:val="none"/>
                <w:lang w:val="en-US" w:eastAsia="zh-CN"/>
              </w:rPr>
              <w:t>废水</w:t>
            </w:r>
            <w:r>
              <w:rPr>
                <w:rFonts w:hint="default" w:cs="Times New Roman"/>
                <w:b/>
                <w:bCs/>
                <w:snapToGrid w:val="0"/>
                <w:color w:val="auto"/>
                <w:highlight w:val="none"/>
                <w:lang w:val="en-US" w:eastAsia="zh-CN"/>
              </w:rPr>
              <w:t>W</w:t>
            </w:r>
            <w:r>
              <w:rPr>
                <w:rFonts w:hint="eastAsia" w:cs="Times New Roman"/>
                <w:b/>
                <w:bCs/>
                <w:snapToGrid w:val="0"/>
                <w:color w:val="auto"/>
                <w:highlight w:val="none"/>
                <w:lang w:val="en-US" w:eastAsia="zh-CN"/>
              </w:rPr>
              <w:t>5；</w:t>
            </w:r>
          </w:p>
          <w:p w14:paraId="237F2F60">
            <w:pPr>
              <w:keepNext w:val="0"/>
              <w:keepLines w:val="0"/>
              <w:pageBreakBefore w:val="0"/>
              <w:widowControl/>
              <w:kinsoku/>
              <w:wordWrap/>
              <w:overflowPunct/>
              <w:topLinePunct w:val="0"/>
              <w:autoSpaceDE/>
              <w:autoSpaceDN/>
              <w:bidi w:val="0"/>
              <w:adjustRightInd w:val="0"/>
              <w:snapToGrid w:val="0"/>
              <w:spacing w:line="360" w:lineRule="auto"/>
              <w:ind w:firstLine="422" w:firstLineChars="200"/>
              <w:textAlignment w:val="auto"/>
              <w:rPr>
                <w:rFonts w:hint="eastAsia"/>
                <w:b/>
                <w:bCs/>
                <w:color w:val="auto"/>
                <w:highlight w:val="none"/>
                <w:lang w:val="en-US" w:eastAsia="zh-CN"/>
              </w:rPr>
            </w:pPr>
            <w:r>
              <w:rPr>
                <w:rFonts w:hint="eastAsia" w:cs="Times New Roman"/>
                <w:b/>
                <w:bCs/>
                <w:snapToGrid w:val="0"/>
                <w:color w:val="auto"/>
                <w:highlight w:val="none"/>
                <w:lang w:val="en-US" w:eastAsia="zh-CN"/>
              </w:rPr>
              <w:t>固废：</w:t>
            </w:r>
            <w:r>
              <w:rPr>
                <w:rFonts w:hint="eastAsia"/>
                <w:b/>
                <w:bCs/>
                <w:color w:val="auto"/>
                <w:highlight w:val="none"/>
                <w:lang w:val="en-US" w:eastAsia="zh-CN"/>
              </w:rPr>
              <w:t>剪切工序产生边角料S6，焊渣S7，碱洗脱脂槽废渣S8；</w:t>
            </w:r>
          </w:p>
          <w:p w14:paraId="09962D24">
            <w:pPr>
              <w:keepNext w:val="0"/>
              <w:keepLines w:val="0"/>
              <w:pageBreakBefore w:val="0"/>
              <w:widowControl/>
              <w:kinsoku/>
              <w:wordWrap/>
              <w:overflowPunct/>
              <w:topLinePunct w:val="0"/>
              <w:autoSpaceDE/>
              <w:autoSpaceDN/>
              <w:bidi w:val="0"/>
              <w:adjustRightInd w:val="0"/>
              <w:snapToGrid w:val="0"/>
              <w:spacing w:line="360" w:lineRule="auto"/>
              <w:ind w:firstLine="422" w:firstLineChars="200"/>
              <w:textAlignment w:val="auto"/>
              <w:rPr>
                <w:rFonts w:hint="default"/>
                <w:b/>
                <w:bCs/>
                <w:color w:val="auto"/>
                <w:highlight w:val="none"/>
                <w:lang w:val="en-US" w:eastAsia="zh-CN"/>
              </w:rPr>
            </w:pPr>
            <w:r>
              <w:rPr>
                <w:rFonts w:hint="eastAsia" w:cs="Times New Roman"/>
                <w:b/>
                <w:bCs/>
                <w:color w:val="auto"/>
                <w:szCs w:val="28"/>
                <w:highlight w:val="none"/>
                <w:lang w:val="en-US" w:eastAsia="zh-CN"/>
              </w:rPr>
              <w:t>噪声：开卷机、泵类、风机等设备运转噪声N。</w:t>
            </w:r>
          </w:p>
          <w:p w14:paraId="11EC002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2" w:firstLineChars="200"/>
              <w:textAlignment w:val="auto"/>
              <w:rPr>
                <w:rFonts w:hint="default" w:ascii="Times New Roman" w:hAnsi="Times New Roman" w:eastAsia="宋体" w:cs="Times New Roman"/>
                <w:b/>
                <w:bCs/>
                <w:snapToGrid w:val="0"/>
                <w:color w:val="auto"/>
                <w:kern w:val="2"/>
                <w:sz w:val="21"/>
                <w:szCs w:val="24"/>
                <w:lang w:val="en-US" w:eastAsia="zh-CN" w:bidi="ar-SA"/>
              </w:rPr>
            </w:pPr>
            <w:r>
              <w:rPr>
                <w:rFonts w:hint="eastAsia" w:ascii="Times New Roman" w:hAnsi="Times New Roman" w:eastAsia="宋体" w:cs="Times New Roman"/>
                <w:b/>
                <w:bCs/>
                <w:snapToGrid w:val="0"/>
                <w:color w:val="auto"/>
                <w:kern w:val="2"/>
                <w:sz w:val="21"/>
                <w:szCs w:val="24"/>
                <w:lang w:val="en-US" w:eastAsia="zh-CN" w:bidi="ar-SA"/>
              </w:rPr>
              <w:t>（</w:t>
            </w:r>
            <w:r>
              <w:rPr>
                <w:rFonts w:hint="eastAsia" w:cs="Times New Roman"/>
                <w:b/>
                <w:bCs/>
                <w:snapToGrid w:val="0"/>
                <w:color w:val="auto"/>
                <w:kern w:val="2"/>
                <w:sz w:val="21"/>
                <w:szCs w:val="24"/>
                <w:lang w:val="en-US" w:eastAsia="zh-CN" w:bidi="ar-SA"/>
              </w:rPr>
              <w:t>4</w:t>
            </w:r>
            <w:r>
              <w:rPr>
                <w:rFonts w:hint="eastAsia" w:ascii="Times New Roman" w:hAnsi="Times New Roman" w:eastAsia="宋体" w:cs="Times New Roman"/>
                <w:b/>
                <w:bCs/>
                <w:snapToGrid w:val="0"/>
                <w:color w:val="auto"/>
                <w:kern w:val="2"/>
                <w:sz w:val="21"/>
                <w:szCs w:val="24"/>
                <w:lang w:val="en-US" w:eastAsia="zh-CN" w:bidi="ar-SA"/>
              </w:rPr>
              <w:t>）</w:t>
            </w:r>
            <w:r>
              <w:rPr>
                <w:rFonts w:hint="eastAsia" w:cs="Times New Roman"/>
                <w:b/>
                <w:bCs/>
                <w:snapToGrid w:val="0"/>
                <w:color w:val="auto"/>
                <w:kern w:val="2"/>
                <w:sz w:val="21"/>
                <w:szCs w:val="24"/>
                <w:lang w:val="en-US" w:eastAsia="zh-CN" w:bidi="ar-SA"/>
              </w:rPr>
              <w:t>高温退火</w:t>
            </w:r>
          </w:p>
          <w:p w14:paraId="3F02F98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default" w:cs="Times New Roman"/>
                <w:snapToGrid w:val="0"/>
                <w:color w:val="auto"/>
                <w:highlight w:val="none"/>
                <w:lang w:val="en-US" w:eastAsia="zh-CN"/>
              </w:rPr>
              <w:t>在</w:t>
            </w:r>
            <w:r>
              <w:rPr>
                <w:rFonts w:hint="eastAsia" w:cs="Times New Roman"/>
                <w:snapToGrid w:val="0"/>
                <w:color w:val="auto"/>
                <w:highlight w:val="none"/>
                <w:lang w:val="en-US" w:eastAsia="zh-CN"/>
              </w:rPr>
              <w:t>取向硅钢高温罩式炉（BAF）</w:t>
            </w:r>
            <w:r>
              <w:rPr>
                <w:rFonts w:hint="default" w:cs="Times New Roman"/>
                <w:snapToGrid w:val="0"/>
                <w:color w:val="auto"/>
                <w:highlight w:val="none"/>
                <w:lang w:val="en-US" w:eastAsia="zh-CN"/>
              </w:rPr>
              <w:t>中进行高温退火，</w:t>
            </w:r>
            <w:r>
              <w:rPr>
                <w:rFonts w:hint="eastAsia" w:cs="Times New Roman"/>
                <w:snapToGrid w:val="0"/>
                <w:color w:val="auto"/>
                <w:highlight w:val="none"/>
                <w:lang w:val="en-US" w:eastAsia="zh-CN"/>
              </w:rPr>
              <w:t>采用电加热。</w:t>
            </w:r>
            <w:r>
              <w:rPr>
                <w:rFonts w:hint="default" w:cs="Times New Roman"/>
                <w:snapToGrid w:val="0"/>
                <w:color w:val="auto"/>
                <w:highlight w:val="none"/>
                <w:lang w:val="en-US" w:eastAsia="zh-CN"/>
              </w:rPr>
              <w:t>主要有3个作用</w:t>
            </w:r>
            <w:r>
              <w:rPr>
                <w:rFonts w:hint="eastAsia" w:cs="Times New Roman"/>
                <w:snapToGrid w:val="0"/>
                <w:color w:val="auto"/>
                <w:highlight w:val="none"/>
                <w:lang w:val="en-US" w:eastAsia="zh-CN"/>
              </w:rPr>
              <w:t>：</w:t>
            </w:r>
          </w:p>
          <w:p w14:paraId="1E1A057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default" w:cs="Times New Roman"/>
                <w:snapToGrid w:val="0"/>
                <w:color w:val="auto"/>
                <w:highlight w:val="none"/>
                <w:lang w:val="en-US" w:eastAsia="zh-CN"/>
              </w:rPr>
              <w:t>1)进行二次再结晶。在高温退火时，钢片加热到950°C左右即开始再结晶，从而可使钢片获得合适的晶粒度，提高取向度，达到改善磁性的目的。</w:t>
            </w:r>
          </w:p>
          <w:p w14:paraId="04DD8A26">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default" w:cs="Times New Roman"/>
                <w:snapToGrid w:val="0"/>
                <w:color w:val="auto"/>
                <w:highlight w:val="none"/>
                <w:lang w:val="en-US" w:eastAsia="zh-CN"/>
              </w:rPr>
              <w:t>2)形成硅酸镁底层。经最终脱碳退火，钢片表面形成二氧化硅的富硅薄膜，加热到1050°C左右它与氧化镁发生反应，在带钢表面形成一层玻璃状硅酸镁底层，以提高取向硅钢的绝缘性能和绝缘涂层附着力。</w:t>
            </w:r>
          </w:p>
          <w:p w14:paraId="1743DE3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default" w:cs="Times New Roman"/>
                <w:snapToGrid w:val="0"/>
                <w:color w:val="auto"/>
                <w:highlight w:val="none"/>
                <w:lang w:val="en-US" w:eastAsia="zh-CN"/>
              </w:rPr>
              <w:t>3)排除夹杂、净化钢质。取向硅钢中硫化锰(IMnS)和氮化铝(AIN)等有利夹杂，在促进二次再结晶形成结晶核心、晶粒长大、提高取向度后进行分解，随着温度的进一步升高，在高温均热过程中有利夹杂将被去除，使钢质净化，以提高磁性。</w:t>
            </w:r>
          </w:p>
          <w:p w14:paraId="6DF9041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s="Times New Roman"/>
                <w:snapToGrid w:val="0"/>
                <w:color w:val="auto"/>
                <w:highlight w:val="none"/>
                <w:lang w:val="en-US" w:eastAsia="zh-CN"/>
              </w:rPr>
            </w:pPr>
            <w:r>
              <w:rPr>
                <w:rFonts w:hint="eastAsia" w:cs="Times New Roman"/>
                <w:snapToGrid w:val="0"/>
                <w:color w:val="auto"/>
                <w:highlight w:val="none"/>
                <w:lang w:val="en-US" w:eastAsia="zh-CN"/>
              </w:rPr>
              <w:t>退火完成后降温冷却，送入下一工序。</w:t>
            </w:r>
          </w:p>
          <w:p w14:paraId="1F790BD8">
            <w:pPr>
              <w:keepNext w:val="0"/>
              <w:keepLines w:val="0"/>
              <w:pageBreakBefore w:val="0"/>
              <w:widowControl/>
              <w:kinsoku/>
              <w:wordWrap/>
              <w:overflowPunct/>
              <w:topLinePunct w:val="0"/>
              <w:autoSpaceDE/>
              <w:autoSpaceDN/>
              <w:bidi w:val="0"/>
              <w:adjustRightInd w:val="0"/>
              <w:snapToGrid w:val="0"/>
              <w:spacing w:line="360" w:lineRule="auto"/>
              <w:ind w:firstLine="422" w:firstLineChars="200"/>
              <w:textAlignment w:val="auto"/>
              <w:rPr>
                <w:rFonts w:hint="eastAsia" w:cs="Times New Roman"/>
                <w:snapToGrid w:val="0"/>
                <w:color w:val="auto"/>
                <w:highlight w:val="none"/>
                <w:lang w:val="en-US" w:eastAsia="zh-CN"/>
              </w:rPr>
            </w:pPr>
            <w:r>
              <w:rPr>
                <w:rFonts w:hint="eastAsia" w:cs="Times New Roman"/>
                <w:b/>
                <w:bCs/>
                <w:color w:val="auto"/>
                <w:szCs w:val="28"/>
                <w:highlight w:val="none"/>
                <w:lang w:val="en-US" w:eastAsia="zh-CN"/>
              </w:rPr>
              <w:t>产污环节：噪声：风机等设备运转噪声N。</w:t>
            </w:r>
          </w:p>
          <w:p w14:paraId="78349BA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2" w:firstLineChars="200"/>
              <w:textAlignment w:val="auto"/>
              <w:rPr>
                <w:rFonts w:hint="default" w:cs="Times New Roman"/>
                <w:b/>
                <w:bCs/>
                <w:snapToGrid w:val="0"/>
                <w:color w:val="auto"/>
                <w:kern w:val="2"/>
                <w:sz w:val="21"/>
                <w:szCs w:val="24"/>
                <w:lang w:val="en-US" w:eastAsia="zh-CN" w:bidi="ar-SA"/>
              </w:rPr>
            </w:pPr>
            <w:r>
              <w:rPr>
                <w:rFonts w:hint="eastAsia" w:cs="Times New Roman"/>
                <w:b/>
                <w:bCs/>
                <w:snapToGrid w:val="0"/>
                <w:color w:val="auto"/>
                <w:kern w:val="2"/>
                <w:sz w:val="21"/>
                <w:szCs w:val="24"/>
                <w:lang w:val="en-US" w:eastAsia="zh-CN" w:bidi="ar-SA"/>
              </w:rPr>
              <w:t>（5）热拉伸平整</w:t>
            </w:r>
          </w:p>
          <w:p w14:paraId="749A31C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default" w:cs="Times New Roman"/>
                <w:snapToGrid w:val="0"/>
                <w:color w:val="auto"/>
                <w:highlight w:val="none"/>
                <w:lang w:val="en-US" w:eastAsia="zh-CN"/>
              </w:rPr>
              <w:t>本机组为高磁感取向硅钢涂绝缘层及热平整机组</w:t>
            </w:r>
            <w:r>
              <w:rPr>
                <w:rFonts w:hint="eastAsia" w:cs="Times New Roman"/>
                <w:snapToGrid w:val="0"/>
                <w:color w:val="auto"/>
                <w:kern w:val="2"/>
                <w:sz w:val="21"/>
                <w:szCs w:val="24"/>
                <w:lang w:val="en-US" w:eastAsia="zh-CN" w:bidi="ar-SA"/>
              </w:rPr>
              <w:t>（FCL）</w:t>
            </w:r>
            <w:r>
              <w:rPr>
                <w:rFonts w:hint="default" w:cs="Times New Roman"/>
                <w:snapToGrid w:val="0"/>
                <w:color w:val="auto"/>
                <w:highlight w:val="none"/>
                <w:lang w:val="en-US" w:eastAsia="zh-CN"/>
              </w:rPr>
              <w:t>，其功能是去除前工序造成的带钢表面残留Mg</w:t>
            </w:r>
            <w:r>
              <w:rPr>
                <w:rFonts w:hint="eastAsia" w:cs="Times New Roman"/>
                <w:snapToGrid w:val="0"/>
                <w:color w:val="auto"/>
                <w:highlight w:val="none"/>
                <w:lang w:val="en-US" w:eastAsia="zh-CN"/>
              </w:rPr>
              <w:t>O</w:t>
            </w:r>
            <w:r>
              <w:rPr>
                <w:rFonts w:hint="default" w:cs="Times New Roman"/>
                <w:snapToGrid w:val="0"/>
                <w:color w:val="auto"/>
                <w:highlight w:val="none"/>
                <w:lang w:val="en-US" w:eastAsia="zh-CN"/>
              </w:rPr>
              <w:t>，然后进行轻度酸洗、涂绝缘层并烘干、烧结，使带钢表面釉上一层玻璃膜，最后在保护气氛下对带钢进行热平整。机组工艺流程</w:t>
            </w:r>
            <w:r>
              <w:rPr>
                <w:rFonts w:hint="eastAsia" w:cs="Times New Roman"/>
                <w:snapToGrid w:val="0"/>
                <w:color w:val="auto"/>
                <w:highlight w:val="none"/>
                <w:lang w:val="en-US" w:eastAsia="zh-CN"/>
              </w:rPr>
              <w:t>具体为：</w:t>
            </w:r>
            <w:r>
              <w:rPr>
                <w:rFonts w:hint="default" w:cs="Times New Roman"/>
                <w:snapToGrid w:val="0"/>
                <w:color w:val="auto"/>
                <w:highlight w:val="none"/>
                <w:lang w:val="en-US" w:eastAsia="zh-CN"/>
              </w:rPr>
              <w:t>开卷</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切头</w:t>
            </w:r>
            <w:r>
              <w:rPr>
                <w:rFonts w:hint="eastAsia" w:cs="Times New Roman"/>
                <w:snapToGrid w:val="0"/>
                <w:color w:val="auto"/>
                <w:highlight w:val="none"/>
                <w:lang w:val="en-US" w:eastAsia="zh-CN"/>
              </w:rPr>
              <w:t>→缝合→</w:t>
            </w:r>
            <w:r>
              <w:rPr>
                <w:rFonts w:hint="default" w:cs="Times New Roman"/>
                <w:snapToGrid w:val="0"/>
                <w:color w:val="auto"/>
                <w:highlight w:val="none"/>
                <w:lang w:val="en-US" w:eastAsia="zh-CN"/>
              </w:rPr>
              <w:t>水刷洗</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漂洗</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热风干燥</w:t>
            </w:r>
            <w:r>
              <w:rPr>
                <w:rFonts w:hint="eastAsia" w:cs="Times New Roman"/>
                <w:snapToGrid w:val="0"/>
                <w:color w:val="auto"/>
                <w:highlight w:val="none"/>
                <w:lang w:val="en-US" w:eastAsia="zh-CN"/>
              </w:rPr>
              <w:t>（烟气余热）→</w:t>
            </w:r>
            <w:r>
              <w:rPr>
                <w:rFonts w:hint="default" w:cs="Times New Roman"/>
                <w:snapToGrid w:val="0"/>
                <w:color w:val="auto"/>
                <w:highlight w:val="none"/>
                <w:lang w:val="en-US" w:eastAsia="zh-CN"/>
              </w:rPr>
              <w:t>入口活套</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酸洗</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漂洗</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刷洗</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热风干燥</w:t>
            </w:r>
            <w:r>
              <w:rPr>
                <w:rFonts w:hint="eastAsia" w:cs="Times New Roman"/>
                <w:snapToGrid w:val="0"/>
                <w:color w:val="auto"/>
                <w:highlight w:val="none"/>
                <w:lang w:val="en-US" w:eastAsia="zh-CN"/>
              </w:rPr>
              <w:t>（烟气余热）→</w:t>
            </w:r>
            <w:r>
              <w:rPr>
                <w:rFonts w:hint="default" w:cs="Times New Roman"/>
                <w:snapToGrid w:val="0"/>
                <w:color w:val="auto"/>
                <w:highlight w:val="none"/>
                <w:lang w:val="en-US" w:eastAsia="zh-CN"/>
              </w:rPr>
              <w:t>涂绝缘层</w:t>
            </w:r>
            <w:r>
              <w:rPr>
                <w:rFonts w:hint="eastAsia" w:cs="Times New Roman"/>
                <w:snapToGrid w:val="0"/>
                <w:color w:val="auto"/>
                <w:highlight w:val="none"/>
                <w:lang w:val="en-US" w:eastAsia="zh-CN"/>
              </w:rPr>
              <w:t>（环保涂层）→</w:t>
            </w:r>
            <w:r>
              <w:rPr>
                <w:rFonts w:hint="default" w:cs="Times New Roman"/>
                <w:snapToGrid w:val="0"/>
                <w:color w:val="auto"/>
                <w:highlight w:val="none"/>
                <w:lang w:val="en-US" w:eastAsia="zh-CN"/>
              </w:rPr>
              <w:t>预热</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辐射管加热</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均热</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保护气体冷却</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空气冷却</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出口活套</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切尾</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卷取</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称重</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打捆入库</w:t>
            </w:r>
            <w:r>
              <w:rPr>
                <w:rFonts w:hint="eastAsia" w:cs="Times New Roman"/>
                <w:snapToGrid w:val="0"/>
                <w:color w:val="auto"/>
                <w:highlight w:val="none"/>
                <w:lang w:val="en-US" w:eastAsia="zh-CN"/>
              </w:rPr>
              <w:t>。</w:t>
            </w:r>
          </w:p>
          <w:p w14:paraId="3272260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eastAsia" w:cs="Times New Roman"/>
                <w:snapToGrid w:val="0"/>
                <w:color w:val="auto"/>
                <w:highlight w:val="none"/>
                <w:lang w:val="en-US" w:eastAsia="zh-CN"/>
              </w:rPr>
              <w:t>酸洗：主要作用是清除带钢表面的残留氧化镁，防止对绝缘涂层涂覆造成影响，是热拉伸平整涂层机组的重要步骤；采用硫酸进行酸洗，整个酸洗槽由</w:t>
            </w:r>
            <w:r>
              <w:rPr>
                <w:rFonts w:hint="default" w:cs="Times New Roman"/>
                <w:snapToGrid w:val="0"/>
                <w:color w:val="auto"/>
                <w:highlight w:val="none"/>
                <w:lang w:val="en-US" w:eastAsia="zh-CN"/>
              </w:rPr>
              <w:t>1</w:t>
            </w:r>
            <w:r>
              <w:rPr>
                <w:rFonts w:hint="eastAsia" w:cs="Times New Roman"/>
                <w:snapToGrid w:val="0"/>
                <w:color w:val="auto"/>
                <w:highlight w:val="none"/>
                <w:lang w:val="en-US" w:eastAsia="zh-CN"/>
              </w:rPr>
              <w:t>个独立的酸槽组成，酸槽长约</w:t>
            </w:r>
            <w:r>
              <w:rPr>
                <w:rFonts w:hint="default" w:cs="Times New Roman"/>
                <w:snapToGrid w:val="0"/>
                <w:color w:val="auto"/>
                <w:highlight w:val="none"/>
                <w:lang w:val="en-US" w:eastAsia="zh-CN"/>
              </w:rPr>
              <w:t>26m</w:t>
            </w:r>
            <w:r>
              <w:rPr>
                <w:rFonts w:hint="eastAsia" w:cs="Times New Roman"/>
                <w:snapToGrid w:val="0"/>
                <w:color w:val="auto"/>
                <w:highlight w:val="none"/>
                <w:lang w:val="en-US" w:eastAsia="zh-CN"/>
              </w:rPr>
              <w:t>，酸槽内宽约</w:t>
            </w:r>
            <w:r>
              <w:rPr>
                <w:rFonts w:hint="default" w:cs="Times New Roman"/>
                <w:snapToGrid w:val="0"/>
                <w:color w:val="auto"/>
                <w:highlight w:val="none"/>
                <w:lang w:val="en-US" w:eastAsia="zh-CN"/>
              </w:rPr>
              <w:t>1.8m</w:t>
            </w:r>
            <w:r>
              <w:rPr>
                <w:rFonts w:hint="eastAsia" w:cs="Times New Roman"/>
                <w:snapToGrid w:val="0"/>
                <w:color w:val="auto"/>
                <w:highlight w:val="none"/>
                <w:lang w:val="en-US" w:eastAsia="zh-CN"/>
              </w:rPr>
              <w:t>。酸洗槽槽体外壳结构用钢板和型钢焊制而成，槽内衬有耐酸橡胶板和花岗岩。酸洗槽设有槽盖，槽盖上设有酸雾排放接口，槽盖为钢衬胶，结合处磁性橡胶条密封，并在靠近挤干辊处设有观察孔，槽体与槽盖之间用耐酸橡胶密封。槽盖安放在衬有耐酸橡胶板和耐酸砖制的水封槽内，以防止酸雾逸散。</w:t>
            </w:r>
          </w:p>
          <w:p w14:paraId="07D2E09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eastAsia" w:cs="Times New Roman"/>
                <w:snapToGrid w:val="0"/>
                <w:color w:val="auto"/>
                <w:highlight w:val="none"/>
                <w:lang w:val="en-US" w:eastAsia="zh-CN"/>
              </w:rPr>
              <w:t>酸洗过程酸洗液不更换，根据使用情况定期补充；</w:t>
            </w:r>
          </w:p>
          <w:p w14:paraId="10A6279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eastAsia" w:cs="Times New Roman"/>
                <w:snapToGrid w:val="0"/>
                <w:color w:val="auto"/>
                <w:highlight w:val="none"/>
                <w:lang w:val="en-US" w:eastAsia="zh-CN"/>
              </w:rPr>
              <w:t>主要技术参数：</w:t>
            </w:r>
          </w:p>
          <w:p w14:paraId="5EEB3687">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default" w:cs="Times New Roman"/>
                <w:snapToGrid w:val="0"/>
                <w:color w:val="auto"/>
                <w:highlight w:val="none"/>
                <w:lang w:val="en-US" w:eastAsia="zh-CN"/>
              </w:rPr>
              <w:t>—</w:t>
            </w:r>
            <w:r>
              <w:rPr>
                <w:rFonts w:hint="eastAsia" w:cs="Times New Roman"/>
                <w:snapToGrid w:val="0"/>
                <w:color w:val="auto"/>
                <w:highlight w:val="none"/>
                <w:lang w:val="en-US" w:eastAsia="zh-CN"/>
              </w:rPr>
              <w:t>酸槽内部尺寸：</w:t>
            </w:r>
            <w:r>
              <w:rPr>
                <w:rFonts w:hint="default" w:cs="Times New Roman"/>
                <w:snapToGrid w:val="0"/>
                <w:color w:val="auto"/>
                <w:highlight w:val="none"/>
                <w:lang w:val="en-US" w:eastAsia="zh-CN"/>
              </w:rPr>
              <w:t xml:space="preserve">26000mm(L)×1800mm(B)×800mm(H) </w:t>
            </w:r>
          </w:p>
          <w:p w14:paraId="53EE023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default" w:cs="Times New Roman"/>
                <w:snapToGrid w:val="0"/>
                <w:color w:val="auto"/>
                <w:highlight w:val="none"/>
                <w:lang w:val="en-US" w:eastAsia="zh-CN"/>
              </w:rPr>
              <w:t>—</w:t>
            </w:r>
            <w:r>
              <w:rPr>
                <w:rFonts w:hint="eastAsia" w:cs="Times New Roman"/>
                <w:snapToGrid w:val="0"/>
                <w:color w:val="auto"/>
                <w:highlight w:val="none"/>
                <w:lang w:val="en-US" w:eastAsia="zh-CN"/>
              </w:rPr>
              <w:t>酸洗介质：</w:t>
            </w:r>
            <w:r>
              <w:rPr>
                <w:rFonts w:hint="default" w:cs="Times New Roman"/>
                <w:snapToGrid w:val="0"/>
                <w:color w:val="auto"/>
                <w:highlight w:val="none"/>
                <w:lang w:val="en-US" w:eastAsia="zh-CN"/>
              </w:rPr>
              <w:t>H</w:t>
            </w:r>
            <w:r>
              <w:rPr>
                <w:rFonts w:hint="default" w:cs="Times New Roman"/>
                <w:snapToGrid w:val="0"/>
                <w:color w:val="auto"/>
                <w:highlight w:val="none"/>
                <w:vertAlign w:val="subscript"/>
                <w:lang w:val="en-US" w:eastAsia="zh-CN"/>
              </w:rPr>
              <w:t>2</w:t>
            </w:r>
            <w:r>
              <w:rPr>
                <w:rFonts w:hint="default" w:cs="Times New Roman"/>
                <w:snapToGrid w:val="0"/>
                <w:color w:val="auto"/>
                <w:highlight w:val="none"/>
                <w:lang w:val="en-US" w:eastAsia="zh-CN"/>
              </w:rPr>
              <w:t>SO</w:t>
            </w:r>
            <w:r>
              <w:rPr>
                <w:rFonts w:hint="default" w:cs="Times New Roman"/>
                <w:snapToGrid w:val="0"/>
                <w:color w:val="auto"/>
                <w:highlight w:val="none"/>
                <w:vertAlign w:val="subscript"/>
                <w:lang w:val="en-US" w:eastAsia="zh-CN"/>
              </w:rPr>
              <w:t>4</w:t>
            </w:r>
          </w:p>
          <w:p w14:paraId="341E401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default" w:cs="Times New Roman"/>
                <w:snapToGrid w:val="0"/>
                <w:color w:val="auto"/>
                <w:highlight w:val="none"/>
                <w:lang w:val="en-US" w:eastAsia="zh-CN"/>
              </w:rPr>
              <w:t>—</w:t>
            </w:r>
            <w:r>
              <w:rPr>
                <w:rFonts w:hint="eastAsia" w:cs="Times New Roman"/>
                <w:snapToGrid w:val="0"/>
                <w:color w:val="auto"/>
                <w:highlight w:val="none"/>
                <w:lang w:val="en-US" w:eastAsia="zh-CN"/>
              </w:rPr>
              <w:t>酸洗浓度：</w:t>
            </w:r>
            <w:r>
              <w:rPr>
                <w:rFonts w:hint="default" w:cs="Times New Roman"/>
                <w:snapToGrid w:val="0"/>
                <w:color w:val="auto"/>
                <w:highlight w:val="none"/>
                <w:lang w:val="en-US" w:eastAsia="zh-CN"/>
              </w:rPr>
              <w:t>3</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1</w:t>
            </w:r>
            <w:r>
              <w:rPr>
                <w:rFonts w:hint="eastAsia" w:cs="Times New Roman"/>
                <w:snapToGrid w:val="0"/>
                <w:color w:val="auto"/>
                <w:highlight w:val="none"/>
                <w:lang w:val="en-US" w:eastAsia="zh-CN"/>
              </w:rPr>
              <w:t>8</w:t>
            </w:r>
            <w:r>
              <w:rPr>
                <w:rFonts w:hint="default" w:cs="Times New Roman"/>
                <w:snapToGrid w:val="0"/>
                <w:color w:val="auto"/>
                <w:highlight w:val="none"/>
                <w:lang w:val="en-US" w:eastAsia="zh-CN"/>
              </w:rPr>
              <w:t>%</w:t>
            </w:r>
          </w:p>
          <w:p w14:paraId="02D561A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default" w:cs="Times New Roman"/>
                <w:snapToGrid w:val="0"/>
                <w:color w:val="auto"/>
                <w:highlight w:val="none"/>
                <w:lang w:val="en-US" w:eastAsia="zh-CN"/>
              </w:rPr>
              <w:t>—</w:t>
            </w:r>
            <w:r>
              <w:rPr>
                <w:rFonts w:hint="eastAsia" w:cs="Times New Roman"/>
                <w:snapToGrid w:val="0"/>
                <w:color w:val="auto"/>
                <w:highlight w:val="none"/>
                <w:lang w:val="en-US" w:eastAsia="zh-CN"/>
              </w:rPr>
              <w:t>酸洗温度：（</w:t>
            </w:r>
            <w:r>
              <w:rPr>
                <w:rFonts w:hint="default" w:cs="Times New Roman"/>
                <w:snapToGrid w:val="0"/>
                <w:color w:val="auto"/>
                <w:highlight w:val="none"/>
                <w:lang w:val="en-US" w:eastAsia="zh-CN"/>
              </w:rPr>
              <w:t>80</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95</w:t>
            </w:r>
            <w:r>
              <w:rPr>
                <w:rFonts w:hint="default" w:ascii="Times New Roman" w:hAnsi="Times New Roman" w:cs="Times New Roman"/>
                <w:snapToGrid w:val="0"/>
                <w:color w:val="auto"/>
                <w:highlight w:val="none"/>
                <w:lang w:val="en-US" w:eastAsia="zh-CN"/>
              </w:rPr>
              <w:t>℃</w:t>
            </w:r>
            <w:r>
              <w:rPr>
                <w:rFonts w:hint="eastAsia" w:cs="Times New Roman"/>
                <w:snapToGrid w:val="0"/>
                <w:color w:val="auto"/>
                <w:highlight w:val="none"/>
                <w:lang w:val="en-US" w:eastAsia="zh-CN"/>
              </w:rPr>
              <w:t>）</w:t>
            </w:r>
          </w:p>
          <w:p w14:paraId="0E3ABE0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s="Times New Roman"/>
                <w:snapToGrid w:val="0"/>
                <w:color w:val="auto"/>
                <w:highlight w:val="none"/>
                <w:lang w:val="en-US" w:eastAsia="zh-CN"/>
              </w:rPr>
            </w:pPr>
            <w:r>
              <w:rPr>
                <w:rFonts w:hint="eastAsia" w:cs="Times New Roman"/>
                <w:snapToGrid w:val="0"/>
                <w:color w:val="auto"/>
                <w:highlight w:val="none"/>
                <w:lang w:val="en-US" w:eastAsia="zh-CN"/>
              </w:rPr>
              <w:t>清洗：带钢从酸洗槽出来后，为了去除带钢表面残留的酸洗液，需对带钢进行清洗。包括热水喷淋清洗、刷洗、新水喷淋。漂洗水循环系统主要设备包括：</w:t>
            </w:r>
          </w:p>
          <w:p w14:paraId="621ED4A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eastAsia" w:cs="Times New Roman"/>
                <w:snapToGrid w:val="0"/>
                <w:color w:val="auto"/>
                <w:highlight w:val="none"/>
                <w:lang w:val="en-US" w:eastAsia="zh-CN"/>
              </w:rPr>
              <w:t>漂洗水循环槽：</w:t>
            </w:r>
            <w:r>
              <w:rPr>
                <w:rFonts w:hint="default" w:cs="Times New Roman"/>
                <w:snapToGrid w:val="0"/>
                <w:color w:val="auto"/>
                <w:highlight w:val="none"/>
                <w:lang w:val="en-US" w:eastAsia="zh-CN"/>
              </w:rPr>
              <w:t>1</w:t>
            </w:r>
            <w:r>
              <w:rPr>
                <w:rFonts w:hint="eastAsia" w:cs="Times New Roman"/>
                <w:snapToGrid w:val="0"/>
                <w:color w:val="auto"/>
                <w:highlight w:val="none"/>
                <w:lang w:val="en-US" w:eastAsia="zh-CN"/>
              </w:rPr>
              <w:t>个</w:t>
            </w:r>
          </w:p>
          <w:p w14:paraId="2A01A216">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eastAsia" w:cs="Times New Roman"/>
                <w:snapToGrid w:val="0"/>
                <w:color w:val="auto"/>
                <w:highlight w:val="none"/>
                <w:lang w:val="en-US" w:eastAsia="zh-CN"/>
              </w:rPr>
              <w:t>罐容积</w:t>
            </w:r>
            <w:r>
              <w:rPr>
                <w:rFonts w:hint="default" w:cs="Times New Roman"/>
                <w:snapToGrid w:val="0"/>
                <w:color w:val="auto"/>
                <w:highlight w:val="none"/>
                <w:lang w:val="en-US" w:eastAsia="zh-CN"/>
              </w:rPr>
              <w:t>10m</w:t>
            </w:r>
            <w:r>
              <w:rPr>
                <w:rFonts w:hint="default" w:cs="Times New Roman"/>
                <w:snapToGrid w:val="0"/>
                <w:color w:val="auto"/>
                <w:highlight w:val="none"/>
                <w:vertAlign w:val="superscript"/>
                <w:lang w:val="en-US" w:eastAsia="zh-CN"/>
              </w:rPr>
              <w:t>3</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PPH</w:t>
            </w:r>
          </w:p>
          <w:p w14:paraId="1A84F9D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eastAsia" w:cs="Times New Roman"/>
                <w:snapToGrid w:val="0"/>
                <w:color w:val="auto"/>
                <w:highlight w:val="none"/>
                <w:lang w:val="en-US" w:eastAsia="zh-CN"/>
              </w:rPr>
              <w:t>刷洗水循环槽：</w:t>
            </w:r>
            <w:r>
              <w:rPr>
                <w:rFonts w:hint="default" w:cs="Times New Roman"/>
                <w:snapToGrid w:val="0"/>
                <w:color w:val="auto"/>
                <w:highlight w:val="none"/>
                <w:lang w:val="en-US" w:eastAsia="zh-CN"/>
              </w:rPr>
              <w:t>1</w:t>
            </w:r>
            <w:r>
              <w:rPr>
                <w:rFonts w:hint="eastAsia" w:cs="Times New Roman"/>
                <w:snapToGrid w:val="0"/>
                <w:color w:val="auto"/>
                <w:highlight w:val="none"/>
                <w:lang w:val="en-US" w:eastAsia="zh-CN"/>
              </w:rPr>
              <w:t>个</w:t>
            </w:r>
          </w:p>
          <w:p w14:paraId="457D99B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eastAsia" w:cs="Times New Roman"/>
                <w:snapToGrid w:val="0"/>
                <w:color w:val="auto"/>
                <w:highlight w:val="none"/>
                <w:lang w:val="en-US" w:eastAsia="zh-CN"/>
              </w:rPr>
              <w:t>罐容积</w:t>
            </w:r>
            <w:r>
              <w:rPr>
                <w:rFonts w:hint="default" w:cs="Times New Roman"/>
                <w:snapToGrid w:val="0"/>
                <w:color w:val="auto"/>
                <w:highlight w:val="none"/>
                <w:lang w:val="en-US" w:eastAsia="zh-CN"/>
              </w:rPr>
              <w:t>10m</w:t>
            </w:r>
            <w:r>
              <w:rPr>
                <w:rFonts w:hint="default" w:cs="Times New Roman"/>
                <w:snapToGrid w:val="0"/>
                <w:color w:val="auto"/>
                <w:highlight w:val="none"/>
                <w:vertAlign w:val="superscript"/>
                <w:lang w:val="en-US" w:eastAsia="zh-CN"/>
              </w:rPr>
              <w:t>3</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PPH</w:t>
            </w:r>
          </w:p>
          <w:p w14:paraId="46D9FAB6">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eastAsia" w:cs="Times New Roman"/>
                <w:snapToGrid w:val="0"/>
                <w:color w:val="auto"/>
                <w:highlight w:val="none"/>
                <w:lang w:val="en-US" w:eastAsia="zh-CN"/>
              </w:rPr>
              <w:t>新水循环槽：</w:t>
            </w:r>
            <w:r>
              <w:rPr>
                <w:rFonts w:hint="default" w:cs="Times New Roman"/>
                <w:snapToGrid w:val="0"/>
                <w:color w:val="auto"/>
                <w:highlight w:val="none"/>
                <w:lang w:val="en-US" w:eastAsia="zh-CN"/>
              </w:rPr>
              <w:t>1</w:t>
            </w:r>
            <w:r>
              <w:rPr>
                <w:rFonts w:hint="eastAsia" w:cs="Times New Roman"/>
                <w:snapToGrid w:val="0"/>
                <w:color w:val="auto"/>
                <w:highlight w:val="none"/>
                <w:lang w:val="en-US" w:eastAsia="zh-CN"/>
              </w:rPr>
              <w:t>个</w:t>
            </w:r>
          </w:p>
          <w:p w14:paraId="2C1B5A56">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eastAsia" w:cs="Times New Roman"/>
                <w:snapToGrid w:val="0"/>
                <w:color w:val="auto"/>
                <w:highlight w:val="none"/>
                <w:lang w:val="en-US" w:eastAsia="zh-CN"/>
              </w:rPr>
              <w:t>罐容积</w:t>
            </w:r>
            <w:r>
              <w:rPr>
                <w:rFonts w:hint="default" w:cs="Times New Roman"/>
                <w:snapToGrid w:val="0"/>
                <w:color w:val="auto"/>
                <w:highlight w:val="none"/>
                <w:lang w:val="en-US" w:eastAsia="zh-CN"/>
              </w:rPr>
              <w:t>6m</w:t>
            </w:r>
            <w:r>
              <w:rPr>
                <w:rFonts w:hint="default" w:cs="Times New Roman"/>
                <w:snapToGrid w:val="0"/>
                <w:color w:val="auto"/>
                <w:highlight w:val="none"/>
                <w:vertAlign w:val="superscript"/>
                <w:lang w:val="en-US" w:eastAsia="zh-CN"/>
              </w:rPr>
              <w:t>3</w:t>
            </w:r>
            <w:r>
              <w:rPr>
                <w:rFonts w:hint="eastAsia" w:cs="Times New Roman"/>
                <w:snapToGrid w:val="0"/>
                <w:color w:val="auto"/>
                <w:highlight w:val="none"/>
                <w:lang w:val="en-US" w:eastAsia="zh-CN"/>
              </w:rPr>
              <w:t>，不锈钢</w:t>
            </w:r>
          </w:p>
          <w:p w14:paraId="31DE758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s="Times New Roman"/>
                <w:snapToGrid w:val="0"/>
                <w:color w:val="auto"/>
                <w:highlight w:val="none"/>
                <w:lang w:val="en-US" w:eastAsia="zh-CN"/>
              </w:rPr>
            </w:pPr>
            <w:r>
              <w:rPr>
                <w:rFonts w:hint="eastAsia" w:cs="Times New Roman"/>
                <w:snapToGrid w:val="0"/>
                <w:color w:val="auto"/>
                <w:highlight w:val="none"/>
                <w:lang w:val="en-US" w:eastAsia="zh-CN"/>
              </w:rPr>
              <w:t>刷洗水循环泵：</w:t>
            </w:r>
            <w:r>
              <w:rPr>
                <w:rFonts w:hint="default" w:cs="Times New Roman"/>
                <w:snapToGrid w:val="0"/>
                <w:color w:val="auto"/>
                <w:highlight w:val="none"/>
                <w:lang w:val="en-US" w:eastAsia="zh-CN"/>
              </w:rPr>
              <w:t>3</w:t>
            </w:r>
            <w:r>
              <w:rPr>
                <w:rFonts w:hint="eastAsia" w:cs="Times New Roman"/>
                <w:snapToGrid w:val="0"/>
                <w:color w:val="auto"/>
                <w:highlight w:val="none"/>
                <w:lang w:val="en-US" w:eastAsia="zh-CN"/>
              </w:rPr>
              <w:t>台流量</w:t>
            </w:r>
            <w:r>
              <w:rPr>
                <w:rFonts w:hint="default" w:cs="Times New Roman"/>
                <w:snapToGrid w:val="0"/>
                <w:color w:val="auto"/>
                <w:highlight w:val="none"/>
                <w:lang w:val="en-US" w:eastAsia="zh-CN"/>
              </w:rPr>
              <w:t>44m</w:t>
            </w:r>
            <w:r>
              <w:rPr>
                <w:rFonts w:hint="default" w:cs="Times New Roman"/>
                <w:snapToGrid w:val="0"/>
                <w:color w:val="auto"/>
                <w:highlight w:val="none"/>
                <w:vertAlign w:val="superscript"/>
                <w:lang w:val="en-US" w:eastAsia="zh-CN"/>
              </w:rPr>
              <w:t>3</w:t>
            </w:r>
            <w:r>
              <w:rPr>
                <w:rFonts w:hint="default" w:cs="Times New Roman"/>
                <w:snapToGrid w:val="0"/>
                <w:color w:val="auto"/>
                <w:highlight w:val="none"/>
                <w:lang w:val="en-US" w:eastAsia="zh-CN"/>
              </w:rPr>
              <w:t>/h</w:t>
            </w:r>
            <w:r>
              <w:rPr>
                <w:rFonts w:hint="eastAsia" w:cs="Times New Roman"/>
                <w:snapToGrid w:val="0"/>
                <w:color w:val="auto"/>
                <w:highlight w:val="none"/>
                <w:lang w:val="en-US" w:eastAsia="zh-CN"/>
              </w:rPr>
              <w:t>，扬程</w:t>
            </w:r>
            <w:r>
              <w:rPr>
                <w:rFonts w:hint="default" w:cs="Times New Roman"/>
                <w:snapToGrid w:val="0"/>
                <w:color w:val="auto"/>
                <w:highlight w:val="none"/>
                <w:lang w:val="en-US" w:eastAsia="zh-CN"/>
              </w:rPr>
              <w:t>0.4MPa</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2</w:t>
            </w:r>
            <w:r>
              <w:rPr>
                <w:rFonts w:hint="eastAsia" w:cs="Times New Roman"/>
                <w:snapToGrid w:val="0"/>
                <w:color w:val="auto"/>
                <w:highlight w:val="none"/>
                <w:lang w:val="en-US" w:eastAsia="zh-CN"/>
              </w:rPr>
              <w:t>用</w:t>
            </w:r>
            <w:r>
              <w:rPr>
                <w:rFonts w:hint="default" w:cs="Times New Roman"/>
                <w:snapToGrid w:val="0"/>
                <w:color w:val="auto"/>
                <w:highlight w:val="none"/>
                <w:lang w:val="en-US" w:eastAsia="zh-CN"/>
              </w:rPr>
              <w:t>1</w:t>
            </w:r>
            <w:r>
              <w:rPr>
                <w:rFonts w:hint="eastAsia" w:cs="Times New Roman"/>
                <w:snapToGrid w:val="0"/>
                <w:color w:val="auto"/>
                <w:highlight w:val="none"/>
                <w:lang w:val="en-US" w:eastAsia="zh-CN"/>
              </w:rPr>
              <w:t>备，耐酸泵。</w:t>
            </w:r>
          </w:p>
          <w:p w14:paraId="2BC0326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s="Times New Roman"/>
                <w:snapToGrid w:val="0"/>
                <w:color w:val="auto"/>
                <w:highlight w:val="none"/>
                <w:lang w:val="en-US" w:eastAsia="zh-CN"/>
              </w:rPr>
            </w:pPr>
            <w:r>
              <w:rPr>
                <w:rFonts w:hint="eastAsia" w:cs="Times New Roman"/>
                <w:snapToGrid w:val="0"/>
                <w:color w:val="auto"/>
                <w:highlight w:val="none"/>
                <w:lang w:val="en-US" w:eastAsia="zh-CN"/>
              </w:rPr>
              <w:t>热水喷淋循环泵：</w:t>
            </w:r>
            <w:r>
              <w:rPr>
                <w:rFonts w:hint="default" w:cs="Times New Roman"/>
                <w:snapToGrid w:val="0"/>
                <w:color w:val="auto"/>
                <w:highlight w:val="none"/>
                <w:lang w:val="en-US" w:eastAsia="zh-CN"/>
              </w:rPr>
              <w:t>2</w:t>
            </w:r>
            <w:r>
              <w:rPr>
                <w:rFonts w:hint="eastAsia" w:cs="Times New Roman"/>
                <w:snapToGrid w:val="0"/>
                <w:color w:val="auto"/>
                <w:highlight w:val="none"/>
                <w:lang w:val="en-US" w:eastAsia="zh-CN"/>
              </w:rPr>
              <w:t>台流量</w:t>
            </w:r>
            <w:r>
              <w:rPr>
                <w:rFonts w:hint="default" w:cs="Times New Roman"/>
                <w:snapToGrid w:val="0"/>
                <w:color w:val="auto"/>
                <w:highlight w:val="none"/>
                <w:lang w:val="en-US" w:eastAsia="zh-CN"/>
              </w:rPr>
              <w:t>3.5m</w:t>
            </w:r>
            <w:r>
              <w:rPr>
                <w:rFonts w:hint="default" w:cs="Times New Roman"/>
                <w:snapToGrid w:val="0"/>
                <w:color w:val="auto"/>
                <w:highlight w:val="none"/>
                <w:vertAlign w:val="superscript"/>
                <w:lang w:val="en-US" w:eastAsia="zh-CN"/>
              </w:rPr>
              <w:t>3</w:t>
            </w:r>
            <w:r>
              <w:rPr>
                <w:rFonts w:hint="default" w:cs="Times New Roman"/>
                <w:snapToGrid w:val="0"/>
                <w:color w:val="auto"/>
                <w:highlight w:val="none"/>
                <w:lang w:val="en-US" w:eastAsia="zh-CN"/>
              </w:rPr>
              <w:t>/h</w:t>
            </w:r>
            <w:r>
              <w:rPr>
                <w:rFonts w:hint="eastAsia" w:cs="Times New Roman"/>
                <w:snapToGrid w:val="0"/>
                <w:color w:val="auto"/>
                <w:highlight w:val="none"/>
                <w:lang w:val="en-US" w:eastAsia="zh-CN"/>
              </w:rPr>
              <w:t xml:space="preserve">，扬程 </w:t>
            </w:r>
            <w:r>
              <w:rPr>
                <w:rFonts w:hint="default" w:cs="Times New Roman"/>
                <w:snapToGrid w:val="0"/>
                <w:color w:val="auto"/>
                <w:highlight w:val="none"/>
                <w:lang w:val="en-US" w:eastAsia="zh-CN"/>
              </w:rPr>
              <w:t>0.4MPa</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1</w:t>
            </w:r>
            <w:r>
              <w:rPr>
                <w:rFonts w:hint="eastAsia" w:cs="Times New Roman"/>
                <w:snapToGrid w:val="0"/>
                <w:color w:val="auto"/>
                <w:highlight w:val="none"/>
                <w:lang w:val="en-US" w:eastAsia="zh-CN"/>
              </w:rPr>
              <w:t>用</w:t>
            </w:r>
            <w:r>
              <w:rPr>
                <w:rFonts w:hint="default" w:cs="Times New Roman"/>
                <w:snapToGrid w:val="0"/>
                <w:color w:val="auto"/>
                <w:highlight w:val="none"/>
                <w:lang w:val="en-US" w:eastAsia="zh-CN"/>
              </w:rPr>
              <w:t>1</w:t>
            </w:r>
            <w:r>
              <w:rPr>
                <w:rFonts w:hint="eastAsia" w:cs="Times New Roman"/>
                <w:snapToGrid w:val="0"/>
                <w:color w:val="auto"/>
                <w:highlight w:val="none"/>
                <w:lang w:val="en-US" w:eastAsia="zh-CN"/>
              </w:rPr>
              <w:t>备，耐酸泵。</w:t>
            </w:r>
          </w:p>
          <w:p w14:paraId="55EFE1C6">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s="Times New Roman"/>
                <w:snapToGrid w:val="0"/>
                <w:color w:val="auto"/>
                <w:highlight w:val="none"/>
                <w:lang w:val="en-US" w:eastAsia="zh-CN"/>
              </w:rPr>
            </w:pPr>
            <w:r>
              <w:rPr>
                <w:rFonts w:hint="eastAsia" w:cs="Times New Roman"/>
                <w:snapToGrid w:val="0"/>
                <w:color w:val="auto"/>
                <w:highlight w:val="none"/>
                <w:lang w:val="en-US" w:eastAsia="zh-CN"/>
              </w:rPr>
              <w:t>烘干：通过向带钢表面喷吹高速热风，来吹干留在带钢表面上的水分。热风温度</w:t>
            </w:r>
            <w:r>
              <w:rPr>
                <w:rFonts w:hint="default" w:cs="Times New Roman"/>
                <w:snapToGrid w:val="0"/>
                <w:color w:val="auto"/>
                <w:highlight w:val="none"/>
                <w:lang w:val="en-US" w:eastAsia="zh-CN"/>
              </w:rPr>
              <w:t>80℃</w:t>
            </w:r>
            <w:r>
              <w:rPr>
                <w:rFonts w:hint="eastAsia" w:cs="Times New Roman"/>
                <w:snapToGrid w:val="0"/>
                <w:color w:val="auto"/>
                <w:highlight w:val="none"/>
                <w:lang w:val="en-US" w:eastAsia="zh-CN"/>
              </w:rPr>
              <w:t>以上，热风热量来源于FCL机组卧式连续炉高温烟气，通过热交换器间接交换热量获得。因涂层未干燥时不能接触炉辊，带钢在该段为悬垂加热。因涂层未干燥时不能接触炉辊，带钢在该段为悬垂加热。</w:t>
            </w:r>
          </w:p>
          <w:p w14:paraId="475ECAF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rPr>
            </w:pPr>
            <w:r>
              <w:rPr>
                <w:rFonts w:hint="eastAsia" w:cs="Times New Roman"/>
                <w:snapToGrid w:val="0"/>
                <w:color w:val="auto"/>
                <w:highlight w:val="none"/>
                <w:lang w:val="en-US" w:eastAsia="zh-CN"/>
              </w:rPr>
              <w:t>热平整：本设计采用卧式连续炉。连续炉由进口密封室、辐射管加热段、电加热均热段、炉喉、循环喷射冷却段、出口密封室组成。辐射管加热段采用天然气燃烧加热。</w:t>
            </w:r>
          </w:p>
          <w:p w14:paraId="7CB0EEA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olor w:val="auto"/>
                <w:lang w:val="en-US" w:eastAsia="zh-CN"/>
              </w:rPr>
            </w:pPr>
            <w:r>
              <w:rPr>
                <w:rFonts w:hint="eastAsia"/>
                <w:color w:val="auto"/>
                <w:lang w:val="en-US" w:eastAsia="zh-CN"/>
              </w:rPr>
              <w:t>产污环节：</w:t>
            </w:r>
          </w:p>
          <w:p w14:paraId="050AB149">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eastAsia" w:cs="Times New Roman"/>
                <w:b/>
                <w:bCs/>
                <w:snapToGrid w:val="0"/>
                <w:color w:val="auto"/>
                <w:highlight w:val="none"/>
                <w:lang w:val="en-US" w:eastAsia="zh-CN"/>
              </w:rPr>
            </w:pPr>
            <w:r>
              <w:rPr>
                <w:rFonts w:hint="eastAsia"/>
                <w:b/>
                <w:bCs/>
                <w:color w:val="auto"/>
                <w:lang w:val="en-US" w:eastAsia="zh-CN"/>
              </w:rPr>
              <w:t>废气：</w:t>
            </w:r>
            <w:r>
              <w:rPr>
                <w:rFonts w:hint="eastAsia" w:cs="Times New Roman"/>
                <w:b/>
                <w:bCs/>
                <w:snapToGrid w:val="0"/>
                <w:color w:val="auto"/>
                <w:highlight w:val="none"/>
                <w:lang w:val="en-US" w:eastAsia="zh-CN"/>
              </w:rPr>
              <w:t>热拉伸入口氧化镁粉尘G13、酸洗过程有硫酸酸雾</w:t>
            </w:r>
            <w:r>
              <w:rPr>
                <w:rFonts w:hint="default" w:cs="Times New Roman"/>
                <w:b/>
                <w:bCs/>
                <w:snapToGrid w:val="0"/>
                <w:color w:val="auto"/>
                <w:highlight w:val="none"/>
                <w:lang w:val="en-US" w:eastAsia="zh-CN"/>
              </w:rPr>
              <w:t>G</w:t>
            </w:r>
            <w:r>
              <w:rPr>
                <w:rFonts w:hint="eastAsia" w:cs="Times New Roman"/>
                <w:b/>
                <w:bCs/>
                <w:snapToGrid w:val="0"/>
                <w:color w:val="auto"/>
                <w:highlight w:val="none"/>
                <w:lang w:val="en-US" w:eastAsia="zh-CN"/>
              </w:rPr>
              <w:t>14产生、卧式连续炉</w:t>
            </w:r>
            <w:r>
              <w:rPr>
                <w:rFonts w:hint="eastAsia"/>
                <w:b/>
                <w:bCs/>
                <w:color w:val="auto"/>
                <w:lang w:val="en-US" w:eastAsia="zh-CN"/>
              </w:rPr>
              <w:t>燃烧废气G15、</w:t>
            </w:r>
            <w:r>
              <w:rPr>
                <w:rFonts w:hint="eastAsia" w:cs="Times New Roman"/>
                <w:b/>
                <w:bCs/>
                <w:snapToGrid w:val="0"/>
                <w:color w:val="auto"/>
                <w:highlight w:val="none"/>
                <w:lang w:val="en-US" w:eastAsia="zh-CN"/>
              </w:rPr>
              <w:t>激光刻痕废气G16。</w:t>
            </w:r>
          </w:p>
          <w:p w14:paraId="3C2D24F2">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eastAsia" w:cs="Times New Roman"/>
                <w:b/>
                <w:bCs/>
                <w:snapToGrid w:val="0"/>
                <w:color w:val="auto"/>
                <w:highlight w:val="none"/>
                <w:lang w:val="en-US" w:eastAsia="zh-CN"/>
              </w:rPr>
            </w:pPr>
            <w:r>
              <w:rPr>
                <w:rFonts w:hint="eastAsia" w:cs="Times New Roman"/>
                <w:b/>
                <w:bCs/>
                <w:snapToGrid w:val="0"/>
                <w:color w:val="auto"/>
                <w:highlight w:val="none"/>
                <w:lang w:val="en-US" w:eastAsia="zh-CN"/>
              </w:rPr>
              <w:t>废水：硫酸酸洗后清洗废水W6；</w:t>
            </w:r>
          </w:p>
          <w:p w14:paraId="2E0882A1">
            <w:pPr>
              <w:keepNext w:val="0"/>
              <w:keepLines w:val="0"/>
              <w:pageBreakBefore w:val="0"/>
              <w:widowControl/>
              <w:kinsoku/>
              <w:wordWrap/>
              <w:overflowPunct/>
              <w:topLinePunct w:val="0"/>
              <w:autoSpaceDE/>
              <w:autoSpaceDN/>
              <w:bidi w:val="0"/>
              <w:adjustRightInd w:val="0"/>
              <w:snapToGrid w:val="0"/>
              <w:spacing w:line="360" w:lineRule="auto"/>
              <w:ind w:firstLine="422" w:firstLineChars="200"/>
              <w:textAlignment w:val="auto"/>
              <w:rPr>
                <w:rFonts w:hint="eastAsia"/>
                <w:b/>
                <w:bCs/>
                <w:color w:val="auto"/>
                <w:highlight w:val="none"/>
                <w:lang w:val="en-US" w:eastAsia="zh-CN"/>
              </w:rPr>
            </w:pPr>
            <w:r>
              <w:rPr>
                <w:rFonts w:hint="eastAsia" w:cs="Times New Roman"/>
                <w:b/>
                <w:bCs/>
                <w:snapToGrid w:val="0"/>
                <w:color w:val="auto"/>
                <w:highlight w:val="none"/>
                <w:lang w:val="en-US" w:eastAsia="zh-CN"/>
              </w:rPr>
              <w:t>固废：</w:t>
            </w:r>
            <w:r>
              <w:rPr>
                <w:rFonts w:hint="eastAsia"/>
                <w:b/>
                <w:bCs/>
                <w:color w:val="auto"/>
                <w:highlight w:val="none"/>
                <w:lang w:val="en-US" w:eastAsia="zh-CN"/>
              </w:rPr>
              <w:t>剪切工序产生边角料S9，酸洗槽废渣S10；</w:t>
            </w:r>
          </w:p>
          <w:p w14:paraId="589F1C0A">
            <w:pPr>
              <w:keepNext w:val="0"/>
              <w:keepLines w:val="0"/>
              <w:pageBreakBefore w:val="0"/>
              <w:widowControl/>
              <w:kinsoku/>
              <w:wordWrap/>
              <w:overflowPunct/>
              <w:topLinePunct w:val="0"/>
              <w:autoSpaceDE/>
              <w:autoSpaceDN/>
              <w:bidi w:val="0"/>
              <w:adjustRightInd w:val="0"/>
              <w:snapToGrid w:val="0"/>
              <w:spacing w:line="360" w:lineRule="auto"/>
              <w:ind w:firstLine="422" w:firstLineChars="200"/>
              <w:textAlignment w:val="auto"/>
              <w:rPr>
                <w:rFonts w:hint="default" w:cs="Times New Roman"/>
                <w:b/>
                <w:bCs/>
                <w:snapToGrid w:val="0"/>
                <w:color w:val="auto"/>
                <w:highlight w:val="none"/>
                <w:lang w:val="en-US" w:eastAsia="zh-CN"/>
              </w:rPr>
            </w:pPr>
            <w:r>
              <w:rPr>
                <w:rFonts w:hint="eastAsia" w:cs="Times New Roman"/>
                <w:b/>
                <w:bCs/>
                <w:color w:val="auto"/>
                <w:szCs w:val="28"/>
                <w:highlight w:val="none"/>
                <w:lang w:val="en-US" w:eastAsia="zh-CN"/>
              </w:rPr>
              <w:t>噪声：开卷机、泵类、风机等设备运转噪声N。</w:t>
            </w:r>
          </w:p>
          <w:p w14:paraId="6324C0B9">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eastAsia" w:cs="Times New Roman"/>
                <w:b/>
                <w:bCs/>
                <w:snapToGrid w:val="0"/>
                <w:color w:val="auto"/>
                <w:highlight w:val="none"/>
                <w:lang w:val="en-US" w:eastAsia="zh-CN"/>
              </w:rPr>
            </w:pPr>
            <w:r>
              <w:rPr>
                <w:rFonts w:hint="eastAsia" w:cs="Times New Roman"/>
                <w:b/>
                <w:bCs/>
                <w:snapToGrid w:val="0"/>
                <w:color w:val="auto"/>
                <w:highlight w:val="none"/>
                <w:lang w:val="en-US" w:eastAsia="zh-CN"/>
              </w:rPr>
              <w:t>（6）重卷剪切机组（CSL）</w:t>
            </w:r>
          </w:p>
          <w:p w14:paraId="56E983C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default" w:cs="Times New Roman"/>
                <w:snapToGrid w:val="0"/>
                <w:color w:val="auto"/>
                <w:highlight w:val="none"/>
                <w:lang w:val="en-US" w:eastAsia="zh-CN"/>
              </w:rPr>
              <w:t>主要功能是对成品硅钢进行切边以改善带钢宽度及边部质量、同时进行表面检查、切头、切尾、分卷等。重卷机组的主要设备选型和特点如下</w:t>
            </w:r>
            <w:r>
              <w:rPr>
                <w:rFonts w:hint="eastAsia" w:cs="Times New Roman"/>
                <w:snapToGrid w:val="0"/>
                <w:color w:val="auto"/>
                <w:highlight w:val="none"/>
                <w:lang w:val="en-US" w:eastAsia="zh-CN"/>
              </w:rPr>
              <w:t>：</w:t>
            </w:r>
          </w:p>
          <w:p w14:paraId="3F3320F6">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default" w:cs="Times New Roman"/>
                <w:snapToGrid w:val="0"/>
                <w:color w:val="auto"/>
                <w:highlight w:val="none"/>
                <w:lang w:val="en-US" w:eastAsia="zh-CN"/>
              </w:rPr>
              <w:t>开卷机采用磁力皮带开卷方式</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具有反向点动运行的功能</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入口部分设计有自动上卷、自动减速甩尾、自动停车等自动化功能，具有带头、带尾自动定位的功能</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带钢通过悬臂式圆盘剪进行板带的纵向切边，保证带钢成品宽度，提高边部质量，换刀便捷，电动调整侧隙、重叠量、开口度，剪切参数可以通过二级设定，并自动下发至圆盘剪，圆盘剪自动完成调节</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剪切废边通过碎边断剪进行碎边处理废边，并</w:t>
            </w:r>
            <w:r>
              <w:rPr>
                <w:rFonts w:hint="eastAsia" w:cs="Times New Roman"/>
                <w:snapToGrid w:val="0"/>
                <w:color w:val="auto"/>
                <w:highlight w:val="none"/>
                <w:lang w:val="en-US" w:eastAsia="zh-CN"/>
              </w:rPr>
              <w:t>由</w:t>
            </w:r>
            <w:r>
              <w:rPr>
                <w:rFonts w:hint="default" w:cs="Times New Roman"/>
                <w:snapToGrid w:val="0"/>
                <w:color w:val="auto"/>
                <w:highlight w:val="none"/>
                <w:lang w:val="en-US" w:eastAsia="zh-CN"/>
              </w:rPr>
              <w:t>皮带输送机输送到传动侧的废料箱中，不影响机组的正常运行，生产效率高</w:t>
            </w:r>
            <w:r>
              <w:rPr>
                <w:rFonts w:hint="eastAsia" w:cs="Times New Roman"/>
                <w:snapToGrid w:val="0"/>
                <w:color w:val="auto"/>
                <w:highlight w:val="none"/>
                <w:lang w:val="en-US" w:eastAsia="zh-CN"/>
              </w:rPr>
              <w:t>；</w:t>
            </w:r>
          </w:p>
          <w:p w14:paraId="4476521A">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s="Times New Roman"/>
                <w:snapToGrid w:val="0"/>
                <w:color w:val="auto"/>
                <w:highlight w:val="none"/>
                <w:lang w:val="en-US" w:eastAsia="zh-CN"/>
              </w:rPr>
            </w:pPr>
            <w:r>
              <w:rPr>
                <w:rFonts w:hint="default" w:cs="Times New Roman"/>
                <w:snapToGrid w:val="0"/>
                <w:color w:val="auto"/>
                <w:highlight w:val="none"/>
                <w:lang w:val="en-US" w:eastAsia="zh-CN"/>
              </w:rPr>
              <w:t>设置检查台，可观察带钢正、反两面质量和板型情况</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出口横剪用于分卷剪切和取样剪切</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卷取机采用无缝卷筒，减少内圈印痕圈数，带头印，提高成材率</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卧式助卷器助卷，提高卷取质量</w:t>
            </w:r>
            <w:r>
              <w:rPr>
                <w:rFonts w:hint="eastAsia" w:cs="Times New Roman"/>
                <w:snapToGrid w:val="0"/>
                <w:color w:val="auto"/>
                <w:highlight w:val="none"/>
                <w:lang w:val="en-US" w:eastAsia="zh-CN"/>
              </w:rPr>
              <w:t>；</w:t>
            </w:r>
            <w:r>
              <w:rPr>
                <w:rFonts w:hint="default" w:cs="Times New Roman"/>
                <w:snapToGrid w:val="0"/>
                <w:color w:val="auto"/>
                <w:highlight w:val="none"/>
                <w:lang w:val="en-US" w:eastAsia="zh-CN"/>
              </w:rPr>
              <w:t>钢卷自动打包、打印标签、生成生产实绩。</w:t>
            </w:r>
          </w:p>
          <w:p w14:paraId="754F0DDF">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eastAsia" w:cs="Times New Roman"/>
                <w:b/>
                <w:bCs/>
                <w:snapToGrid w:val="0"/>
                <w:color w:val="auto"/>
                <w:highlight w:val="none"/>
                <w:lang w:val="en-US" w:eastAsia="zh-CN"/>
              </w:rPr>
            </w:pPr>
            <w:r>
              <w:rPr>
                <w:rFonts w:hint="eastAsia" w:cs="Times New Roman"/>
                <w:b/>
                <w:bCs/>
                <w:snapToGrid w:val="0"/>
                <w:color w:val="auto"/>
                <w:highlight w:val="none"/>
                <w:lang w:val="en-US" w:eastAsia="zh-CN"/>
              </w:rPr>
              <w:t>产污环节：</w:t>
            </w:r>
          </w:p>
          <w:p w14:paraId="76E5482E">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eastAsia" w:cs="Times New Roman"/>
                <w:b/>
                <w:bCs/>
                <w:snapToGrid w:val="0"/>
                <w:color w:val="auto"/>
                <w:highlight w:val="none"/>
                <w:lang w:val="en-US" w:eastAsia="zh-CN"/>
              </w:rPr>
            </w:pPr>
            <w:r>
              <w:rPr>
                <w:rFonts w:hint="eastAsia" w:cs="Times New Roman"/>
                <w:b/>
                <w:bCs/>
                <w:snapToGrid w:val="0"/>
                <w:color w:val="auto"/>
                <w:highlight w:val="none"/>
                <w:lang w:val="en-US" w:eastAsia="zh-CN"/>
              </w:rPr>
              <w:t>固废：</w:t>
            </w:r>
            <w:r>
              <w:rPr>
                <w:rFonts w:hint="eastAsia"/>
                <w:b/>
                <w:bCs/>
                <w:color w:val="auto"/>
                <w:lang w:val="en-US" w:eastAsia="zh-CN"/>
              </w:rPr>
              <w:t>剪切工序产生边角料S11</w:t>
            </w:r>
            <w:r>
              <w:rPr>
                <w:rFonts w:hint="eastAsia" w:cs="Times New Roman"/>
                <w:b/>
                <w:bCs/>
                <w:snapToGrid w:val="0"/>
                <w:color w:val="auto"/>
                <w:highlight w:val="none"/>
                <w:lang w:val="en-US" w:eastAsia="zh-CN"/>
              </w:rPr>
              <w:t>。</w:t>
            </w:r>
          </w:p>
          <w:p w14:paraId="4414BB8C">
            <w:pPr>
              <w:keepNext w:val="0"/>
              <w:keepLines w:val="0"/>
              <w:pageBreakBefore w:val="0"/>
              <w:widowControl/>
              <w:kinsoku/>
              <w:wordWrap/>
              <w:overflowPunct/>
              <w:topLinePunct w:val="0"/>
              <w:autoSpaceDE/>
              <w:autoSpaceDN/>
              <w:bidi w:val="0"/>
              <w:adjustRightInd w:val="0"/>
              <w:snapToGrid w:val="0"/>
              <w:spacing w:line="360" w:lineRule="auto"/>
              <w:ind w:firstLine="422" w:firstLineChars="200"/>
              <w:textAlignment w:val="auto"/>
              <w:rPr>
                <w:rFonts w:hint="default" w:cs="Times New Roman"/>
                <w:b/>
                <w:bCs/>
                <w:snapToGrid w:val="0"/>
                <w:color w:val="auto"/>
                <w:highlight w:val="none"/>
                <w:lang w:val="en-US" w:eastAsia="zh-CN"/>
              </w:rPr>
            </w:pPr>
            <w:r>
              <w:rPr>
                <w:rFonts w:hint="eastAsia" w:cs="Times New Roman"/>
                <w:b/>
                <w:bCs/>
                <w:snapToGrid w:val="0"/>
                <w:color w:val="auto"/>
                <w:highlight w:val="none"/>
                <w:lang w:val="en-US" w:eastAsia="zh-CN"/>
              </w:rPr>
              <w:t>噪声：</w:t>
            </w:r>
            <w:r>
              <w:rPr>
                <w:rFonts w:hint="eastAsia" w:cs="Times New Roman"/>
                <w:b/>
                <w:bCs/>
                <w:color w:val="auto"/>
                <w:szCs w:val="28"/>
                <w:highlight w:val="none"/>
                <w:lang w:val="en-US" w:eastAsia="zh-CN"/>
              </w:rPr>
              <w:t>开卷机、泵类等设备运转噪声N。</w:t>
            </w:r>
          </w:p>
          <w:p w14:paraId="146A8356">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eastAsia" w:cs="Times New Roman"/>
                <w:b/>
                <w:bCs/>
                <w:snapToGrid w:val="0"/>
                <w:color w:val="auto"/>
                <w:highlight w:val="none"/>
                <w:lang w:val="en-US" w:eastAsia="zh-CN"/>
              </w:rPr>
            </w:pPr>
            <w:r>
              <w:rPr>
                <w:rFonts w:hint="eastAsia" w:cs="Times New Roman"/>
                <w:b/>
                <w:bCs/>
                <w:snapToGrid w:val="0"/>
                <w:color w:val="auto"/>
                <w:highlight w:val="none"/>
                <w:lang w:val="en-US" w:eastAsia="zh-CN"/>
              </w:rPr>
              <w:t>（7）包装机组（PA）</w:t>
            </w:r>
          </w:p>
          <w:p w14:paraId="0852984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s="Times New Roman"/>
                <w:snapToGrid w:val="0"/>
                <w:color w:val="auto"/>
                <w:highlight w:val="none"/>
                <w:lang w:val="en-US" w:eastAsia="zh-CN"/>
              </w:rPr>
            </w:pPr>
            <w:r>
              <w:rPr>
                <w:rFonts w:hint="eastAsia" w:cs="Times New Roman"/>
                <w:snapToGrid w:val="0"/>
                <w:color w:val="auto"/>
                <w:highlight w:val="none"/>
                <w:lang w:val="en-US" w:eastAsia="zh-CN"/>
              </w:rPr>
              <w:t>包装机组用于硅钢成品卷的包装。按工艺及生产管理的要求，实现钢卷入线、包装、打捆、贴标、转存等工序的连续自动作业。</w:t>
            </w:r>
          </w:p>
          <w:p w14:paraId="650B03E9">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eastAsia" w:cs="Times New Roman"/>
                <w:b/>
                <w:bCs/>
                <w:snapToGrid w:val="0"/>
                <w:color w:val="auto"/>
                <w:highlight w:val="none"/>
                <w:lang w:val="en-US" w:eastAsia="zh-CN"/>
              </w:rPr>
            </w:pPr>
            <w:r>
              <w:rPr>
                <w:rFonts w:hint="eastAsia" w:cs="Times New Roman"/>
                <w:b/>
                <w:bCs/>
                <w:snapToGrid w:val="0"/>
                <w:color w:val="auto"/>
                <w:highlight w:val="none"/>
                <w:lang w:val="en-US" w:eastAsia="zh-CN"/>
              </w:rPr>
              <w:t>产污环节：</w:t>
            </w:r>
          </w:p>
          <w:p w14:paraId="58661A9D">
            <w:pPr>
              <w:keepNext w:val="0"/>
              <w:keepLines w:val="0"/>
              <w:pageBreakBefore w:val="0"/>
              <w:widowControl/>
              <w:kinsoku/>
              <w:wordWrap/>
              <w:overflowPunct/>
              <w:topLinePunct w:val="0"/>
              <w:autoSpaceDE/>
              <w:autoSpaceDN/>
              <w:bidi w:val="0"/>
              <w:adjustRightInd w:val="0"/>
              <w:snapToGrid w:val="0"/>
              <w:spacing w:line="360" w:lineRule="auto"/>
              <w:ind w:firstLine="422" w:firstLineChars="200"/>
              <w:textAlignment w:val="auto"/>
              <w:rPr>
                <w:rFonts w:hint="default" w:cs="Times New Roman"/>
                <w:b/>
                <w:bCs/>
                <w:snapToGrid w:val="0"/>
                <w:color w:val="auto"/>
                <w:highlight w:val="none"/>
                <w:lang w:val="en-US" w:eastAsia="zh-CN"/>
              </w:rPr>
            </w:pPr>
            <w:r>
              <w:rPr>
                <w:rFonts w:hint="eastAsia" w:cs="Times New Roman"/>
                <w:b/>
                <w:bCs/>
                <w:snapToGrid w:val="0"/>
                <w:color w:val="auto"/>
                <w:highlight w:val="none"/>
                <w:lang w:val="en-US" w:eastAsia="zh-CN"/>
              </w:rPr>
              <w:t>噪声：</w:t>
            </w:r>
            <w:r>
              <w:rPr>
                <w:rFonts w:hint="eastAsia" w:cs="Times New Roman"/>
                <w:b/>
                <w:bCs/>
                <w:color w:val="auto"/>
                <w:szCs w:val="28"/>
                <w:highlight w:val="none"/>
                <w:lang w:val="en-US" w:eastAsia="zh-CN"/>
              </w:rPr>
              <w:t>开卷机、泵类等设备运转噪声N。</w:t>
            </w:r>
          </w:p>
          <w:p w14:paraId="68C7870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cs="Times New Roman"/>
                <w:snapToGrid w:val="0"/>
                <w:color w:val="auto"/>
                <w:highlight w:val="none"/>
                <w:lang w:eastAsia="zh-CN"/>
              </w:rPr>
            </w:pPr>
            <w:r>
              <w:rPr>
                <w:rFonts w:cs="Times New Roman"/>
                <w:snapToGrid w:val="0"/>
                <w:color w:val="auto"/>
                <w:highlight w:val="none"/>
                <w:lang w:eastAsia="zh-CN"/>
              </w:rPr>
              <w:t>工艺流程见图</w:t>
            </w:r>
            <w:r>
              <w:rPr>
                <w:rFonts w:hint="eastAsia" w:cs="Times New Roman"/>
                <w:snapToGrid w:val="0"/>
                <w:color w:val="auto"/>
                <w:highlight w:val="none"/>
                <w:lang w:val="en-US" w:eastAsia="zh-CN"/>
              </w:rPr>
              <w:t>2-3、图2-4</w:t>
            </w:r>
            <w:r>
              <w:rPr>
                <w:rFonts w:cs="Times New Roman"/>
                <w:snapToGrid w:val="0"/>
                <w:color w:val="auto"/>
                <w:highlight w:val="none"/>
                <w:lang w:eastAsia="zh-CN"/>
              </w:rPr>
              <w:t>。</w:t>
            </w:r>
          </w:p>
          <w:p w14:paraId="0100AAD4">
            <w:pPr>
              <w:keepNext w:val="0"/>
              <w:keepLines w:val="0"/>
              <w:widowControl/>
              <w:suppressLineNumbers w:val="0"/>
              <w:jc w:val="left"/>
              <w:rPr>
                <w:color w:val="auto"/>
              </w:rPr>
            </w:pPr>
            <w:r>
              <w:rPr>
                <w:color w:val="auto"/>
              </w:rPr>
              <w:drawing>
                <wp:inline distT="0" distB="0" distL="114300" distR="114300">
                  <wp:extent cx="5363845" cy="4170680"/>
                  <wp:effectExtent l="0" t="0" r="8255" b="1270"/>
                  <wp:docPr id="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
                          <pic:cNvPicPr>
                            <a:picLocks noChangeAspect="1"/>
                          </pic:cNvPicPr>
                        </pic:nvPicPr>
                        <pic:blipFill>
                          <a:blip r:embed="rId20"/>
                          <a:stretch>
                            <a:fillRect/>
                          </a:stretch>
                        </pic:blipFill>
                        <pic:spPr>
                          <a:xfrm>
                            <a:off x="0" y="0"/>
                            <a:ext cx="5363845" cy="4170680"/>
                          </a:xfrm>
                          <a:prstGeom prst="rect">
                            <a:avLst/>
                          </a:prstGeom>
                          <a:noFill/>
                          <a:ln>
                            <a:noFill/>
                          </a:ln>
                        </pic:spPr>
                      </pic:pic>
                    </a:graphicData>
                  </a:graphic>
                </wp:inline>
              </w:drawing>
            </w:r>
          </w:p>
          <w:p w14:paraId="6492502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黑体" w:cs="Times New Roman"/>
                <w:b w:val="0"/>
                <w:bCs w:val="0"/>
                <w:color w:val="auto"/>
                <w:sz w:val="21"/>
                <w:szCs w:val="21"/>
                <w:highlight w:val="none"/>
                <w:lang w:val="en-US" w:eastAsia="zh-CN"/>
              </w:rPr>
            </w:pPr>
            <w:r>
              <w:rPr>
                <w:rFonts w:hint="eastAsia" w:ascii="Times New Roman" w:hAnsi="Times New Roman" w:eastAsia="黑体" w:cs="Times New Roman"/>
                <w:b w:val="0"/>
                <w:bCs w:val="0"/>
                <w:color w:val="auto"/>
                <w:sz w:val="21"/>
                <w:szCs w:val="21"/>
                <w:highlight w:val="none"/>
                <w:lang w:val="en-US" w:eastAsia="zh-CN"/>
              </w:rPr>
              <w:t>图</w:t>
            </w:r>
            <w:r>
              <w:rPr>
                <w:rFonts w:hint="default" w:ascii="Times New Roman" w:hAnsi="Times New Roman" w:eastAsia="黑体" w:cs="Times New Roman"/>
                <w:b w:val="0"/>
                <w:bCs w:val="0"/>
                <w:color w:val="auto"/>
                <w:sz w:val="21"/>
                <w:szCs w:val="21"/>
                <w:highlight w:val="none"/>
                <w:lang w:val="en-US" w:eastAsia="zh-CN"/>
              </w:rPr>
              <w:t>2-</w:t>
            </w:r>
            <w:r>
              <w:rPr>
                <w:rFonts w:hint="eastAsia" w:eastAsia="黑体" w:cs="Times New Roman"/>
                <w:b w:val="0"/>
                <w:bCs w:val="0"/>
                <w:color w:val="auto"/>
                <w:sz w:val="21"/>
                <w:szCs w:val="21"/>
                <w:highlight w:val="none"/>
                <w:lang w:val="en-US" w:eastAsia="zh-CN"/>
              </w:rPr>
              <w:t>3  Hi-B钢生产</w:t>
            </w:r>
            <w:r>
              <w:rPr>
                <w:rFonts w:hint="eastAsia" w:ascii="Times New Roman" w:hAnsi="Times New Roman" w:eastAsia="黑体" w:cs="Times New Roman"/>
                <w:b w:val="0"/>
                <w:bCs w:val="0"/>
                <w:color w:val="auto"/>
                <w:sz w:val="21"/>
                <w:szCs w:val="21"/>
                <w:highlight w:val="none"/>
                <w:lang w:val="en-US" w:eastAsia="zh-CN"/>
              </w:rPr>
              <w:t>工艺流程及产污环节图</w:t>
            </w:r>
          </w:p>
          <w:p w14:paraId="119344C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黑体" w:cs="Times New Roman"/>
                <w:b w:val="0"/>
                <w:bCs w:val="0"/>
                <w:color w:val="auto"/>
                <w:sz w:val="21"/>
                <w:szCs w:val="21"/>
                <w:highlight w:val="none"/>
                <w:lang w:val="en-US" w:eastAsia="zh-CN"/>
              </w:rPr>
            </w:pPr>
            <w:r>
              <w:rPr>
                <w:color w:val="auto"/>
              </w:rPr>
              <w:drawing>
                <wp:inline distT="0" distB="0" distL="114300" distR="114300">
                  <wp:extent cx="3764280" cy="3832860"/>
                  <wp:effectExtent l="0" t="0" r="7620" b="15240"/>
                  <wp:docPr id="9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5"/>
                          <pic:cNvPicPr>
                            <a:picLocks noChangeAspect="1"/>
                          </pic:cNvPicPr>
                        </pic:nvPicPr>
                        <pic:blipFill>
                          <a:blip r:embed="rId21"/>
                          <a:stretch>
                            <a:fillRect/>
                          </a:stretch>
                        </pic:blipFill>
                        <pic:spPr>
                          <a:xfrm>
                            <a:off x="0" y="0"/>
                            <a:ext cx="3764280" cy="3832860"/>
                          </a:xfrm>
                          <a:prstGeom prst="rect">
                            <a:avLst/>
                          </a:prstGeom>
                          <a:noFill/>
                          <a:ln>
                            <a:noFill/>
                          </a:ln>
                        </pic:spPr>
                      </pic:pic>
                    </a:graphicData>
                  </a:graphic>
                </wp:inline>
              </w:drawing>
            </w:r>
          </w:p>
          <w:p w14:paraId="2AE5A6E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黑体" w:cs="Times New Roman"/>
                <w:b w:val="0"/>
                <w:bCs w:val="0"/>
                <w:color w:val="auto"/>
                <w:sz w:val="21"/>
                <w:szCs w:val="21"/>
                <w:highlight w:val="none"/>
                <w:lang w:val="en-US" w:eastAsia="zh-CN"/>
              </w:rPr>
            </w:pPr>
            <w:r>
              <w:rPr>
                <w:rFonts w:hint="eastAsia" w:ascii="Times New Roman" w:hAnsi="Times New Roman" w:eastAsia="黑体" w:cs="Times New Roman"/>
                <w:b w:val="0"/>
                <w:bCs w:val="0"/>
                <w:color w:val="auto"/>
                <w:sz w:val="21"/>
                <w:szCs w:val="21"/>
                <w:highlight w:val="none"/>
                <w:lang w:val="en-US" w:eastAsia="zh-CN"/>
              </w:rPr>
              <w:t>图</w:t>
            </w:r>
            <w:r>
              <w:rPr>
                <w:rFonts w:hint="default" w:ascii="Times New Roman" w:hAnsi="Times New Roman" w:eastAsia="黑体" w:cs="Times New Roman"/>
                <w:b w:val="0"/>
                <w:bCs w:val="0"/>
                <w:color w:val="auto"/>
                <w:sz w:val="21"/>
                <w:szCs w:val="21"/>
                <w:highlight w:val="none"/>
                <w:lang w:val="en-US" w:eastAsia="zh-CN"/>
              </w:rPr>
              <w:t>2-</w:t>
            </w:r>
            <w:r>
              <w:rPr>
                <w:rFonts w:hint="eastAsia" w:eastAsia="黑体" w:cs="Times New Roman"/>
                <w:b w:val="0"/>
                <w:bCs w:val="0"/>
                <w:color w:val="auto"/>
                <w:sz w:val="21"/>
                <w:szCs w:val="21"/>
                <w:highlight w:val="none"/>
                <w:lang w:val="en-US" w:eastAsia="zh-CN"/>
              </w:rPr>
              <w:t>4  废酸再生</w:t>
            </w:r>
            <w:r>
              <w:rPr>
                <w:rFonts w:hint="eastAsia" w:ascii="Times New Roman" w:hAnsi="Times New Roman" w:eastAsia="黑体" w:cs="Times New Roman"/>
                <w:b w:val="0"/>
                <w:bCs w:val="0"/>
                <w:color w:val="auto"/>
                <w:sz w:val="21"/>
                <w:szCs w:val="21"/>
                <w:highlight w:val="none"/>
                <w:lang w:val="en-US" w:eastAsia="zh-CN"/>
              </w:rPr>
              <w:t>工艺流程及产污环节图</w:t>
            </w:r>
          </w:p>
          <w:p w14:paraId="4D343BA6">
            <w:pPr>
              <w:keepNext w:val="0"/>
              <w:keepLines w:val="0"/>
              <w:pageBreakBefore w:val="0"/>
              <w:widowControl w:val="0"/>
              <w:numPr>
                <w:ilvl w:val="0"/>
                <w:numId w:val="5"/>
              </w:numPr>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both"/>
              <w:textAlignment w:val="auto"/>
              <w:rPr>
                <w:rFonts w:hint="eastAsia" w:eastAsia="Times New Roman" w:cs="Times New Roman"/>
                <w:color w:val="auto"/>
                <w:kern w:val="0"/>
                <w:sz w:val="24"/>
                <w:szCs w:val="24"/>
                <w:lang w:val="en-US" w:eastAsia="zh-CN" w:bidi="ar-SA"/>
              </w:rPr>
            </w:pPr>
            <w:r>
              <w:rPr>
                <w:rFonts w:hint="eastAsia" w:eastAsia="Times New Roman" w:cs="Times New Roman"/>
                <w:color w:val="auto"/>
                <w:kern w:val="0"/>
                <w:sz w:val="24"/>
                <w:szCs w:val="24"/>
                <w:lang w:val="en-US" w:eastAsia="zh-CN" w:bidi="ar-SA"/>
              </w:rPr>
              <w:t>铁芯生产工艺流程及产污环节</w:t>
            </w:r>
          </w:p>
          <w:p w14:paraId="0B40B01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cs="Times New Roman"/>
                <w:snapToGrid w:val="0"/>
                <w:color w:val="auto"/>
                <w:highlight w:val="none"/>
                <w:lang w:val="en-US" w:eastAsia="zh-CN"/>
              </w:rPr>
            </w:pPr>
            <w:r>
              <w:rPr>
                <w:rFonts w:hint="eastAsia" w:cs="Times New Roman"/>
                <w:snapToGrid w:val="0"/>
                <w:color w:val="auto"/>
                <w:highlight w:val="none"/>
                <w:lang w:val="en-US" w:eastAsia="zh-CN"/>
              </w:rPr>
              <w:t>用纵剪线、横剪线按照各种规格要求剪切本项目自产的Hi-B硅钢片，将硅钢片纵剪、横剪，然后利用外协制造的绝缘件、夹件与硅钢片人工进行叠装，叠装后的产品进行损耗测试，测试合格的进行转配检验入库。</w:t>
            </w:r>
          </w:p>
          <w:p w14:paraId="5C7F5313">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eastAsia" w:cs="Times New Roman"/>
                <w:b/>
                <w:bCs/>
                <w:snapToGrid w:val="0"/>
                <w:color w:val="auto"/>
                <w:highlight w:val="none"/>
                <w:lang w:val="en-US" w:eastAsia="zh-CN"/>
              </w:rPr>
            </w:pPr>
            <w:r>
              <w:rPr>
                <w:rFonts w:hint="eastAsia" w:cs="Times New Roman"/>
                <w:b/>
                <w:bCs/>
                <w:snapToGrid w:val="0"/>
                <w:color w:val="auto"/>
                <w:highlight w:val="none"/>
                <w:lang w:val="en-US" w:eastAsia="zh-CN"/>
              </w:rPr>
              <w:t>产污环节：</w:t>
            </w:r>
          </w:p>
          <w:p w14:paraId="15C54720">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eastAsia" w:cs="Times New Roman"/>
                <w:b/>
                <w:bCs/>
                <w:snapToGrid w:val="0"/>
                <w:color w:val="auto"/>
                <w:highlight w:val="none"/>
                <w:lang w:val="en-US" w:eastAsia="zh-CN"/>
              </w:rPr>
            </w:pPr>
            <w:r>
              <w:rPr>
                <w:rFonts w:hint="eastAsia" w:cs="Times New Roman"/>
                <w:b/>
                <w:bCs/>
                <w:snapToGrid w:val="0"/>
                <w:color w:val="auto"/>
                <w:highlight w:val="none"/>
                <w:lang w:val="en-US" w:eastAsia="zh-CN"/>
              </w:rPr>
              <w:t>固废：</w:t>
            </w:r>
            <w:r>
              <w:rPr>
                <w:rFonts w:hint="eastAsia"/>
                <w:b/>
                <w:bCs/>
                <w:color w:val="auto"/>
                <w:lang w:val="en-US" w:eastAsia="zh-CN"/>
              </w:rPr>
              <w:t>剪切工序产生边角料S13</w:t>
            </w:r>
            <w:r>
              <w:rPr>
                <w:rFonts w:hint="eastAsia" w:cs="Times New Roman"/>
                <w:b/>
                <w:bCs/>
                <w:snapToGrid w:val="0"/>
                <w:color w:val="auto"/>
                <w:highlight w:val="none"/>
                <w:lang w:val="en-US" w:eastAsia="zh-CN"/>
              </w:rPr>
              <w:t>。</w:t>
            </w:r>
          </w:p>
          <w:p w14:paraId="22336D25">
            <w:pPr>
              <w:keepNext w:val="0"/>
              <w:keepLines w:val="0"/>
              <w:pageBreakBefore w:val="0"/>
              <w:widowControl/>
              <w:kinsoku/>
              <w:wordWrap/>
              <w:overflowPunct/>
              <w:topLinePunct w:val="0"/>
              <w:autoSpaceDE/>
              <w:autoSpaceDN/>
              <w:bidi w:val="0"/>
              <w:adjustRightInd w:val="0"/>
              <w:snapToGrid w:val="0"/>
              <w:spacing w:line="360" w:lineRule="auto"/>
              <w:ind w:firstLine="422" w:firstLineChars="200"/>
              <w:textAlignment w:val="auto"/>
              <w:rPr>
                <w:rFonts w:hint="default" w:cs="Times New Roman"/>
                <w:b/>
                <w:bCs/>
                <w:snapToGrid w:val="0"/>
                <w:color w:val="auto"/>
                <w:highlight w:val="none"/>
                <w:lang w:val="en-US" w:eastAsia="zh-CN"/>
              </w:rPr>
            </w:pPr>
            <w:r>
              <w:rPr>
                <w:rFonts w:hint="eastAsia" w:cs="Times New Roman"/>
                <w:b/>
                <w:bCs/>
                <w:snapToGrid w:val="0"/>
                <w:color w:val="auto"/>
                <w:highlight w:val="none"/>
                <w:lang w:val="en-US" w:eastAsia="zh-CN"/>
              </w:rPr>
              <w:t>噪声：</w:t>
            </w:r>
            <w:r>
              <w:rPr>
                <w:rFonts w:hint="eastAsia" w:cs="Times New Roman"/>
                <w:b/>
                <w:bCs/>
                <w:color w:val="auto"/>
                <w:szCs w:val="28"/>
                <w:highlight w:val="none"/>
                <w:lang w:val="en-US" w:eastAsia="zh-CN"/>
              </w:rPr>
              <w:t>剪切机等设备运转噪声N。</w:t>
            </w:r>
          </w:p>
          <w:p w14:paraId="646B5D04">
            <w:pPr>
              <w:keepNext w:val="0"/>
              <w:keepLines w:val="0"/>
              <w:widowControl/>
              <w:suppressLineNumbers w:val="0"/>
              <w:jc w:val="center"/>
              <w:rPr>
                <w:color w:val="auto"/>
              </w:rPr>
            </w:pPr>
            <w:r>
              <w:rPr>
                <w:color w:val="auto"/>
              </w:rPr>
              <w:drawing>
                <wp:inline distT="0" distB="0" distL="114300" distR="114300">
                  <wp:extent cx="2078990" cy="3521710"/>
                  <wp:effectExtent l="0" t="0" r="16510" b="2540"/>
                  <wp:docPr id="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
                          <pic:cNvPicPr>
                            <a:picLocks noChangeAspect="1"/>
                          </pic:cNvPicPr>
                        </pic:nvPicPr>
                        <pic:blipFill>
                          <a:blip r:embed="rId22"/>
                          <a:stretch>
                            <a:fillRect/>
                          </a:stretch>
                        </pic:blipFill>
                        <pic:spPr>
                          <a:xfrm>
                            <a:off x="0" y="0"/>
                            <a:ext cx="2078990" cy="3521710"/>
                          </a:xfrm>
                          <a:prstGeom prst="rect">
                            <a:avLst/>
                          </a:prstGeom>
                          <a:noFill/>
                          <a:ln>
                            <a:noFill/>
                          </a:ln>
                        </pic:spPr>
                      </pic:pic>
                    </a:graphicData>
                  </a:graphic>
                </wp:inline>
              </w:drawing>
            </w:r>
          </w:p>
          <w:p w14:paraId="27B4C14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黑体" w:cs="Times New Roman"/>
                <w:b w:val="0"/>
                <w:bCs w:val="0"/>
                <w:color w:val="auto"/>
                <w:sz w:val="21"/>
                <w:szCs w:val="21"/>
                <w:highlight w:val="none"/>
                <w:lang w:val="en-US" w:eastAsia="zh-CN"/>
              </w:rPr>
            </w:pPr>
            <w:r>
              <w:rPr>
                <w:rFonts w:hint="eastAsia" w:ascii="Times New Roman" w:hAnsi="Times New Roman" w:eastAsia="黑体" w:cs="Times New Roman"/>
                <w:b w:val="0"/>
                <w:bCs w:val="0"/>
                <w:color w:val="auto"/>
                <w:sz w:val="21"/>
                <w:szCs w:val="21"/>
                <w:highlight w:val="none"/>
                <w:lang w:val="en-US" w:eastAsia="zh-CN"/>
              </w:rPr>
              <w:t>图</w:t>
            </w:r>
            <w:r>
              <w:rPr>
                <w:rFonts w:hint="default" w:ascii="Times New Roman" w:hAnsi="Times New Roman" w:eastAsia="黑体" w:cs="Times New Roman"/>
                <w:b w:val="0"/>
                <w:bCs w:val="0"/>
                <w:color w:val="auto"/>
                <w:sz w:val="21"/>
                <w:szCs w:val="21"/>
                <w:highlight w:val="none"/>
                <w:lang w:val="en-US" w:eastAsia="zh-CN"/>
              </w:rPr>
              <w:t>2-</w:t>
            </w:r>
            <w:r>
              <w:rPr>
                <w:rFonts w:hint="eastAsia" w:eastAsia="黑体" w:cs="Times New Roman"/>
                <w:b w:val="0"/>
                <w:bCs w:val="0"/>
                <w:color w:val="auto"/>
                <w:sz w:val="21"/>
                <w:szCs w:val="21"/>
                <w:highlight w:val="none"/>
                <w:lang w:val="en-US" w:eastAsia="zh-CN"/>
              </w:rPr>
              <w:t>5  铁芯生产</w:t>
            </w:r>
            <w:r>
              <w:rPr>
                <w:rFonts w:hint="eastAsia" w:ascii="Times New Roman" w:hAnsi="Times New Roman" w:eastAsia="黑体" w:cs="Times New Roman"/>
                <w:b w:val="0"/>
                <w:bCs w:val="0"/>
                <w:color w:val="auto"/>
                <w:sz w:val="21"/>
                <w:szCs w:val="21"/>
                <w:highlight w:val="none"/>
                <w:lang w:val="en-US" w:eastAsia="zh-CN"/>
              </w:rPr>
              <w:t>工艺流程及产污环节图</w:t>
            </w:r>
          </w:p>
          <w:p w14:paraId="4C2F1F69">
            <w:pPr>
              <w:pStyle w:val="213"/>
              <w:ind w:firstLine="480"/>
              <w:rPr>
                <w:rFonts w:hint="eastAsia" w:ascii="Times New Roman" w:hAnsi="Times New Roman" w:eastAsia="宋体" w:cs="Times New Roman"/>
                <w:b w:val="0"/>
                <w:bCs/>
                <w:snapToGrid w:val="0"/>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项目主要产污工序及污染物</w:t>
            </w:r>
            <w:r>
              <w:rPr>
                <w:rFonts w:hint="eastAsia" w:ascii="Times New Roman" w:hAnsi="Times New Roman" w:eastAsia="宋体" w:cs="Times New Roman"/>
                <w:b w:val="0"/>
                <w:bCs/>
                <w:snapToGrid w:val="0"/>
                <w:color w:val="auto"/>
                <w:sz w:val="21"/>
                <w:szCs w:val="21"/>
                <w:highlight w:val="none"/>
                <w:lang w:val="en-US" w:eastAsia="zh-CN"/>
              </w:rPr>
              <w:t>见下表。</w:t>
            </w:r>
          </w:p>
          <w:p w14:paraId="4286CB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val="0"/>
                <w:color w:val="auto"/>
                <w:sz w:val="21"/>
                <w:szCs w:val="21"/>
                <w:highlight w:val="none"/>
                <w:lang w:val="en-US" w:eastAsia="zh-CN"/>
              </w:rPr>
            </w:pPr>
            <w:r>
              <w:rPr>
                <w:rFonts w:hint="default" w:ascii="Times New Roman" w:hAnsi="Times New Roman" w:eastAsia="黑体" w:cs="Times New Roman"/>
                <w:b w:val="0"/>
                <w:bCs w:val="0"/>
                <w:color w:val="auto"/>
                <w:sz w:val="21"/>
                <w:szCs w:val="21"/>
                <w:highlight w:val="none"/>
                <w:lang w:val="en-US" w:eastAsia="zh-CN"/>
              </w:rPr>
              <w:t>表2-</w:t>
            </w:r>
            <w:r>
              <w:rPr>
                <w:rFonts w:hint="eastAsia" w:eastAsia="黑体" w:cs="Times New Roman"/>
                <w:b w:val="0"/>
                <w:bCs w:val="0"/>
                <w:color w:val="auto"/>
                <w:sz w:val="21"/>
                <w:szCs w:val="21"/>
                <w:highlight w:val="none"/>
                <w:lang w:val="en-US" w:eastAsia="zh-CN"/>
              </w:rPr>
              <w:t xml:space="preserve">11  </w:t>
            </w:r>
            <w:r>
              <w:rPr>
                <w:rFonts w:hint="default" w:ascii="Times New Roman" w:hAnsi="Times New Roman" w:eastAsia="黑体" w:cs="Times New Roman"/>
                <w:b w:val="0"/>
                <w:bCs w:val="0"/>
                <w:color w:val="auto"/>
                <w:sz w:val="21"/>
                <w:szCs w:val="21"/>
                <w:highlight w:val="none"/>
                <w:lang w:val="en-US" w:eastAsia="zh-CN"/>
              </w:rPr>
              <w:t>项目主要产污工序及污染物对照一览表</w:t>
            </w:r>
          </w:p>
          <w:tbl>
            <w:tblPr>
              <w:tblStyle w:val="34"/>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7" w:type="dxa"/>
                <w:bottom w:w="0" w:type="dxa"/>
                <w:right w:w="57" w:type="dxa"/>
              </w:tblCellMar>
            </w:tblPr>
            <w:tblGrid>
              <w:gridCol w:w="857"/>
              <w:gridCol w:w="1500"/>
              <w:gridCol w:w="1500"/>
              <w:gridCol w:w="2059"/>
              <w:gridCol w:w="2498"/>
            </w:tblGrid>
            <w:tr w14:paraId="5CD62F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tcBorders>
                    <w:tl2br w:val="nil"/>
                    <w:tr2bl w:val="nil"/>
                  </w:tcBorders>
                  <w:noWrap w:val="0"/>
                  <w:vAlign w:val="center"/>
                </w:tcPr>
                <w:p w14:paraId="6DF62B6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bCs/>
                      <w:snapToGrid w:val="0"/>
                      <w:color w:val="auto"/>
                      <w:sz w:val="18"/>
                      <w:szCs w:val="18"/>
                      <w:highlight w:val="none"/>
                      <w:vertAlign w:val="baseline"/>
                      <w:lang w:val="en-US" w:eastAsia="zh-CN"/>
                    </w:rPr>
                  </w:pPr>
                  <w:r>
                    <w:rPr>
                      <w:rFonts w:hint="eastAsia" w:ascii="Times New Roman" w:hAnsi="Times New Roman" w:eastAsia="宋体" w:cs="Times New Roman"/>
                      <w:b/>
                      <w:bCs/>
                      <w:snapToGrid w:val="0"/>
                      <w:color w:val="auto"/>
                      <w:sz w:val="18"/>
                      <w:szCs w:val="18"/>
                      <w:highlight w:val="none"/>
                      <w:vertAlign w:val="baseline"/>
                      <w:lang w:val="en-US" w:eastAsia="zh-CN"/>
                    </w:rPr>
                    <w:t>项目</w:t>
                  </w:r>
                </w:p>
              </w:tc>
              <w:tc>
                <w:tcPr>
                  <w:tcW w:w="891" w:type="pct"/>
                  <w:tcBorders>
                    <w:tl2br w:val="nil"/>
                    <w:tr2bl w:val="nil"/>
                  </w:tcBorders>
                  <w:noWrap w:val="0"/>
                  <w:vAlign w:val="center"/>
                </w:tcPr>
                <w:p w14:paraId="0A131F5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snapToGrid w:val="0"/>
                      <w:color w:val="auto"/>
                      <w:sz w:val="18"/>
                      <w:szCs w:val="18"/>
                      <w:highlight w:val="none"/>
                      <w:vertAlign w:val="baseline"/>
                      <w:lang w:val="en-US" w:eastAsia="zh-CN"/>
                    </w:rPr>
                  </w:pPr>
                  <w:r>
                    <w:rPr>
                      <w:rFonts w:hint="eastAsia" w:cs="Times New Roman"/>
                      <w:b/>
                      <w:bCs/>
                      <w:snapToGrid w:val="0"/>
                      <w:color w:val="auto"/>
                      <w:sz w:val="18"/>
                      <w:szCs w:val="18"/>
                      <w:highlight w:val="none"/>
                      <w:vertAlign w:val="baseline"/>
                      <w:lang w:val="en-US" w:eastAsia="zh-CN"/>
                    </w:rPr>
                    <w:t>装置设备</w:t>
                  </w:r>
                </w:p>
              </w:tc>
              <w:tc>
                <w:tcPr>
                  <w:tcW w:w="891" w:type="pct"/>
                  <w:tcBorders>
                    <w:tl2br w:val="nil"/>
                    <w:tr2bl w:val="nil"/>
                  </w:tcBorders>
                  <w:noWrap w:val="0"/>
                  <w:vAlign w:val="center"/>
                </w:tcPr>
                <w:p w14:paraId="6F1CB04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bCs/>
                      <w:snapToGrid w:val="0"/>
                      <w:color w:val="auto"/>
                      <w:kern w:val="2"/>
                      <w:sz w:val="18"/>
                      <w:szCs w:val="18"/>
                      <w:highlight w:val="none"/>
                      <w:vertAlign w:val="baseline"/>
                      <w:lang w:val="en-US" w:eastAsia="zh-CN" w:bidi="ar-SA"/>
                    </w:rPr>
                  </w:pPr>
                  <w:r>
                    <w:rPr>
                      <w:rFonts w:hint="eastAsia" w:cs="Times New Roman"/>
                      <w:b/>
                      <w:bCs/>
                      <w:snapToGrid w:val="0"/>
                      <w:color w:val="auto"/>
                      <w:sz w:val="18"/>
                      <w:szCs w:val="18"/>
                      <w:highlight w:val="none"/>
                      <w:vertAlign w:val="baseline"/>
                      <w:lang w:val="en-US" w:eastAsia="zh-CN"/>
                    </w:rPr>
                    <w:t>产污工序</w:t>
                  </w:r>
                </w:p>
              </w:tc>
              <w:tc>
                <w:tcPr>
                  <w:tcW w:w="1223" w:type="pct"/>
                  <w:tcBorders>
                    <w:tl2br w:val="nil"/>
                    <w:tr2bl w:val="nil"/>
                  </w:tcBorders>
                  <w:noWrap w:val="0"/>
                  <w:vAlign w:val="center"/>
                </w:tcPr>
                <w:p w14:paraId="5510B78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bCs/>
                      <w:snapToGrid w:val="0"/>
                      <w:color w:val="auto"/>
                      <w:sz w:val="18"/>
                      <w:szCs w:val="18"/>
                      <w:highlight w:val="none"/>
                      <w:vertAlign w:val="baseline"/>
                      <w:lang w:val="en-US" w:eastAsia="zh-CN"/>
                    </w:rPr>
                  </w:pPr>
                  <w:r>
                    <w:rPr>
                      <w:rFonts w:hint="eastAsia" w:cs="Times New Roman"/>
                      <w:b/>
                      <w:bCs/>
                      <w:snapToGrid w:val="0"/>
                      <w:color w:val="auto"/>
                      <w:sz w:val="18"/>
                      <w:szCs w:val="18"/>
                      <w:highlight w:val="none"/>
                      <w:vertAlign w:val="baseline"/>
                      <w:lang w:val="en-US" w:eastAsia="zh-CN"/>
                    </w:rPr>
                    <w:t>污染物</w:t>
                  </w:r>
                </w:p>
              </w:tc>
              <w:tc>
                <w:tcPr>
                  <w:tcW w:w="1484" w:type="pct"/>
                  <w:tcBorders>
                    <w:tl2br w:val="nil"/>
                    <w:tr2bl w:val="nil"/>
                  </w:tcBorders>
                  <w:noWrap w:val="0"/>
                  <w:vAlign w:val="center"/>
                </w:tcPr>
                <w:p w14:paraId="3C4AA1A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snapToGrid w:val="0"/>
                      <w:color w:val="auto"/>
                      <w:sz w:val="18"/>
                      <w:szCs w:val="18"/>
                      <w:highlight w:val="none"/>
                      <w:vertAlign w:val="baseline"/>
                      <w:lang w:val="en-US" w:eastAsia="zh-CN"/>
                    </w:rPr>
                  </w:pPr>
                  <w:r>
                    <w:rPr>
                      <w:rFonts w:hint="eastAsia" w:cs="Times New Roman"/>
                      <w:b/>
                      <w:bCs/>
                      <w:snapToGrid w:val="0"/>
                      <w:color w:val="auto"/>
                      <w:sz w:val="18"/>
                      <w:szCs w:val="18"/>
                      <w:highlight w:val="none"/>
                      <w:vertAlign w:val="baseline"/>
                      <w:lang w:val="en-US" w:eastAsia="zh-CN"/>
                    </w:rPr>
                    <w:t>处理措施及去向</w:t>
                  </w:r>
                </w:p>
              </w:tc>
            </w:tr>
            <w:tr w14:paraId="2F3A0C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restart"/>
                  <w:tcBorders>
                    <w:tl2br w:val="nil"/>
                    <w:tr2bl w:val="nil"/>
                  </w:tcBorders>
                  <w:noWrap w:val="0"/>
                  <w:vAlign w:val="center"/>
                </w:tcPr>
                <w:p w14:paraId="1F856F2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废气</w:t>
                  </w:r>
                </w:p>
              </w:tc>
              <w:tc>
                <w:tcPr>
                  <w:tcW w:w="891" w:type="pct"/>
                  <w:vMerge w:val="restart"/>
                  <w:tcBorders>
                    <w:tl2br w:val="nil"/>
                    <w:tr2bl w:val="nil"/>
                  </w:tcBorders>
                  <w:noWrap w:val="0"/>
                  <w:vAlign w:val="center"/>
                </w:tcPr>
                <w:p w14:paraId="601DF3A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常化酸洗机组APL</w:t>
                  </w:r>
                </w:p>
              </w:tc>
              <w:tc>
                <w:tcPr>
                  <w:tcW w:w="891" w:type="pct"/>
                  <w:tcBorders>
                    <w:tl2br w:val="nil"/>
                    <w:tr2bl w:val="nil"/>
                  </w:tcBorders>
                  <w:noWrap w:val="0"/>
                  <w:vAlign w:val="center"/>
                </w:tcPr>
                <w:p w14:paraId="2C9D425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激光焊接废气G1</w:t>
                  </w:r>
                </w:p>
              </w:tc>
              <w:tc>
                <w:tcPr>
                  <w:tcW w:w="1223" w:type="pct"/>
                  <w:tcBorders>
                    <w:tl2br w:val="nil"/>
                    <w:tr2bl w:val="nil"/>
                  </w:tcBorders>
                  <w:noWrap w:val="0"/>
                  <w:vAlign w:val="center"/>
                </w:tcPr>
                <w:p w14:paraId="1BB0DAE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颗粒物</w:t>
                  </w:r>
                </w:p>
              </w:tc>
              <w:tc>
                <w:tcPr>
                  <w:tcW w:w="1484" w:type="pct"/>
                  <w:tcBorders>
                    <w:tl2br w:val="nil"/>
                    <w:tr2bl w:val="nil"/>
                  </w:tcBorders>
                  <w:noWrap w:val="0"/>
                  <w:vAlign w:val="center"/>
                </w:tcPr>
                <w:p w14:paraId="19EA0DC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间歇产生，焊烟净化器处理后无组织排放</w:t>
                  </w:r>
                </w:p>
              </w:tc>
            </w:tr>
            <w:tr w14:paraId="2A860B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5DB5A29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vMerge w:val="continue"/>
                  <w:tcBorders>
                    <w:tl2br w:val="nil"/>
                    <w:tr2bl w:val="nil"/>
                  </w:tcBorders>
                  <w:noWrap w:val="0"/>
                  <w:vAlign w:val="center"/>
                </w:tcPr>
                <w:p w14:paraId="72D88FF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4A5AE9F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退火工序无氧化加热炉燃烧废气G2</w:t>
                  </w:r>
                </w:p>
              </w:tc>
              <w:tc>
                <w:tcPr>
                  <w:tcW w:w="1223" w:type="pct"/>
                  <w:tcBorders>
                    <w:tl2br w:val="nil"/>
                    <w:tr2bl w:val="nil"/>
                  </w:tcBorders>
                  <w:noWrap w:val="0"/>
                  <w:vAlign w:val="center"/>
                </w:tcPr>
                <w:p w14:paraId="135D101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颗粒物、SO</w:t>
                  </w:r>
                  <w:r>
                    <w:rPr>
                      <w:rFonts w:hint="eastAsia" w:cs="Times New Roman"/>
                      <w:snapToGrid w:val="0"/>
                      <w:color w:val="auto"/>
                      <w:sz w:val="18"/>
                      <w:szCs w:val="18"/>
                      <w:highlight w:val="none"/>
                      <w:vertAlign w:val="subscript"/>
                      <w:lang w:val="en-US" w:eastAsia="zh-CN"/>
                    </w:rPr>
                    <w:t>2</w:t>
                  </w:r>
                  <w:r>
                    <w:rPr>
                      <w:rFonts w:hint="eastAsia" w:cs="Times New Roman"/>
                      <w:snapToGrid w:val="0"/>
                      <w:color w:val="auto"/>
                      <w:sz w:val="18"/>
                      <w:szCs w:val="18"/>
                      <w:highlight w:val="none"/>
                      <w:vertAlign w:val="baseline"/>
                      <w:lang w:val="en-US" w:eastAsia="zh-CN"/>
                    </w:rPr>
                    <w:t>、NO</w:t>
                  </w:r>
                  <w:r>
                    <w:rPr>
                      <w:rFonts w:hint="eastAsia" w:cs="Times New Roman"/>
                      <w:snapToGrid w:val="0"/>
                      <w:color w:val="auto"/>
                      <w:sz w:val="18"/>
                      <w:szCs w:val="18"/>
                      <w:highlight w:val="none"/>
                      <w:vertAlign w:val="subscript"/>
                      <w:lang w:val="en-US" w:eastAsia="zh-CN"/>
                    </w:rPr>
                    <w:t>X</w:t>
                  </w:r>
                </w:p>
              </w:tc>
              <w:tc>
                <w:tcPr>
                  <w:tcW w:w="1484" w:type="pct"/>
                  <w:tcBorders>
                    <w:tl2br w:val="nil"/>
                    <w:tr2bl w:val="nil"/>
                  </w:tcBorders>
                  <w:noWrap w:val="0"/>
                  <w:vAlign w:val="center"/>
                </w:tcPr>
                <w:p w14:paraId="160C4C1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低氮燃烧技术，经24m高排气筒DA001排放</w:t>
                  </w:r>
                </w:p>
              </w:tc>
            </w:tr>
            <w:tr w14:paraId="0E1AC2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14" w:hRule="atLeast"/>
              </w:trPr>
              <w:tc>
                <w:tcPr>
                  <w:tcW w:w="509" w:type="pct"/>
                  <w:vMerge w:val="continue"/>
                  <w:tcBorders>
                    <w:tl2br w:val="nil"/>
                    <w:tr2bl w:val="nil"/>
                  </w:tcBorders>
                  <w:noWrap w:val="0"/>
                  <w:vAlign w:val="center"/>
                </w:tcPr>
                <w:p w14:paraId="7D60C81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vMerge w:val="continue"/>
                  <w:tcBorders>
                    <w:tl2br w:val="nil"/>
                    <w:tr2bl w:val="nil"/>
                  </w:tcBorders>
                  <w:noWrap w:val="0"/>
                  <w:vAlign w:val="center"/>
                </w:tcPr>
                <w:p w14:paraId="4E05505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5A78D1B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退火工序辐射管加热炉燃烧废气G3</w:t>
                  </w:r>
                </w:p>
              </w:tc>
              <w:tc>
                <w:tcPr>
                  <w:tcW w:w="1223" w:type="pct"/>
                  <w:tcBorders>
                    <w:tl2br w:val="nil"/>
                    <w:tr2bl w:val="nil"/>
                  </w:tcBorders>
                  <w:noWrap w:val="0"/>
                  <w:vAlign w:val="center"/>
                </w:tcPr>
                <w:p w14:paraId="12F0949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颗粒物、SO</w:t>
                  </w:r>
                  <w:r>
                    <w:rPr>
                      <w:rFonts w:hint="eastAsia" w:cs="Times New Roman"/>
                      <w:snapToGrid w:val="0"/>
                      <w:color w:val="auto"/>
                      <w:sz w:val="18"/>
                      <w:szCs w:val="18"/>
                      <w:highlight w:val="none"/>
                      <w:vertAlign w:val="subscript"/>
                      <w:lang w:val="en-US" w:eastAsia="zh-CN"/>
                    </w:rPr>
                    <w:t>2</w:t>
                  </w:r>
                  <w:r>
                    <w:rPr>
                      <w:rFonts w:hint="eastAsia" w:cs="Times New Roman"/>
                      <w:snapToGrid w:val="0"/>
                      <w:color w:val="auto"/>
                      <w:sz w:val="18"/>
                      <w:szCs w:val="18"/>
                      <w:highlight w:val="none"/>
                      <w:vertAlign w:val="baseline"/>
                      <w:lang w:val="en-US" w:eastAsia="zh-CN"/>
                    </w:rPr>
                    <w:t>、NO</w:t>
                  </w:r>
                  <w:r>
                    <w:rPr>
                      <w:rFonts w:hint="eastAsia" w:cs="Times New Roman"/>
                      <w:snapToGrid w:val="0"/>
                      <w:color w:val="auto"/>
                      <w:sz w:val="18"/>
                      <w:szCs w:val="18"/>
                      <w:highlight w:val="none"/>
                      <w:vertAlign w:val="subscript"/>
                      <w:lang w:val="en-US" w:eastAsia="zh-CN"/>
                    </w:rPr>
                    <w:t>X</w:t>
                  </w:r>
                </w:p>
              </w:tc>
              <w:tc>
                <w:tcPr>
                  <w:tcW w:w="1484" w:type="pct"/>
                  <w:tcBorders>
                    <w:tl2br w:val="nil"/>
                    <w:tr2bl w:val="nil"/>
                  </w:tcBorders>
                  <w:noWrap w:val="0"/>
                  <w:vAlign w:val="center"/>
                </w:tcPr>
                <w:p w14:paraId="497C3BA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低氮燃烧技术，经24m高排气筒DA002排放</w:t>
                  </w:r>
                </w:p>
              </w:tc>
            </w:tr>
            <w:tr w14:paraId="7F3CCC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6A12AB3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vMerge w:val="continue"/>
                  <w:tcBorders>
                    <w:tl2br w:val="nil"/>
                    <w:tr2bl w:val="nil"/>
                  </w:tcBorders>
                  <w:noWrap w:val="0"/>
                  <w:vAlign w:val="center"/>
                </w:tcPr>
                <w:p w14:paraId="5D884B0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1450946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抛丸废气G4</w:t>
                  </w:r>
                </w:p>
              </w:tc>
              <w:tc>
                <w:tcPr>
                  <w:tcW w:w="1223" w:type="pct"/>
                  <w:tcBorders>
                    <w:tl2br w:val="nil"/>
                    <w:tr2bl w:val="nil"/>
                  </w:tcBorders>
                  <w:noWrap w:val="0"/>
                  <w:vAlign w:val="center"/>
                </w:tcPr>
                <w:p w14:paraId="4BDED5E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颗粒物</w:t>
                  </w:r>
                </w:p>
              </w:tc>
              <w:tc>
                <w:tcPr>
                  <w:tcW w:w="1484" w:type="pct"/>
                  <w:tcBorders>
                    <w:tl2br w:val="nil"/>
                    <w:tr2bl w:val="nil"/>
                  </w:tcBorders>
                  <w:noWrap w:val="0"/>
                  <w:vAlign w:val="center"/>
                </w:tcPr>
                <w:p w14:paraId="03C4141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布袋除尘处理后经24m高排气筒DA003排放</w:t>
                  </w:r>
                </w:p>
              </w:tc>
            </w:tr>
            <w:tr w14:paraId="7386B5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4117E64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vMerge w:val="continue"/>
                  <w:tcBorders>
                    <w:tl2br w:val="nil"/>
                    <w:tr2bl w:val="nil"/>
                  </w:tcBorders>
                  <w:noWrap w:val="0"/>
                  <w:vAlign w:val="center"/>
                </w:tcPr>
                <w:p w14:paraId="2369F60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486DC95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盐酸酸洗及酸洗后水洗废气G5</w:t>
                  </w:r>
                </w:p>
              </w:tc>
              <w:tc>
                <w:tcPr>
                  <w:tcW w:w="1223" w:type="pct"/>
                  <w:tcBorders>
                    <w:tl2br w:val="nil"/>
                    <w:tr2bl w:val="nil"/>
                  </w:tcBorders>
                  <w:noWrap w:val="0"/>
                  <w:vAlign w:val="center"/>
                </w:tcPr>
                <w:p w14:paraId="04CF2E6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氯化氢</w:t>
                  </w:r>
                </w:p>
              </w:tc>
              <w:tc>
                <w:tcPr>
                  <w:tcW w:w="1484" w:type="pct"/>
                  <w:vMerge w:val="restart"/>
                  <w:tcBorders>
                    <w:tl2br w:val="nil"/>
                    <w:tr2bl w:val="nil"/>
                  </w:tcBorders>
                  <w:noWrap w:val="0"/>
                  <w:vAlign w:val="center"/>
                </w:tcPr>
                <w:p w14:paraId="29447718">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碱喷淋处理后经24m高排气筒DA004排放</w:t>
                  </w:r>
                </w:p>
              </w:tc>
            </w:tr>
            <w:tr w14:paraId="3D2C63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7A815BA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vMerge w:val="continue"/>
                  <w:tcBorders>
                    <w:tl2br w:val="nil"/>
                    <w:tr2bl w:val="nil"/>
                  </w:tcBorders>
                  <w:noWrap w:val="0"/>
                  <w:vAlign w:val="center"/>
                </w:tcPr>
                <w:p w14:paraId="7BF67D7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5BA41FE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盐酸储罐呼吸废气</w:t>
                  </w:r>
                </w:p>
              </w:tc>
              <w:tc>
                <w:tcPr>
                  <w:tcW w:w="1223" w:type="pct"/>
                  <w:tcBorders>
                    <w:tl2br w:val="nil"/>
                    <w:tr2bl w:val="nil"/>
                  </w:tcBorders>
                  <w:noWrap w:val="0"/>
                  <w:vAlign w:val="center"/>
                </w:tcPr>
                <w:p w14:paraId="3BC4BA3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氯化氢</w:t>
                  </w:r>
                </w:p>
              </w:tc>
              <w:tc>
                <w:tcPr>
                  <w:tcW w:w="1484" w:type="pct"/>
                  <w:vMerge w:val="continue"/>
                  <w:tcBorders>
                    <w:tl2br w:val="nil"/>
                    <w:tr2bl w:val="nil"/>
                  </w:tcBorders>
                  <w:noWrap w:val="0"/>
                  <w:vAlign w:val="center"/>
                </w:tcPr>
                <w:p w14:paraId="67DD7C65">
                  <w:pPr>
                    <w:keepNext w:val="0"/>
                    <w:keepLines w:val="0"/>
                    <w:pageBreakBefore w:val="0"/>
                    <w:widowControl w:val="0"/>
                    <w:kinsoku/>
                    <w:wordWrap/>
                    <w:overflowPunct/>
                    <w:topLinePunct w:val="0"/>
                    <w:autoSpaceDE/>
                    <w:autoSpaceDN/>
                    <w:bidi w:val="0"/>
                    <w:adjustRightInd w:val="0"/>
                    <w:snapToGrid w:val="0"/>
                    <w:jc w:val="both"/>
                    <w:textAlignment w:val="auto"/>
                    <w:rPr>
                      <w:rFonts w:hint="eastAsia" w:cs="Times New Roman"/>
                      <w:snapToGrid w:val="0"/>
                      <w:color w:val="auto"/>
                      <w:kern w:val="2"/>
                      <w:sz w:val="18"/>
                      <w:szCs w:val="18"/>
                      <w:highlight w:val="none"/>
                      <w:vertAlign w:val="baseline"/>
                      <w:lang w:val="en-US" w:eastAsia="zh-CN" w:bidi="ar-SA"/>
                    </w:rPr>
                  </w:pPr>
                </w:p>
              </w:tc>
            </w:tr>
            <w:tr w14:paraId="56C8E6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75AD05D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vMerge w:val="restart"/>
                  <w:tcBorders>
                    <w:tl2br w:val="nil"/>
                    <w:tr2bl w:val="nil"/>
                  </w:tcBorders>
                  <w:noWrap w:val="0"/>
                  <w:vAlign w:val="center"/>
                </w:tcPr>
                <w:p w14:paraId="7884657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r>
                    <w:rPr>
                      <w:rFonts w:hint="eastAsia" w:ascii="Times New Roman" w:hAnsi="Times New Roman" w:eastAsia="宋体" w:cs="Times New Roman"/>
                      <w:snapToGrid w:val="0"/>
                      <w:color w:val="auto"/>
                      <w:sz w:val="18"/>
                      <w:szCs w:val="18"/>
                      <w:highlight w:val="none"/>
                      <w:vertAlign w:val="baseline"/>
                      <w:lang w:val="en-US" w:eastAsia="zh-CN"/>
                    </w:rPr>
                    <w:t>轧前准备机组CPL+轧机机组RCM</w:t>
                  </w:r>
                </w:p>
              </w:tc>
              <w:tc>
                <w:tcPr>
                  <w:tcW w:w="891" w:type="pct"/>
                  <w:tcBorders>
                    <w:tl2br w:val="nil"/>
                    <w:tr2bl w:val="nil"/>
                  </w:tcBorders>
                  <w:noWrap w:val="0"/>
                  <w:vAlign w:val="center"/>
                </w:tcPr>
                <w:p w14:paraId="490A5C1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激光焊接废气G6</w:t>
                  </w:r>
                </w:p>
              </w:tc>
              <w:tc>
                <w:tcPr>
                  <w:tcW w:w="1223" w:type="pct"/>
                  <w:tcBorders>
                    <w:tl2br w:val="nil"/>
                    <w:tr2bl w:val="nil"/>
                  </w:tcBorders>
                  <w:noWrap w:val="0"/>
                  <w:vAlign w:val="center"/>
                </w:tcPr>
                <w:p w14:paraId="63C0CC1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颗粒物</w:t>
                  </w:r>
                </w:p>
              </w:tc>
              <w:tc>
                <w:tcPr>
                  <w:tcW w:w="1484" w:type="pct"/>
                  <w:tcBorders>
                    <w:tl2br w:val="nil"/>
                    <w:tr2bl w:val="nil"/>
                  </w:tcBorders>
                  <w:noWrap w:val="0"/>
                  <w:vAlign w:val="center"/>
                </w:tcPr>
                <w:p w14:paraId="3058B74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间歇产生，焊烟净化器处理后无组织排放</w:t>
                  </w:r>
                </w:p>
              </w:tc>
            </w:tr>
            <w:tr w14:paraId="7B98EF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3FDBFA4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vMerge w:val="continue"/>
                  <w:tcBorders>
                    <w:tl2br w:val="nil"/>
                    <w:tr2bl w:val="nil"/>
                  </w:tcBorders>
                  <w:noWrap w:val="0"/>
                  <w:vAlign w:val="center"/>
                </w:tcPr>
                <w:p w14:paraId="5F6ECFA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689815E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冷轧废气G7</w:t>
                  </w:r>
                </w:p>
              </w:tc>
              <w:tc>
                <w:tcPr>
                  <w:tcW w:w="1223" w:type="pct"/>
                  <w:tcBorders>
                    <w:tl2br w:val="nil"/>
                    <w:tr2bl w:val="nil"/>
                  </w:tcBorders>
                  <w:noWrap w:val="0"/>
                  <w:vAlign w:val="center"/>
                </w:tcPr>
                <w:p w14:paraId="6496CE3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油雾</w:t>
                  </w:r>
                </w:p>
              </w:tc>
              <w:tc>
                <w:tcPr>
                  <w:tcW w:w="1484" w:type="pct"/>
                  <w:tcBorders>
                    <w:tl2br w:val="nil"/>
                    <w:tr2bl w:val="nil"/>
                  </w:tcBorders>
                  <w:noWrap w:val="0"/>
                  <w:vAlign w:val="center"/>
                </w:tcPr>
                <w:p w14:paraId="7C3DBA0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油雾净化器处理后经24m高排气筒DA005排放</w:t>
                  </w:r>
                </w:p>
              </w:tc>
            </w:tr>
            <w:tr w14:paraId="4E71F6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74C1945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vMerge w:val="restart"/>
                  <w:tcBorders>
                    <w:tl2br w:val="nil"/>
                    <w:tr2bl w:val="nil"/>
                  </w:tcBorders>
                  <w:noWrap w:val="0"/>
                  <w:vAlign w:val="center"/>
                </w:tcPr>
                <w:p w14:paraId="42EE42E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r>
                    <w:rPr>
                      <w:rFonts w:hint="eastAsia" w:ascii="Times New Roman" w:hAnsi="Times New Roman" w:eastAsia="宋体" w:cs="Times New Roman"/>
                      <w:snapToGrid w:val="0"/>
                      <w:color w:val="auto"/>
                      <w:sz w:val="18"/>
                      <w:szCs w:val="18"/>
                      <w:highlight w:val="none"/>
                      <w:vertAlign w:val="baseline"/>
                      <w:lang w:val="en-US" w:eastAsia="zh-CN"/>
                    </w:rPr>
                    <w:t>取向硅钢脱碳退火涂层机组DCL</w:t>
                  </w:r>
                </w:p>
              </w:tc>
              <w:tc>
                <w:tcPr>
                  <w:tcW w:w="891" w:type="pct"/>
                  <w:tcBorders>
                    <w:tl2br w:val="nil"/>
                    <w:tr2bl w:val="nil"/>
                  </w:tcBorders>
                  <w:noWrap w:val="0"/>
                  <w:vAlign w:val="center"/>
                </w:tcPr>
                <w:p w14:paraId="508F54B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电阻焊焊接废气G8</w:t>
                  </w:r>
                </w:p>
              </w:tc>
              <w:tc>
                <w:tcPr>
                  <w:tcW w:w="1223" w:type="pct"/>
                  <w:tcBorders>
                    <w:tl2br w:val="nil"/>
                    <w:tr2bl w:val="nil"/>
                  </w:tcBorders>
                  <w:noWrap w:val="0"/>
                  <w:vAlign w:val="center"/>
                </w:tcPr>
                <w:p w14:paraId="15741A0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颗粒物</w:t>
                  </w:r>
                </w:p>
              </w:tc>
              <w:tc>
                <w:tcPr>
                  <w:tcW w:w="1484" w:type="pct"/>
                  <w:tcBorders>
                    <w:tl2br w:val="nil"/>
                    <w:tr2bl w:val="nil"/>
                  </w:tcBorders>
                  <w:noWrap w:val="0"/>
                  <w:vAlign w:val="center"/>
                </w:tcPr>
                <w:p w14:paraId="1F10B4C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间歇产生，焊烟净化器处理后无组织排放</w:t>
                  </w:r>
                </w:p>
              </w:tc>
            </w:tr>
            <w:tr w14:paraId="7069D9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7F0B3E5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vMerge w:val="continue"/>
                  <w:tcBorders>
                    <w:tl2br w:val="nil"/>
                    <w:tr2bl w:val="nil"/>
                  </w:tcBorders>
                  <w:noWrap w:val="0"/>
                  <w:vAlign w:val="center"/>
                </w:tcPr>
                <w:p w14:paraId="5A6CE51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38586E4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碱洗废气G9</w:t>
                  </w:r>
                </w:p>
              </w:tc>
              <w:tc>
                <w:tcPr>
                  <w:tcW w:w="1223" w:type="pct"/>
                  <w:tcBorders>
                    <w:tl2br w:val="nil"/>
                    <w:tr2bl w:val="nil"/>
                  </w:tcBorders>
                  <w:noWrap w:val="0"/>
                  <w:vAlign w:val="center"/>
                </w:tcPr>
                <w:p w14:paraId="0CAF9F6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碱雾</w:t>
                  </w:r>
                </w:p>
              </w:tc>
              <w:tc>
                <w:tcPr>
                  <w:tcW w:w="1484" w:type="pct"/>
                  <w:tcBorders>
                    <w:tl2br w:val="nil"/>
                    <w:tr2bl w:val="nil"/>
                  </w:tcBorders>
                  <w:noWrap w:val="0"/>
                  <w:vAlign w:val="center"/>
                </w:tcPr>
                <w:p w14:paraId="06BBA15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酸喷淋处理后经24m高排气筒DA006排放</w:t>
                  </w:r>
                </w:p>
              </w:tc>
            </w:tr>
            <w:tr w14:paraId="15436D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088A09F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vMerge w:val="continue"/>
                  <w:tcBorders>
                    <w:tl2br w:val="nil"/>
                    <w:tr2bl w:val="nil"/>
                  </w:tcBorders>
                  <w:noWrap w:val="0"/>
                  <w:vAlign w:val="center"/>
                </w:tcPr>
                <w:p w14:paraId="6A33A78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6DFCAC0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脱碳渗氮废气G10</w:t>
                  </w:r>
                </w:p>
              </w:tc>
              <w:tc>
                <w:tcPr>
                  <w:tcW w:w="1223" w:type="pct"/>
                  <w:tcBorders>
                    <w:tl2br w:val="nil"/>
                    <w:tr2bl w:val="nil"/>
                  </w:tcBorders>
                  <w:noWrap w:val="0"/>
                  <w:vAlign w:val="center"/>
                </w:tcPr>
                <w:p w14:paraId="6FAE55E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少量氨气</w:t>
                  </w:r>
                </w:p>
              </w:tc>
              <w:tc>
                <w:tcPr>
                  <w:tcW w:w="1484" w:type="pct"/>
                  <w:tcBorders>
                    <w:tl2br w:val="nil"/>
                    <w:tr2bl w:val="nil"/>
                  </w:tcBorders>
                  <w:noWrap w:val="0"/>
                  <w:vAlign w:val="center"/>
                </w:tcPr>
                <w:p w14:paraId="4D0E715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无组织挥发</w:t>
                  </w:r>
                </w:p>
              </w:tc>
            </w:tr>
            <w:tr w14:paraId="094186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3741064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vMerge w:val="continue"/>
                  <w:tcBorders>
                    <w:tl2br w:val="nil"/>
                    <w:tr2bl w:val="nil"/>
                  </w:tcBorders>
                  <w:noWrap w:val="0"/>
                  <w:vAlign w:val="center"/>
                </w:tcPr>
                <w:p w14:paraId="34EAAA0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59C4E92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退火炉燃烧废气G11</w:t>
                  </w:r>
                </w:p>
              </w:tc>
              <w:tc>
                <w:tcPr>
                  <w:tcW w:w="1223" w:type="pct"/>
                  <w:tcBorders>
                    <w:tl2br w:val="nil"/>
                    <w:tr2bl w:val="nil"/>
                  </w:tcBorders>
                  <w:noWrap w:val="0"/>
                  <w:vAlign w:val="center"/>
                </w:tcPr>
                <w:p w14:paraId="46C7FB8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颗粒物、SO</w:t>
                  </w:r>
                  <w:r>
                    <w:rPr>
                      <w:rFonts w:hint="eastAsia" w:cs="Times New Roman"/>
                      <w:snapToGrid w:val="0"/>
                      <w:color w:val="auto"/>
                      <w:sz w:val="18"/>
                      <w:szCs w:val="18"/>
                      <w:highlight w:val="none"/>
                      <w:vertAlign w:val="subscript"/>
                      <w:lang w:val="en-US" w:eastAsia="zh-CN"/>
                    </w:rPr>
                    <w:t>2</w:t>
                  </w:r>
                  <w:r>
                    <w:rPr>
                      <w:rFonts w:hint="eastAsia" w:cs="Times New Roman"/>
                      <w:snapToGrid w:val="0"/>
                      <w:color w:val="auto"/>
                      <w:sz w:val="18"/>
                      <w:szCs w:val="18"/>
                      <w:highlight w:val="none"/>
                      <w:vertAlign w:val="baseline"/>
                      <w:lang w:val="en-US" w:eastAsia="zh-CN"/>
                    </w:rPr>
                    <w:t>、NO</w:t>
                  </w:r>
                  <w:r>
                    <w:rPr>
                      <w:rFonts w:hint="eastAsia" w:cs="Times New Roman"/>
                      <w:snapToGrid w:val="0"/>
                      <w:color w:val="auto"/>
                      <w:sz w:val="18"/>
                      <w:szCs w:val="18"/>
                      <w:highlight w:val="none"/>
                      <w:vertAlign w:val="subscript"/>
                      <w:lang w:val="en-US" w:eastAsia="zh-CN"/>
                    </w:rPr>
                    <w:t>X</w:t>
                  </w:r>
                </w:p>
              </w:tc>
              <w:tc>
                <w:tcPr>
                  <w:tcW w:w="1484" w:type="pct"/>
                  <w:tcBorders>
                    <w:tl2br w:val="nil"/>
                    <w:tr2bl w:val="nil"/>
                  </w:tcBorders>
                  <w:shd w:val="clear" w:color="auto" w:fill="auto"/>
                  <w:noWrap w:val="0"/>
                  <w:vAlign w:val="center"/>
                </w:tcPr>
                <w:p w14:paraId="50DBE22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低氮燃烧技术，经24m高排气筒DA007排放</w:t>
                  </w:r>
                </w:p>
              </w:tc>
            </w:tr>
            <w:tr w14:paraId="07FDC9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606BA97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vMerge w:val="continue"/>
                  <w:tcBorders>
                    <w:tl2br w:val="nil"/>
                    <w:tr2bl w:val="nil"/>
                  </w:tcBorders>
                  <w:noWrap w:val="0"/>
                  <w:vAlign w:val="center"/>
                </w:tcPr>
                <w:p w14:paraId="561C22B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27D85CF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烘干烧结炉燃烧废气G12</w:t>
                  </w:r>
                </w:p>
              </w:tc>
              <w:tc>
                <w:tcPr>
                  <w:tcW w:w="1223" w:type="pct"/>
                  <w:tcBorders>
                    <w:tl2br w:val="nil"/>
                    <w:tr2bl w:val="nil"/>
                  </w:tcBorders>
                  <w:noWrap w:val="0"/>
                  <w:vAlign w:val="center"/>
                </w:tcPr>
                <w:p w14:paraId="0F540EA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颗粒物、SO</w:t>
                  </w:r>
                  <w:r>
                    <w:rPr>
                      <w:rFonts w:hint="eastAsia" w:cs="Times New Roman"/>
                      <w:snapToGrid w:val="0"/>
                      <w:color w:val="auto"/>
                      <w:sz w:val="18"/>
                      <w:szCs w:val="18"/>
                      <w:highlight w:val="none"/>
                      <w:vertAlign w:val="subscript"/>
                      <w:lang w:val="en-US" w:eastAsia="zh-CN"/>
                    </w:rPr>
                    <w:t>2</w:t>
                  </w:r>
                  <w:r>
                    <w:rPr>
                      <w:rFonts w:hint="eastAsia" w:cs="Times New Roman"/>
                      <w:snapToGrid w:val="0"/>
                      <w:color w:val="auto"/>
                      <w:sz w:val="18"/>
                      <w:szCs w:val="18"/>
                      <w:highlight w:val="none"/>
                      <w:vertAlign w:val="baseline"/>
                      <w:lang w:val="en-US" w:eastAsia="zh-CN"/>
                    </w:rPr>
                    <w:t>、NO</w:t>
                  </w:r>
                  <w:r>
                    <w:rPr>
                      <w:rFonts w:hint="eastAsia" w:cs="Times New Roman"/>
                      <w:snapToGrid w:val="0"/>
                      <w:color w:val="auto"/>
                      <w:sz w:val="18"/>
                      <w:szCs w:val="18"/>
                      <w:highlight w:val="none"/>
                      <w:vertAlign w:val="subscript"/>
                      <w:lang w:val="en-US" w:eastAsia="zh-CN"/>
                    </w:rPr>
                    <w:t>X</w:t>
                  </w:r>
                </w:p>
              </w:tc>
              <w:tc>
                <w:tcPr>
                  <w:tcW w:w="1484" w:type="pct"/>
                  <w:tcBorders>
                    <w:tl2br w:val="nil"/>
                    <w:tr2bl w:val="nil"/>
                  </w:tcBorders>
                  <w:shd w:val="clear" w:color="auto" w:fill="auto"/>
                  <w:noWrap w:val="0"/>
                  <w:vAlign w:val="center"/>
                </w:tcPr>
                <w:p w14:paraId="1BDA713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低氮燃烧技术，经24m高排气筒DA008排放</w:t>
                  </w:r>
                </w:p>
              </w:tc>
            </w:tr>
            <w:tr w14:paraId="26EF02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247AD08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vMerge w:val="restart"/>
                  <w:tcBorders>
                    <w:tl2br w:val="nil"/>
                    <w:tr2bl w:val="nil"/>
                  </w:tcBorders>
                  <w:noWrap w:val="0"/>
                  <w:vAlign w:val="center"/>
                </w:tcPr>
                <w:p w14:paraId="64CBDC8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r>
                    <w:rPr>
                      <w:rFonts w:hint="eastAsia" w:ascii="Times New Roman" w:hAnsi="Times New Roman" w:eastAsia="宋体" w:cs="Times New Roman"/>
                      <w:snapToGrid w:val="0"/>
                      <w:color w:val="auto"/>
                      <w:sz w:val="18"/>
                      <w:szCs w:val="18"/>
                      <w:highlight w:val="none"/>
                      <w:vertAlign w:val="baseline"/>
                      <w:lang w:val="en-US" w:eastAsia="zh-CN"/>
                    </w:rPr>
                    <w:t>热拉伸平整机组FCL</w:t>
                  </w:r>
                </w:p>
              </w:tc>
              <w:tc>
                <w:tcPr>
                  <w:tcW w:w="891" w:type="pct"/>
                  <w:tcBorders>
                    <w:tl2br w:val="nil"/>
                    <w:tr2bl w:val="nil"/>
                  </w:tcBorders>
                  <w:noWrap w:val="0"/>
                  <w:vAlign w:val="center"/>
                </w:tcPr>
                <w:p w14:paraId="4067305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硫酸酸洗+水洗废气G13</w:t>
                  </w:r>
                </w:p>
              </w:tc>
              <w:tc>
                <w:tcPr>
                  <w:tcW w:w="1223" w:type="pct"/>
                  <w:tcBorders>
                    <w:tl2br w:val="nil"/>
                    <w:tr2bl w:val="nil"/>
                  </w:tcBorders>
                  <w:noWrap w:val="0"/>
                  <w:vAlign w:val="center"/>
                </w:tcPr>
                <w:p w14:paraId="2D09319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硫酸</w:t>
                  </w:r>
                  <w:r>
                    <w:rPr>
                      <w:rFonts w:hint="eastAsia" w:cs="Times New Roman"/>
                      <w:b w:val="0"/>
                      <w:bCs w:val="0"/>
                      <w:color w:val="auto"/>
                      <w:kern w:val="0"/>
                      <w:sz w:val="18"/>
                      <w:szCs w:val="18"/>
                      <w:lang w:val="en-US" w:eastAsia="zh-CN" w:bidi="ar"/>
                    </w:rPr>
                    <w:t>雾</w:t>
                  </w:r>
                </w:p>
              </w:tc>
              <w:tc>
                <w:tcPr>
                  <w:tcW w:w="1484" w:type="pct"/>
                  <w:vMerge w:val="restart"/>
                  <w:tcBorders>
                    <w:tl2br w:val="nil"/>
                    <w:tr2bl w:val="nil"/>
                  </w:tcBorders>
                  <w:noWrap w:val="0"/>
                  <w:vAlign w:val="center"/>
                </w:tcPr>
                <w:p w14:paraId="37FA60E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碱喷淋处理后经24m高排气筒DA009排放</w:t>
                  </w:r>
                </w:p>
              </w:tc>
            </w:tr>
            <w:tr w14:paraId="6BAC51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31A4CEC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vMerge w:val="continue"/>
                  <w:tcBorders>
                    <w:tl2br w:val="nil"/>
                    <w:tr2bl w:val="nil"/>
                  </w:tcBorders>
                  <w:noWrap w:val="0"/>
                  <w:vAlign w:val="center"/>
                </w:tcPr>
                <w:p w14:paraId="1010589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3839157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硫酸储罐呼吸废气</w:t>
                  </w:r>
                </w:p>
              </w:tc>
              <w:tc>
                <w:tcPr>
                  <w:tcW w:w="1223" w:type="pct"/>
                  <w:tcBorders>
                    <w:tl2br w:val="nil"/>
                    <w:tr2bl w:val="nil"/>
                  </w:tcBorders>
                  <w:noWrap w:val="0"/>
                  <w:vAlign w:val="center"/>
                </w:tcPr>
                <w:p w14:paraId="51E97CA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硫酸</w:t>
                  </w:r>
                  <w:r>
                    <w:rPr>
                      <w:rFonts w:hint="eastAsia" w:cs="Times New Roman"/>
                      <w:b w:val="0"/>
                      <w:bCs w:val="0"/>
                      <w:color w:val="auto"/>
                      <w:kern w:val="0"/>
                      <w:sz w:val="18"/>
                      <w:szCs w:val="18"/>
                      <w:lang w:val="en-US" w:eastAsia="zh-CN" w:bidi="ar"/>
                    </w:rPr>
                    <w:t>雾</w:t>
                  </w:r>
                </w:p>
              </w:tc>
              <w:tc>
                <w:tcPr>
                  <w:tcW w:w="1484" w:type="pct"/>
                  <w:vMerge w:val="continue"/>
                  <w:tcBorders>
                    <w:tl2br w:val="nil"/>
                    <w:tr2bl w:val="nil"/>
                  </w:tcBorders>
                  <w:noWrap w:val="0"/>
                  <w:vAlign w:val="center"/>
                </w:tcPr>
                <w:p w14:paraId="0344D6B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snapToGrid w:val="0"/>
                      <w:color w:val="auto"/>
                      <w:kern w:val="2"/>
                      <w:sz w:val="18"/>
                      <w:szCs w:val="18"/>
                      <w:highlight w:val="none"/>
                      <w:vertAlign w:val="baseline"/>
                      <w:lang w:val="en-US" w:eastAsia="zh-CN" w:bidi="ar-SA"/>
                    </w:rPr>
                  </w:pPr>
                </w:p>
              </w:tc>
            </w:tr>
            <w:tr w14:paraId="4078BF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0F14957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vMerge w:val="continue"/>
                  <w:tcBorders>
                    <w:tl2br w:val="nil"/>
                    <w:tr2bl w:val="nil"/>
                  </w:tcBorders>
                  <w:noWrap w:val="0"/>
                  <w:vAlign w:val="center"/>
                </w:tcPr>
                <w:p w14:paraId="376C78F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41D4817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热拉伸入口氧化镁粉尘G14</w:t>
                  </w:r>
                </w:p>
              </w:tc>
              <w:tc>
                <w:tcPr>
                  <w:tcW w:w="1223" w:type="pct"/>
                  <w:tcBorders>
                    <w:tl2br w:val="nil"/>
                    <w:tr2bl w:val="nil"/>
                  </w:tcBorders>
                  <w:noWrap w:val="0"/>
                  <w:vAlign w:val="center"/>
                </w:tcPr>
                <w:p w14:paraId="5097A02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颗粒物</w:t>
                  </w:r>
                </w:p>
              </w:tc>
              <w:tc>
                <w:tcPr>
                  <w:tcW w:w="1484" w:type="pct"/>
                  <w:tcBorders>
                    <w:tl2br w:val="nil"/>
                    <w:tr2bl w:val="nil"/>
                  </w:tcBorders>
                  <w:noWrap w:val="0"/>
                  <w:vAlign w:val="center"/>
                </w:tcPr>
                <w:p w14:paraId="2EF3FAD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布袋除尘处理后经24m高排气筒DA010排放</w:t>
                  </w:r>
                </w:p>
              </w:tc>
            </w:tr>
            <w:tr w14:paraId="1DC1D2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33" w:hRule="atLeast"/>
              </w:trPr>
              <w:tc>
                <w:tcPr>
                  <w:tcW w:w="509" w:type="pct"/>
                  <w:vMerge w:val="continue"/>
                  <w:tcBorders>
                    <w:tl2br w:val="nil"/>
                    <w:tr2bl w:val="nil"/>
                  </w:tcBorders>
                  <w:noWrap w:val="0"/>
                  <w:vAlign w:val="center"/>
                </w:tcPr>
                <w:p w14:paraId="567CEB8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vMerge w:val="continue"/>
                  <w:tcBorders>
                    <w:tl2br w:val="nil"/>
                    <w:tr2bl w:val="nil"/>
                  </w:tcBorders>
                  <w:noWrap w:val="0"/>
                  <w:vAlign w:val="center"/>
                </w:tcPr>
                <w:p w14:paraId="43C276F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0F55500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卧式连续炉燃烧废气G15</w:t>
                  </w:r>
                </w:p>
              </w:tc>
              <w:tc>
                <w:tcPr>
                  <w:tcW w:w="1223" w:type="pct"/>
                  <w:tcBorders>
                    <w:tl2br w:val="nil"/>
                    <w:tr2bl w:val="nil"/>
                  </w:tcBorders>
                  <w:noWrap w:val="0"/>
                  <w:vAlign w:val="center"/>
                </w:tcPr>
                <w:p w14:paraId="0A60B11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颗粒物、SO</w:t>
                  </w:r>
                  <w:r>
                    <w:rPr>
                      <w:rFonts w:hint="eastAsia" w:cs="Times New Roman"/>
                      <w:snapToGrid w:val="0"/>
                      <w:color w:val="auto"/>
                      <w:sz w:val="18"/>
                      <w:szCs w:val="18"/>
                      <w:highlight w:val="none"/>
                      <w:vertAlign w:val="subscript"/>
                      <w:lang w:val="en-US" w:eastAsia="zh-CN"/>
                    </w:rPr>
                    <w:t>2</w:t>
                  </w:r>
                  <w:r>
                    <w:rPr>
                      <w:rFonts w:hint="eastAsia" w:cs="Times New Roman"/>
                      <w:snapToGrid w:val="0"/>
                      <w:color w:val="auto"/>
                      <w:sz w:val="18"/>
                      <w:szCs w:val="18"/>
                      <w:highlight w:val="none"/>
                      <w:vertAlign w:val="baseline"/>
                      <w:lang w:val="en-US" w:eastAsia="zh-CN"/>
                    </w:rPr>
                    <w:t>、NO</w:t>
                  </w:r>
                  <w:r>
                    <w:rPr>
                      <w:rFonts w:hint="eastAsia" w:cs="Times New Roman"/>
                      <w:snapToGrid w:val="0"/>
                      <w:color w:val="auto"/>
                      <w:sz w:val="18"/>
                      <w:szCs w:val="18"/>
                      <w:highlight w:val="none"/>
                      <w:vertAlign w:val="subscript"/>
                      <w:lang w:val="en-US" w:eastAsia="zh-CN"/>
                    </w:rPr>
                    <w:t>X</w:t>
                  </w:r>
                </w:p>
              </w:tc>
              <w:tc>
                <w:tcPr>
                  <w:tcW w:w="1484" w:type="pct"/>
                  <w:tcBorders>
                    <w:tl2br w:val="nil"/>
                    <w:tr2bl w:val="nil"/>
                  </w:tcBorders>
                  <w:noWrap w:val="0"/>
                  <w:vAlign w:val="center"/>
                </w:tcPr>
                <w:p w14:paraId="60B1A70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低氮燃烧技术，经24m高排气筒DA011排放</w:t>
                  </w:r>
                </w:p>
              </w:tc>
            </w:tr>
            <w:tr w14:paraId="0ECA22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77CB3DE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vMerge w:val="continue"/>
                  <w:tcBorders>
                    <w:tl2br w:val="nil"/>
                    <w:tr2bl w:val="nil"/>
                  </w:tcBorders>
                  <w:noWrap w:val="0"/>
                  <w:vAlign w:val="center"/>
                </w:tcPr>
                <w:p w14:paraId="06B5771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52C6546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激光刻痕废气G16</w:t>
                  </w:r>
                </w:p>
              </w:tc>
              <w:tc>
                <w:tcPr>
                  <w:tcW w:w="1223" w:type="pct"/>
                  <w:tcBorders>
                    <w:tl2br w:val="nil"/>
                    <w:tr2bl w:val="nil"/>
                  </w:tcBorders>
                  <w:noWrap w:val="0"/>
                  <w:vAlign w:val="center"/>
                </w:tcPr>
                <w:p w14:paraId="50C8398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颗粒物</w:t>
                  </w:r>
                </w:p>
              </w:tc>
              <w:tc>
                <w:tcPr>
                  <w:tcW w:w="1484" w:type="pct"/>
                  <w:tcBorders>
                    <w:tl2br w:val="nil"/>
                    <w:tr2bl w:val="nil"/>
                  </w:tcBorders>
                  <w:shd w:val="clear" w:color="auto" w:fill="auto"/>
                  <w:noWrap w:val="0"/>
                  <w:vAlign w:val="center"/>
                </w:tcPr>
                <w:p w14:paraId="2B54854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布袋除尘处理后经24m高排气筒DA012排放</w:t>
                  </w:r>
                </w:p>
              </w:tc>
            </w:tr>
            <w:tr w14:paraId="6459CA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7687884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vMerge w:val="restart"/>
                  <w:tcBorders>
                    <w:tl2br w:val="nil"/>
                    <w:tr2bl w:val="nil"/>
                  </w:tcBorders>
                  <w:noWrap w:val="0"/>
                  <w:vAlign w:val="center"/>
                </w:tcPr>
                <w:p w14:paraId="6754774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废酸再生</w:t>
                  </w:r>
                </w:p>
              </w:tc>
              <w:tc>
                <w:tcPr>
                  <w:tcW w:w="891" w:type="pct"/>
                  <w:tcBorders>
                    <w:tl2br w:val="nil"/>
                    <w:tr2bl w:val="nil"/>
                  </w:tcBorders>
                  <w:noWrap w:val="0"/>
                  <w:vAlign w:val="center"/>
                </w:tcPr>
                <w:p w14:paraId="784A86A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焙烧废气G17</w:t>
                  </w:r>
                </w:p>
              </w:tc>
              <w:tc>
                <w:tcPr>
                  <w:tcW w:w="1223" w:type="pct"/>
                  <w:tcBorders>
                    <w:tl2br w:val="nil"/>
                    <w:tr2bl w:val="nil"/>
                  </w:tcBorders>
                  <w:noWrap w:val="0"/>
                  <w:vAlign w:val="center"/>
                </w:tcPr>
                <w:p w14:paraId="0E0D036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颗粒物、SO</w:t>
                  </w:r>
                  <w:r>
                    <w:rPr>
                      <w:rFonts w:hint="eastAsia" w:cs="Times New Roman"/>
                      <w:snapToGrid w:val="0"/>
                      <w:color w:val="auto"/>
                      <w:sz w:val="18"/>
                      <w:szCs w:val="18"/>
                      <w:highlight w:val="none"/>
                      <w:vertAlign w:val="subscript"/>
                      <w:lang w:val="en-US" w:eastAsia="zh-CN"/>
                    </w:rPr>
                    <w:t>2</w:t>
                  </w:r>
                  <w:r>
                    <w:rPr>
                      <w:rFonts w:hint="eastAsia" w:cs="Times New Roman"/>
                      <w:snapToGrid w:val="0"/>
                      <w:color w:val="auto"/>
                      <w:sz w:val="18"/>
                      <w:szCs w:val="18"/>
                      <w:highlight w:val="none"/>
                      <w:vertAlign w:val="baseline"/>
                      <w:lang w:val="en-US" w:eastAsia="zh-CN"/>
                    </w:rPr>
                    <w:t>、NO</w:t>
                  </w:r>
                  <w:r>
                    <w:rPr>
                      <w:rFonts w:hint="eastAsia" w:cs="Times New Roman"/>
                      <w:snapToGrid w:val="0"/>
                      <w:color w:val="auto"/>
                      <w:sz w:val="18"/>
                      <w:szCs w:val="18"/>
                      <w:highlight w:val="none"/>
                      <w:vertAlign w:val="subscript"/>
                      <w:lang w:val="en-US" w:eastAsia="zh-CN"/>
                    </w:rPr>
                    <w:t>X</w:t>
                  </w:r>
                  <w:r>
                    <w:rPr>
                      <w:rFonts w:hint="eastAsia" w:cs="Times New Roman"/>
                      <w:snapToGrid w:val="0"/>
                      <w:color w:val="auto"/>
                      <w:sz w:val="18"/>
                      <w:szCs w:val="18"/>
                      <w:highlight w:val="none"/>
                      <w:vertAlign w:val="baseline"/>
                      <w:lang w:val="en-US" w:eastAsia="zh-CN"/>
                    </w:rPr>
                    <w:t>、氯化氢</w:t>
                  </w:r>
                </w:p>
              </w:tc>
              <w:tc>
                <w:tcPr>
                  <w:tcW w:w="1484" w:type="pct"/>
                  <w:tcBorders>
                    <w:tl2br w:val="nil"/>
                    <w:tr2bl w:val="nil"/>
                  </w:tcBorders>
                  <w:shd w:val="clear" w:color="auto" w:fill="auto"/>
                  <w:noWrap w:val="0"/>
                  <w:vAlign w:val="center"/>
                </w:tcPr>
                <w:p w14:paraId="4388761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经低氮燃烧+旋风除尘器+预浓缩器+吸收塔+酸洗塔+水洗塔处理后经24m高排气筒DA013排放</w:t>
                  </w:r>
                </w:p>
              </w:tc>
            </w:tr>
            <w:tr w14:paraId="1B975A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43EB7F6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vMerge w:val="continue"/>
                  <w:tcBorders>
                    <w:tl2br w:val="nil"/>
                    <w:tr2bl w:val="nil"/>
                  </w:tcBorders>
                  <w:noWrap w:val="0"/>
                  <w:vAlign w:val="center"/>
                </w:tcPr>
                <w:p w14:paraId="4F637AC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706BE5E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氧化铁粉仓及袋装废气G18</w:t>
                  </w:r>
                </w:p>
              </w:tc>
              <w:tc>
                <w:tcPr>
                  <w:tcW w:w="1223" w:type="pct"/>
                  <w:tcBorders>
                    <w:tl2br w:val="nil"/>
                    <w:tr2bl w:val="nil"/>
                  </w:tcBorders>
                  <w:noWrap w:val="0"/>
                  <w:vAlign w:val="center"/>
                </w:tcPr>
                <w:p w14:paraId="43F2582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颗粒物</w:t>
                  </w:r>
                </w:p>
              </w:tc>
              <w:tc>
                <w:tcPr>
                  <w:tcW w:w="1484" w:type="pct"/>
                  <w:tcBorders>
                    <w:tl2br w:val="nil"/>
                    <w:tr2bl w:val="nil"/>
                  </w:tcBorders>
                  <w:shd w:val="clear" w:color="auto" w:fill="auto"/>
                  <w:noWrap w:val="0"/>
                  <w:vAlign w:val="center"/>
                </w:tcPr>
                <w:p w14:paraId="248DD1D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布袋除尘处理后经24m高排气筒DA014排放</w:t>
                  </w:r>
                </w:p>
              </w:tc>
            </w:tr>
            <w:tr w14:paraId="625600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restart"/>
                  <w:tcBorders>
                    <w:tl2br w:val="nil"/>
                    <w:tr2bl w:val="nil"/>
                  </w:tcBorders>
                  <w:noWrap w:val="0"/>
                  <w:vAlign w:val="center"/>
                </w:tcPr>
                <w:p w14:paraId="38E4B85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废水</w:t>
                  </w:r>
                </w:p>
              </w:tc>
              <w:tc>
                <w:tcPr>
                  <w:tcW w:w="891" w:type="pct"/>
                  <w:tcBorders>
                    <w:tl2br w:val="nil"/>
                    <w:tr2bl w:val="nil"/>
                  </w:tcBorders>
                  <w:noWrap w:val="0"/>
                  <w:vAlign w:val="center"/>
                </w:tcPr>
                <w:p w14:paraId="5EB8C73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带钢喷淋冷却</w:t>
                  </w:r>
                </w:p>
              </w:tc>
              <w:tc>
                <w:tcPr>
                  <w:tcW w:w="891" w:type="pct"/>
                  <w:tcBorders>
                    <w:tl2br w:val="nil"/>
                    <w:tr2bl w:val="nil"/>
                  </w:tcBorders>
                  <w:noWrap w:val="0"/>
                  <w:vAlign w:val="center"/>
                </w:tcPr>
                <w:p w14:paraId="540BDB7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冷却废水W1</w:t>
                  </w:r>
                </w:p>
              </w:tc>
              <w:tc>
                <w:tcPr>
                  <w:tcW w:w="1223" w:type="pct"/>
                  <w:tcBorders>
                    <w:tl2br w:val="nil"/>
                    <w:tr2bl w:val="nil"/>
                  </w:tcBorders>
                  <w:noWrap w:val="0"/>
                  <w:vAlign w:val="center"/>
                </w:tcPr>
                <w:p w14:paraId="163D28A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SS</w:t>
                  </w:r>
                </w:p>
              </w:tc>
              <w:tc>
                <w:tcPr>
                  <w:tcW w:w="1484" w:type="pct"/>
                  <w:tcBorders>
                    <w:tl2br w:val="nil"/>
                    <w:tr2bl w:val="nil"/>
                  </w:tcBorders>
                  <w:noWrap w:val="0"/>
                  <w:vAlign w:val="center"/>
                </w:tcPr>
                <w:p w14:paraId="356FEA1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沉淀后回用</w:t>
                  </w:r>
                </w:p>
              </w:tc>
            </w:tr>
            <w:tr w14:paraId="7D7267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1DFFB51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08F7578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盐酸酸洗及酸洗后水漂洗</w:t>
                  </w:r>
                </w:p>
              </w:tc>
              <w:tc>
                <w:tcPr>
                  <w:tcW w:w="891" w:type="pct"/>
                  <w:tcBorders>
                    <w:tl2br w:val="nil"/>
                    <w:tr2bl w:val="nil"/>
                  </w:tcBorders>
                  <w:noWrap w:val="0"/>
                  <w:vAlign w:val="center"/>
                </w:tcPr>
                <w:p w14:paraId="09D5A91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酸洗废水W2</w:t>
                  </w:r>
                </w:p>
              </w:tc>
              <w:tc>
                <w:tcPr>
                  <w:tcW w:w="1223" w:type="pct"/>
                  <w:tcBorders>
                    <w:tl2br w:val="nil"/>
                    <w:tr2bl w:val="nil"/>
                  </w:tcBorders>
                  <w:noWrap w:val="0"/>
                  <w:vAlign w:val="center"/>
                </w:tcPr>
                <w:p w14:paraId="0CCB88B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COD、SS、pH</w:t>
                  </w:r>
                </w:p>
              </w:tc>
              <w:tc>
                <w:tcPr>
                  <w:tcW w:w="1484" w:type="pct"/>
                  <w:tcBorders>
                    <w:tl2br w:val="nil"/>
                    <w:tr2bl w:val="nil"/>
                  </w:tcBorders>
                  <w:noWrap w:val="0"/>
                  <w:vAlign w:val="center"/>
                </w:tcPr>
                <w:p w14:paraId="3003224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经酸性废水处理站处理后外排园区污水处理厂</w:t>
                  </w:r>
                </w:p>
              </w:tc>
            </w:tr>
            <w:tr w14:paraId="11088C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4DFC98D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shd w:val="clear" w:color="auto" w:fill="auto"/>
                  <w:noWrap w:val="0"/>
                  <w:vAlign w:val="center"/>
                </w:tcPr>
                <w:p w14:paraId="0077649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硫酸酸洗及水洗</w:t>
                  </w:r>
                </w:p>
              </w:tc>
              <w:tc>
                <w:tcPr>
                  <w:tcW w:w="891" w:type="pct"/>
                  <w:tcBorders>
                    <w:tl2br w:val="nil"/>
                    <w:tr2bl w:val="nil"/>
                  </w:tcBorders>
                  <w:shd w:val="clear" w:color="auto" w:fill="auto"/>
                  <w:noWrap w:val="0"/>
                  <w:vAlign w:val="center"/>
                </w:tcPr>
                <w:p w14:paraId="6A4A912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酸洗废水W6</w:t>
                  </w:r>
                </w:p>
              </w:tc>
              <w:tc>
                <w:tcPr>
                  <w:tcW w:w="1223" w:type="pct"/>
                  <w:tcBorders>
                    <w:tl2br w:val="nil"/>
                    <w:tr2bl w:val="nil"/>
                  </w:tcBorders>
                  <w:noWrap w:val="0"/>
                  <w:vAlign w:val="center"/>
                </w:tcPr>
                <w:p w14:paraId="4962E81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COD、SS、pH</w:t>
                  </w:r>
                </w:p>
              </w:tc>
              <w:tc>
                <w:tcPr>
                  <w:tcW w:w="1484" w:type="pct"/>
                  <w:tcBorders>
                    <w:tl2br w:val="nil"/>
                    <w:tr2bl w:val="nil"/>
                  </w:tcBorders>
                  <w:noWrap w:val="0"/>
                  <w:vAlign w:val="center"/>
                </w:tcPr>
                <w:p w14:paraId="5D5D9DE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经酸性废水处理站处理后外排园区污水处理厂</w:t>
                  </w:r>
                </w:p>
              </w:tc>
            </w:tr>
            <w:tr w14:paraId="4CC466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90" w:hRule="atLeast"/>
              </w:trPr>
              <w:tc>
                <w:tcPr>
                  <w:tcW w:w="509" w:type="pct"/>
                  <w:vMerge w:val="continue"/>
                  <w:tcBorders>
                    <w:tl2br w:val="nil"/>
                    <w:tr2bl w:val="nil"/>
                  </w:tcBorders>
                  <w:noWrap w:val="0"/>
                  <w:vAlign w:val="center"/>
                </w:tcPr>
                <w:p w14:paraId="4055515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shd w:val="clear" w:color="auto" w:fill="auto"/>
                  <w:noWrap w:val="0"/>
                  <w:vAlign w:val="center"/>
                </w:tcPr>
                <w:p w14:paraId="732A13B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盐酸酸洗喷淋塔和硫酸酸洗喷淋塔</w:t>
                  </w:r>
                </w:p>
              </w:tc>
              <w:tc>
                <w:tcPr>
                  <w:tcW w:w="891" w:type="pct"/>
                  <w:tcBorders>
                    <w:tl2br w:val="nil"/>
                    <w:tr2bl w:val="nil"/>
                  </w:tcBorders>
                  <w:shd w:val="clear" w:color="auto" w:fill="auto"/>
                  <w:noWrap w:val="0"/>
                  <w:vAlign w:val="center"/>
                </w:tcPr>
                <w:p w14:paraId="5F06DDE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喷淋塔排水W7</w:t>
                  </w:r>
                </w:p>
              </w:tc>
              <w:tc>
                <w:tcPr>
                  <w:tcW w:w="1223" w:type="pct"/>
                  <w:tcBorders>
                    <w:tl2br w:val="nil"/>
                    <w:tr2bl w:val="nil"/>
                  </w:tcBorders>
                  <w:noWrap w:val="0"/>
                  <w:vAlign w:val="center"/>
                </w:tcPr>
                <w:p w14:paraId="6B3DAC9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COD、SS、pH</w:t>
                  </w:r>
                </w:p>
              </w:tc>
              <w:tc>
                <w:tcPr>
                  <w:tcW w:w="1484" w:type="pct"/>
                  <w:tcBorders>
                    <w:tl2br w:val="nil"/>
                    <w:tr2bl w:val="nil"/>
                  </w:tcBorders>
                  <w:noWrap w:val="0"/>
                  <w:vAlign w:val="center"/>
                </w:tcPr>
                <w:p w14:paraId="39A7DF5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经酸性废水处理站处理后外排园区污水处理厂</w:t>
                  </w:r>
                </w:p>
              </w:tc>
            </w:tr>
            <w:tr w14:paraId="614C38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23A6486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shd w:val="clear" w:color="auto" w:fill="auto"/>
                  <w:noWrap w:val="0"/>
                  <w:vAlign w:val="center"/>
                </w:tcPr>
                <w:p w14:paraId="15A0DC8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冷轧</w:t>
                  </w:r>
                </w:p>
              </w:tc>
              <w:tc>
                <w:tcPr>
                  <w:tcW w:w="891" w:type="pct"/>
                  <w:tcBorders>
                    <w:tl2br w:val="nil"/>
                    <w:tr2bl w:val="nil"/>
                  </w:tcBorders>
                  <w:shd w:val="clear" w:color="auto" w:fill="auto"/>
                  <w:noWrap w:val="0"/>
                  <w:vAlign w:val="center"/>
                </w:tcPr>
                <w:p w14:paraId="777B1F5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含油和乳化液废水W3</w:t>
                  </w:r>
                </w:p>
              </w:tc>
              <w:tc>
                <w:tcPr>
                  <w:tcW w:w="1223" w:type="pct"/>
                  <w:tcBorders>
                    <w:tl2br w:val="nil"/>
                    <w:tr2bl w:val="nil"/>
                  </w:tcBorders>
                  <w:noWrap w:val="0"/>
                  <w:vAlign w:val="center"/>
                </w:tcPr>
                <w:p w14:paraId="49DF06A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pH、石油类、COD、氨氮、SS</w:t>
                  </w:r>
                </w:p>
              </w:tc>
              <w:tc>
                <w:tcPr>
                  <w:tcW w:w="1484" w:type="pct"/>
                  <w:vMerge w:val="restart"/>
                  <w:tcBorders>
                    <w:tl2br w:val="nil"/>
                    <w:tr2bl w:val="nil"/>
                  </w:tcBorders>
                  <w:noWrap w:val="0"/>
                  <w:vAlign w:val="center"/>
                </w:tcPr>
                <w:p w14:paraId="4BDD8B5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含油和乳化液废水</w:t>
                  </w:r>
                  <w:r>
                    <w:rPr>
                      <w:rFonts w:hint="eastAsia" w:ascii="Times New Roman" w:hAnsi="Times New Roman" w:eastAsia="宋体" w:cs="Times New Roman"/>
                      <w:snapToGrid w:val="0"/>
                      <w:color w:val="auto"/>
                      <w:kern w:val="2"/>
                      <w:sz w:val="18"/>
                      <w:szCs w:val="18"/>
                      <w:highlight w:val="none"/>
                      <w:vertAlign w:val="baseline"/>
                      <w:lang w:val="en-US" w:eastAsia="zh-CN" w:bidi="ar-SA"/>
                    </w:rPr>
                    <w:t>隔油预处理后再与碱洗后水洗废水、碱性废气洗涤塔排水进行调节+中和+絮凝沉淀+MBR接触氧化处理后排至酸性废水处理站进行处理</w:t>
                  </w:r>
                </w:p>
              </w:tc>
            </w:tr>
            <w:tr w14:paraId="4E1B56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557BACC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shd w:val="clear" w:color="auto" w:fill="auto"/>
                  <w:noWrap w:val="0"/>
                  <w:vAlign w:val="center"/>
                </w:tcPr>
                <w:p w14:paraId="5E96A46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碱洗及碱洗后水洗</w:t>
                  </w:r>
                </w:p>
              </w:tc>
              <w:tc>
                <w:tcPr>
                  <w:tcW w:w="891" w:type="pct"/>
                  <w:tcBorders>
                    <w:tl2br w:val="nil"/>
                    <w:tr2bl w:val="nil"/>
                  </w:tcBorders>
                  <w:shd w:val="clear" w:color="auto" w:fill="auto"/>
                  <w:noWrap w:val="0"/>
                  <w:vAlign w:val="center"/>
                </w:tcPr>
                <w:p w14:paraId="5AD003A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碱洗废水W4</w:t>
                  </w:r>
                </w:p>
              </w:tc>
              <w:tc>
                <w:tcPr>
                  <w:tcW w:w="1223" w:type="pct"/>
                  <w:tcBorders>
                    <w:tl2br w:val="nil"/>
                    <w:tr2bl w:val="nil"/>
                  </w:tcBorders>
                  <w:shd w:val="clear" w:color="auto" w:fill="auto"/>
                  <w:noWrap w:val="0"/>
                  <w:vAlign w:val="center"/>
                </w:tcPr>
                <w:p w14:paraId="2919D42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pH、石油类、COD、氨氮、SS</w:t>
                  </w:r>
                </w:p>
              </w:tc>
              <w:tc>
                <w:tcPr>
                  <w:tcW w:w="1484" w:type="pct"/>
                  <w:vMerge w:val="continue"/>
                  <w:tcBorders>
                    <w:tl2br w:val="nil"/>
                    <w:tr2bl w:val="nil"/>
                  </w:tcBorders>
                  <w:noWrap w:val="0"/>
                  <w:vAlign w:val="center"/>
                </w:tcPr>
                <w:p w14:paraId="30F667C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p>
              </w:tc>
            </w:tr>
            <w:tr w14:paraId="212C5D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23BA297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shd w:val="clear" w:color="auto" w:fill="auto"/>
                  <w:noWrap w:val="0"/>
                  <w:vAlign w:val="center"/>
                </w:tcPr>
                <w:p w14:paraId="19EA631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碱雾喷淋塔</w:t>
                  </w:r>
                </w:p>
              </w:tc>
              <w:tc>
                <w:tcPr>
                  <w:tcW w:w="891" w:type="pct"/>
                  <w:tcBorders>
                    <w:tl2br w:val="nil"/>
                    <w:tr2bl w:val="nil"/>
                  </w:tcBorders>
                  <w:shd w:val="clear" w:color="auto" w:fill="auto"/>
                  <w:noWrap w:val="0"/>
                  <w:vAlign w:val="center"/>
                </w:tcPr>
                <w:p w14:paraId="2D986F5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喷淋塔排水</w:t>
                  </w:r>
                  <w:r>
                    <w:rPr>
                      <w:rFonts w:hint="eastAsia" w:cs="Times New Roman"/>
                      <w:snapToGrid w:val="0"/>
                      <w:color w:val="auto"/>
                      <w:kern w:val="2"/>
                      <w:sz w:val="18"/>
                      <w:szCs w:val="18"/>
                      <w:highlight w:val="none"/>
                      <w:vertAlign w:val="baseline"/>
                      <w:lang w:val="en-US" w:eastAsia="zh-CN" w:bidi="ar-SA"/>
                    </w:rPr>
                    <w:t>W8</w:t>
                  </w:r>
                </w:p>
              </w:tc>
              <w:tc>
                <w:tcPr>
                  <w:tcW w:w="1223" w:type="pct"/>
                  <w:tcBorders>
                    <w:tl2br w:val="nil"/>
                    <w:tr2bl w:val="nil"/>
                  </w:tcBorders>
                  <w:shd w:val="clear" w:color="auto" w:fill="auto"/>
                  <w:noWrap w:val="0"/>
                  <w:vAlign w:val="center"/>
                </w:tcPr>
                <w:p w14:paraId="65BFB85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pH、石油类、COD、氨氮、SS</w:t>
                  </w:r>
                </w:p>
              </w:tc>
              <w:tc>
                <w:tcPr>
                  <w:tcW w:w="1484" w:type="pct"/>
                  <w:vMerge w:val="continue"/>
                  <w:tcBorders>
                    <w:tl2br w:val="nil"/>
                    <w:tr2bl w:val="nil"/>
                  </w:tcBorders>
                  <w:shd w:val="clear" w:color="auto" w:fill="auto"/>
                  <w:noWrap w:val="0"/>
                  <w:vAlign w:val="center"/>
                </w:tcPr>
                <w:p w14:paraId="47A5AEC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p>
              </w:tc>
            </w:tr>
            <w:tr w14:paraId="74AA0B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2BE8AC3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shd w:val="clear" w:color="auto" w:fill="auto"/>
                  <w:noWrap w:val="0"/>
                  <w:vAlign w:val="center"/>
                </w:tcPr>
                <w:p w14:paraId="4263195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default" w:ascii="Times New Roman" w:hAnsi="Times New Roman" w:eastAsia="宋体" w:cs="Times New Roman"/>
                      <w:snapToGrid w:val="0"/>
                      <w:color w:val="auto"/>
                      <w:sz w:val="18"/>
                      <w:szCs w:val="18"/>
                      <w:highlight w:val="none"/>
                      <w:vertAlign w:val="baseline"/>
                      <w:lang w:val="en-US" w:eastAsia="zh-CN"/>
                    </w:rPr>
                    <w:t>MgO</w:t>
                  </w:r>
                  <w:r>
                    <w:rPr>
                      <w:rFonts w:hint="eastAsia" w:ascii="Times New Roman" w:hAnsi="Times New Roman" w:eastAsia="宋体" w:cs="Times New Roman"/>
                      <w:snapToGrid w:val="0"/>
                      <w:color w:val="auto"/>
                      <w:sz w:val="18"/>
                      <w:szCs w:val="18"/>
                      <w:highlight w:val="none"/>
                      <w:vertAlign w:val="baseline"/>
                      <w:lang w:val="en-US" w:eastAsia="zh-CN"/>
                    </w:rPr>
                    <w:t>涂层液收集槽定期清洗</w:t>
                  </w:r>
                </w:p>
              </w:tc>
              <w:tc>
                <w:tcPr>
                  <w:tcW w:w="891" w:type="pct"/>
                  <w:tcBorders>
                    <w:tl2br w:val="nil"/>
                    <w:tr2bl w:val="nil"/>
                  </w:tcBorders>
                  <w:shd w:val="clear" w:color="auto" w:fill="auto"/>
                  <w:noWrap w:val="0"/>
                  <w:vAlign w:val="center"/>
                </w:tcPr>
                <w:p w14:paraId="1D4375C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清洗废水W5</w:t>
                  </w:r>
                </w:p>
              </w:tc>
              <w:tc>
                <w:tcPr>
                  <w:tcW w:w="1223" w:type="pct"/>
                  <w:tcBorders>
                    <w:tl2br w:val="nil"/>
                    <w:tr2bl w:val="nil"/>
                  </w:tcBorders>
                  <w:shd w:val="clear" w:color="auto" w:fill="auto"/>
                  <w:noWrap w:val="0"/>
                  <w:vAlign w:val="center"/>
                </w:tcPr>
                <w:p w14:paraId="4DD470C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SS</w:t>
                  </w:r>
                </w:p>
              </w:tc>
              <w:tc>
                <w:tcPr>
                  <w:tcW w:w="1484" w:type="pct"/>
                  <w:tcBorders>
                    <w:tl2br w:val="nil"/>
                    <w:tr2bl w:val="nil"/>
                  </w:tcBorders>
                  <w:shd w:val="clear" w:color="auto" w:fill="auto"/>
                  <w:noWrap w:val="0"/>
                  <w:vAlign w:val="center"/>
                </w:tcPr>
                <w:p w14:paraId="2E70614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沉淀后回用</w:t>
                  </w:r>
                </w:p>
              </w:tc>
            </w:tr>
            <w:tr w14:paraId="06C9CF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774E291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shd w:val="clear" w:color="auto" w:fill="auto"/>
                  <w:noWrap w:val="0"/>
                  <w:vAlign w:val="center"/>
                </w:tcPr>
                <w:p w14:paraId="7ABCD66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脱盐水系统</w:t>
                  </w:r>
                </w:p>
              </w:tc>
              <w:tc>
                <w:tcPr>
                  <w:tcW w:w="891" w:type="pct"/>
                  <w:tcBorders>
                    <w:tl2br w:val="nil"/>
                    <w:tr2bl w:val="nil"/>
                  </w:tcBorders>
                  <w:shd w:val="clear" w:color="auto" w:fill="auto"/>
                  <w:noWrap w:val="0"/>
                  <w:vAlign w:val="center"/>
                </w:tcPr>
                <w:p w14:paraId="146CA61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排污水W9</w:t>
                  </w:r>
                </w:p>
              </w:tc>
              <w:tc>
                <w:tcPr>
                  <w:tcW w:w="1223" w:type="pct"/>
                  <w:tcBorders>
                    <w:tl2br w:val="nil"/>
                    <w:tr2bl w:val="nil"/>
                  </w:tcBorders>
                  <w:shd w:val="clear" w:color="auto" w:fill="auto"/>
                  <w:noWrap w:val="0"/>
                  <w:vAlign w:val="center"/>
                </w:tcPr>
                <w:p w14:paraId="089A9F8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COD、SS、pH</w:t>
                  </w:r>
                </w:p>
              </w:tc>
              <w:tc>
                <w:tcPr>
                  <w:tcW w:w="1484" w:type="pct"/>
                  <w:tcBorders>
                    <w:tl2br w:val="nil"/>
                    <w:tr2bl w:val="nil"/>
                  </w:tcBorders>
                  <w:shd w:val="clear" w:color="auto" w:fill="auto"/>
                  <w:noWrap w:val="0"/>
                  <w:vAlign w:val="center"/>
                </w:tcPr>
                <w:p w14:paraId="4419FDC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外排园区污水处理厂</w:t>
                  </w:r>
                </w:p>
              </w:tc>
            </w:tr>
            <w:tr w14:paraId="643B2D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3EE5CFD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shd w:val="clear" w:color="auto" w:fill="auto"/>
                  <w:noWrap w:val="0"/>
                  <w:vAlign w:val="center"/>
                </w:tcPr>
                <w:p w14:paraId="696FACD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锅炉</w:t>
                  </w:r>
                </w:p>
              </w:tc>
              <w:tc>
                <w:tcPr>
                  <w:tcW w:w="891" w:type="pct"/>
                  <w:tcBorders>
                    <w:tl2br w:val="nil"/>
                    <w:tr2bl w:val="nil"/>
                  </w:tcBorders>
                  <w:shd w:val="clear" w:color="auto" w:fill="auto"/>
                  <w:noWrap w:val="0"/>
                  <w:vAlign w:val="center"/>
                </w:tcPr>
                <w:p w14:paraId="26DBDDF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排污水W10</w:t>
                  </w:r>
                </w:p>
              </w:tc>
              <w:tc>
                <w:tcPr>
                  <w:tcW w:w="1223" w:type="pct"/>
                  <w:tcBorders>
                    <w:tl2br w:val="nil"/>
                    <w:tr2bl w:val="nil"/>
                  </w:tcBorders>
                  <w:shd w:val="clear" w:color="auto" w:fill="auto"/>
                  <w:noWrap w:val="0"/>
                  <w:vAlign w:val="center"/>
                </w:tcPr>
                <w:p w14:paraId="31F4B11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COD、SS、pH</w:t>
                  </w:r>
                </w:p>
              </w:tc>
              <w:tc>
                <w:tcPr>
                  <w:tcW w:w="1484" w:type="pct"/>
                  <w:tcBorders>
                    <w:tl2br w:val="nil"/>
                    <w:tr2bl w:val="nil"/>
                  </w:tcBorders>
                  <w:shd w:val="clear" w:color="auto" w:fill="auto"/>
                  <w:noWrap w:val="0"/>
                  <w:vAlign w:val="center"/>
                </w:tcPr>
                <w:p w14:paraId="2D88CC9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外排园区污水处理厂</w:t>
                  </w:r>
                </w:p>
              </w:tc>
            </w:tr>
            <w:tr w14:paraId="44CCEF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6575F3B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shd w:val="clear" w:color="auto" w:fill="auto"/>
                  <w:noWrap w:val="0"/>
                  <w:vAlign w:val="center"/>
                </w:tcPr>
                <w:p w14:paraId="52EB309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净循环水系统</w:t>
                  </w:r>
                </w:p>
              </w:tc>
              <w:tc>
                <w:tcPr>
                  <w:tcW w:w="891" w:type="pct"/>
                  <w:tcBorders>
                    <w:tl2br w:val="nil"/>
                    <w:tr2bl w:val="nil"/>
                  </w:tcBorders>
                  <w:shd w:val="clear" w:color="auto" w:fill="auto"/>
                  <w:noWrap w:val="0"/>
                  <w:vAlign w:val="center"/>
                </w:tcPr>
                <w:p w14:paraId="55ADDAA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排污水W11</w:t>
                  </w:r>
                </w:p>
              </w:tc>
              <w:tc>
                <w:tcPr>
                  <w:tcW w:w="1223" w:type="pct"/>
                  <w:tcBorders>
                    <w:tl2br w:val="nil"/>
                    <w:tr2bl w:val="nil"/>
                  </w:tcBorders>
                  <w:shd w:val="clear" w:color="auto" w:fill="auto"/>
                  <w:noWrap w:val="0"/>
                  <w:vAlign w:val="center"/>
                </w:tcPr>
                <w:p w14:paraId="2E44770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COD、SS、pH</w:t>
                  </w:r>
                </w:p>
              </w:tc>
              <w:tc>
                <w:tcPr>
                  <w:tcW w:w="1484" w:type="pct"/>
                  <w:tcBorders>
                    <w:tl2br w:val="nil"/>
                    <w:tr2bl w:val="nil"/>
                  </w:tcBorders>
                  <w:shd w:val="clear" w:color="auto" w:fill="auto"/>
                  <w:noWrap w:val="0"/>
                  <w:vAlign w:val="center"/>
                </w:tcPr>
                <w:p w14:paraId="06D3745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外排园区污水处理厂</w:t>
                  </w:r>
                </w:p>
              </w:tc>
            </w:tr>
            <w:tr w14:paraId="10F62A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185" w:hRule="atLeast"/>
              </w:trPr>
              <w:tc>
                <w:tcPr>
                  <w:tcW w:w="509" w:type="pct"/>
                  <w:vMerge w:val="continue"/>
                  <w:tcBorders>
                    <w:tl2br w:val="nil"/>
                    <w:tr2bl w:val="nil"/>
                  </w:tcBorders>
                  <w:noWrap w:val="0"/>
                  <w:vAlign w:val="center"/>
                </w:tcPr>
                <w:p w14:paraId="27861DD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shd w:val="clear" w:color="auto" w:fill="auto"/>
                  <w:noWrap w:val="0"/>
                  <w:vAlign w:val="center"/>
                </w:tcPr>
                <w:p w14:paraId="032D999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职工生活</w:t>
                  </w:r>
                </w:p>
              </w:tc>
              <w:tc>
                <w:tcPr>
                  <w:tcW w:w="891" w:type="pct"/>
                  <w:tcBorders>
                    <w:tl2br w:val="nil"/>
                    <w:tr2bl w:val="nil"/>
                  </w:tcBorders>
                  <w:shd w:val="clear" w:color="auto" w:fill="auto"/>
                  <w:noWrap w:val="0"/>
                  <w:vAlign w:val="center"/>
                </w:tcPr>
                <w:p w14:paraId="306326F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生活污水W12</w:t>
                  </w:r>
                </w:p>
              </w:tc>
              <w:tc>
                <w:tcPr>
                  <w:tcW w:w="1223" w:type="pct"/>
                  <w:tcBorders>
                    <w:tl2br w:val="nil"/>
                    <w:tr2bl w:val="nil"/>
                  </w:tcBorders>
                  <w:shd w:val="clear" w:color="auto" w:fill="auto"/>
                  <w:noWrap w:val="0"/>
                  <w:vAlign w:val="center"/>
                </w:tcPr>
                <w:p w14:paraId="754F113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COD、SS、氨氮</w:t>
                  </w:r>
                </w:p>
              </w:tc>
              <w:tc>
                <w:tcPr>
                  <w:tcW w:w="1484" w:type="pct"/>
                  <w:tcBorders>
                    <w:tl2br w:val="nil"/>
                    <w:tr2bl w:val="nil"/>
                  </w:tcBorders>
                  <w:shd w:val="clear" w:color="auto" w:fill="auto"/>
                  <w:noWrap w:val="0"/>
                  <w:vAlign w:val="center"/>
                </w:tcPr>
                <w:p w14:paraId="7F468B9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化粪池处理后外排园区污水处理厂</w:t>
                  </w:r>
                </w:p>
              </w:tc>
            </w:tr>
            <w:tr w14:paraId="510699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tcBorders>
                    <w:tl2br w:val="nil"/>
                    <w:tr2bl w:val="nil"/>
                  </w:tcBorders>
                  <w:noWrap w:val="0"/>
                  <w:vAlign w:val="center"/>
                </w:tcPr>
                <w:p w14:paraId="0654430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ascii="Times New Roman" w:hAnsi="Times New Roman" w:eastAsia="宋体" w:cs="Times New Roman"/>
                      <w:snapToGrid w:val="0"/>
                      <w:color w:val="auto"/>
                      <w:sz w:val="18"/>
                      <w:szCs w:val="18"/>
                      <w:highlight w:val="none"/>
                      <w:vertAlign w:val="baseline"/>
                      <w:lang w:val="en-US" w:eastAsia="zh-CN"/>
                    </w:rPr>
                    <w:t>噪声</w:t>
                  </w:r>
                </w:p>
              </w:tc>
              <w:tc>
                <w:tcPr>
                  <w:tcW w:w="891" w:type="pct"/>
                  <w:tcBorders>
                    <w:tl2br w:val="nil"/>
                    <w:tr2bl w:val="nil"/>
                  </w:tcBorders>
                  <w:noWrap w:val="0"/>
                  <w:vAlign w:val="center"/>
                </w:tcPr>
                <w:p w14:paraId="6A5048E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设备、泵类、风机</w:t>
                  </w:r>
                </w:p>
              </w:tc>
              <w:tc>
                <w:tcPr>
                  <w:tcW w:w="891" w:type="pct"/>
                  <w:tcBorders>
                    <w:tl2br w:val="nil"/>
                    <w:tr2bl w:val="nil"/>
                  </w:tcBorders>
                  <w:noWrap w:val="0"/>
                  <w:vAlign w:val="center"/>
                </w:tcPr>
                <w:p w14:paraId="69CC5F6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噪声</w:t>
                  </w:r>
                </w:p>
              </w:tc>
              <w:tc>
                <w:tcPr>
                  <w:tcW w:w="1223" w:type="pct"/>
                  <w:tcBorders>
                    <w:tl2br w:val="nil"/>
                    <w:tr2bl w:val="nil"/>
                  </w:tcBorders>
                  <w:noWrap w:val="0"/>
                  <w:vAlign w:val="center"/>
                </w:tcPr>
                <w:p w14:paraId="609D49E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ascii="Times New Roman" w:hAnsi="Times New Roman" w:eastAsia="宋体" w:cs="Times New Roman"/>
                      <w:snapToGrid w:val="0"/>
                      <w:color w:val="auto"/>
                      <w:kern w:val="2"/>
                      <w:sz w:val="18"/>
                      <w:szCs w:val="18"/>
                      <w:highlight w:val="none"/>
                      <w:vertAlign w:val="baseline"/>
                      <w:lang w:val="en-US" w:eastAsia="zh-CN" w:bidi="ar-SA"/>
                    </w:rPr>
                    <w:t>Leq（A）</w:t>
                  </w:r>
                </w:p>
              </w:tc>
              <w:tc>
                <w:tcPr>
                  <w:tcW w:w="1484" w:type="pct"/>
                  <w:tcBorders>
                    <w:tl2br w:val="nil"/>
                    <w:tr2bl w:val="nil"/>
                  </w:tcBorders>
                  <w:noWrap w:val="0"/>
                  <w:vAlign w:val="center"/>
                </w:tcPr>
                <w:p w14:paraId="25CA811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隔声、减振</w:t>
                  </w:r>
                </w:p>
              </w:tc>
            </w:tr>
            <w:tr w14:paraId="4E88B8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restart"/>
                  <w:tcBorders>
                    <w:tl2br w:val="nil"/>
                    <w:tr2bl w:val="nil"/>
                  </w:tcBorders>
                  <w:noWrap w:val="0"/>
                  <w:vAlign w:val="center"/>
                </w:tcPr>
                <w:p w14:paraId="03C35FE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r>
                    <w:rPr>
                      <w:rFonts w:hint="eastAsia" w:ascii="Times New Roman" w:hAnsi="Times New Roman" w:eastAsia="宋体" w:cs="Times New Roman"/>
                      <w:snapToGrid w:val="0"/>
                      <w:color w:val="auto"/>
                      <w:sz w:val="18"/>
                      <w:szCs w:val="18"/>
                      <w:highlight w:val="none"/>
                      <w:vertAlign w:val="baseline"/>
                      <w:lang w:val="en-US" w:eastAsia="zh-CN"/>
                    </w:rPr>
                    <w:t>固体废物</w:t>
                  </w:r>
                </w:p>
              </w:tc>
              <w:tc>
                <w:tcPr>
                  <w:tcW w:w="891" w:type="pct"/>
                  <w:tcBorders>
                    <w:tl2br w:val="nil"/>
                    <w:tr2bl w:val="nil"/>
                  </w:tcBorders>
                  <w:noWrap w:val="0"/>
                  <w:vAlign w:val="center"/>
                </w:tcPr>
                <w:p w14:paraId="3807E4A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各工序切头切尾等</w:t>
                  </w:r>
                </w:p>
              </w:tc>
              <w:tc>
                <w:tcPr>
                  <w:tcW w:w="891" w:type="pct"/>
                  <w:tcBorders>
                    <w:tl2br w:val="nil"/>
                    <w:tr2bl w:val="nil"/>
                  </w:tcBorders>
                  <w:noWrap w:val="0"/>
                  <w:vAlign w:val="center"/>
                </w:tcPr>
                <w:p w14:paraId="492DF56E">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边角料S1、S5、S6、S9、S11、S12</w:t>
                  </w:r>
                </w:p>
              </w:tc>
              <w:tc>
                <w:tcPr>
                  <w:tcW w:w="1223" w:type="pct"/>
                  <w:tcBorders>
                    <w:tl2br w:val="nil"/>
                    <w:tr2bl w:val="nil"/>
                  </w:tcBorders>
                  <w:shd w:val="clear" w:color="auto" w:fill="auto"/>
                  <w:noWrap w:val="0"/>
                  <w:vAlign w:val="center"/>
                </w:tcPr>
                <w:p w14:paraId="3B85A7A8">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钢材</w:t>
                  </w:r>
                </w:p>
              </w:tc>
              <w:tc>
                <w:tcPr>
                  <w:tcW w:w="1484" w:type="pct"/>
                  <w:tcBorders>
                    <w:tl2br w:val="nil"/>
                    <w:tr2bl w:val="nil"/>
                  </w:tcBorders>
                  <w:noWrap w:val="0"/>
                  <w:vAlign w:val="center"/>
                </w:tcPr>
                <w:p w14:paraId="356667F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外售综合利用</w:t>
                  </w:r>
                </w:p>
              </w:tc>
            </w:tr>
            <w:tr w14:paraId="30B89B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80" w:hRule="atLeast"/>
              </w:trPr>
              <w:tc>
                <w:tcPr>
                  <w:tcW w:w="509" w:type="pct"/>
                  <w:vMerge w:val="continue"/>
                  <w:tcBorders>
                    <w:tl2br w:val="nil"/>
                    <w:tr2bl w:val="nil"/>
                  </w:tcBorders>
                  <w:noWrap w:val="0"/>
                  <w:vAlign w:val="center"/>
                </w:tcPr>
                <w:p w14:paraId="35C41F1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24F3695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激光焊接、电阻焊接</w:t>
                  </w:r>
                </w:p>
              </w:tc>
              <w:tc>
                <w:tcPr>
                  <w:tcW w:w="891" w:type="pct"/>
                  <w:tcBorders>
                    <w:tl2br w:val="nil"/>
                    <w:tr2bl w:val="nil"/>
                  </w:tcBorders>
                  <w:noWrap w:val="0"/>
                  <w:vAlign w:val="center"/>
                </w:tcPr>
                <w:p w14:paraId="1522BFD1">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焊渣S2、S4、S7</w:t>
                  </w:r>
                </w:p>
              </w:tc>
              <w:tc>
                <w:tcPr>
                  <w:tcW w:w="1223" w:type="pct"/>
                  <w:tcBorders>
                    <w:tl2br w:val="nil"/>
                    <w:tr2bl w:val="nil"/>
                  </w:tcBorders>
                  <w:shd w:val="clear" w:color="auto" w:fill="auto"/>
                  <w:noWrap w:val="0"/>
                  <w:vAlign w:val="center"/>
                </w:tcPr>
                <w:p w14:paraId="2550A3B1">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钢渣</w:t>
                  </w:r>
                </w:p>
              </w:tc>
              <w:tc>
                <w:tcPr>
                  <w:tcW w:w="1484" w:type="pct"/>
                  <w:tcBorders>
                    <w:tl2br w:val="nil"/>
                    <w:tr2bl w:val="nil"/>
                  </w:tcBorders>
                  <w:noWrap w:val="0"/>
                  <w:vAlign w:val="center"/>
                </w:tcPr>
                <w:p w14:paraId="336FDAA3">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外售综合利用</w:t>
                  </w:r>
                </w:p>
              </w:tc>
            </w:tr>
            <w:tr w14:paraId="66A387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80" w:hRule="atLeast"/>
              </w:trPr>
              <w:tc>
                <w:tcPr>
                  <w:tcW w:w="509" w:type="pct"/>
                  <w:vMerge w:val="continue"/>
                  <w:tcBorders>
                    <w:tl2br w:val="nil"/>
                    <w:tr2bl w:val="nil"/>
                  </w:tcBorders>
                  <w:noWrap w:val="0"/>
                  <w:vAlign w:val="center"/>
                </w:tcPr>
                <w:p w14:paraId="2C2093C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shd w:val="clear" w:color="auto" w:fill="auto"/>
                  <w:noWrap w:val="0"/>
                  <w:vAlign w:val="center"/>
                </w:tcPr>
                <w:p w14:paraId="77C4817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退火炉、加热炉</w:t>
                  </w:r>
                </w:p>
              </w:tc>
              <w:tc>
                <w:tcPr>
                  <w:tcW w:w="891" w:type="pct"/>
                  <w:tcBorders>
                    <w:tl2br w:val="nil"/>
                    <w:tr2bl w:val="nil"/>
                  </w:tcBorders>
                  <w:shd w:val="clear" w:color="auto" w:fill="auto"/>
                  <w:noWrap w:val="0"/>
                  <w:vAlign w:val="center"/>
                </w:tcPr>
                <w:p w14:paraId="3A5FD80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废耐火材料</w:t>
                  </w:r>
                </w:p>
              </w:tc>
              <w:tc>
                <w:tcPr>
                  <w:tcW w:w="1223" w:type="pct"/>
                  <w:tcBorders>
                    <w:tl2br w:val="nil"/>
                    <w:tr2bl w:val="nil"/>
                  </w:tcBorders>
                  <w:shd w:val="clear" w:color="auto" w:fill="auto"/>
                  <w:noWrap w:val="0"/>
                  <w:vAlign w:val="center"/>
                </w:tcPr>
                <w:p w14:paraId="19111312">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耐火材料</w:t>
                  </w:r>
                </w:p>
              </w:tc>
              <w:tc>
                <w:tcPr>
                  <w:tcW w:w="1484" w:type="pct"/>
                  <w:tcBorders>
                    <w:tl2br w:val="nil"/>
                    <w:tr2bl w:val="nil"/>
                  </w:tcBorders>
                  <w:noWrap w:val="0"/>
                  <w:vAlign w:val="center"/>
                </w:tcPr>
                <w:p w14:paraId="629CA7F3">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外售综合利用</w:t>
                  </w:r>
                </w:p>
              </w:tc>
            </w:tr>
            <w:tr w14:paraId="1684A9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365E9B1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shd w:val="clear" w:color="auto" w:fill="auto"/>
                  <w:noWrap w:val="0"/>
                  <w:vAlign w:val="center"/>
                </w:tcPr>
                <w:p w14:paraId="34C28B0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MgO废水处理</w:t>
                  </w:r>
                </w:p>
              </w:tc>
              <w:tc>
                <w:tcPr>
                  <w:tcW w:w="891" w:type="pct"/>
                  <w:tcBorders>
                    <w:tl2br w:val="nil"/>
                    <w:tr2bl w:val="nil"/>
                  </w:tcBorders>
                  <w:shd w:val="clear" w:color="auto" w:fill="auto"/>
                  <w:noWrap w:val="0"/>
                  <w:vAlign w:val="center"/>
                </w:tcPr>
                <w:p w14:paraId="7EAC9BD4">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沉渣</w:t>
                  </w:r>
                </w:p>
              </w:tc>
              <w:tc>
                <w:tcPr>
                  <w:tcW w:w="1223" w:type="pct"/>
                  <w:tcBorders>
                    <w:tl2br w:val="nil"/>
                    <w:tr2bl w:val="nil"/>
                  </w:tcBorders>
                  <w:shd w:val="clear" w:color="auto" w:fill="auto"/>
                  <w:noWrap w:val="0"/>
                  <w:vAlign w:val="center"/>
                </w:tcPr>
                <w:p w14:paraId="683E0784">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MgO</w:t>
                  </w:r>
                </w:p>
              </w:tc>
              <w:tc>
                <w:tcPr>
                  <w:tcW w:w="1484" w:type="pct"/>
                  <w:tcBorders>
                    <w:tl2br w:val="nil"/>
                    <w:tr2bl w:val="nil"/>
                  </w:tcBorders>
                  <w:noWrap w:val="0"/>
                  <w:vAlign w:val="center"/>
                </w:tcPr>
                <w:p w14:paraId="428CDA3D">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外售综合利用</w:t>
                  </w:r>
                </w:p>
              </w:tc>
            </w:tr>
            <w:tr w14:paraId="0593F7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25ED254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shd w:val="clear" w:color="auto" w:fill="auto"/>
                  <w:noWrap w:val="0"/>
                  <w:vAlign w:val="center"/>
                </w:tcPr>
                <w:p w14:paraId="28ABBC6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带钢喷淋冷却清洗</w:t>
                  </w:r>
                </w:p>
              </w:tc>
              <w:tc>
                <w:tcPr>
                  <w:tcW w:w="891" w:type="pct"/>
                  <w:tcBorders>
                    <w:tl2br w:val="nil"/>
                    <w:tr2bl w:val="nil"/>
                  </w:tcBorders>
                  <w:shd w:val="clear" w:color="auto" w:fill="auto"/>
                  <w:noWrap w:val="0"/>
                  <w:vAlign w:val="center"/>
                </w:tcPr>
                <w:p w14:paraId="1AA50C7B">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沉渣</w:t>
                  </w:r>
                </w:p>
              </w:tc>
              <w:tc>
                <w:tcPr>
                  <w:tcW w:w="1223" w:type="pct"/>
                  <w:tcBorders>
                    <w:tl2br w:val="nil"/>
                    <w:tr2bl w:val="nil"/>
                  </w:tcBorders>
                  <w:shd w:val="clear" w:color="auto" w:fill="auto"/>
                  <w:noWrap w:val="0"/>
                  <w:vAlign w:val="center"/>
                </w:tcPr>
                <w:p w14:paraId="14E8ADD6">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氧化铁</w:t>
                  </w:r>
                </w:p>
              </w:tc>
              <w:tc>
                <w:tcPr>
                  <w:tcW w:w="1484" w:type="pct"/>
                  <w:tcBorders>
                    <w:tl2br w:val="nil"/>
                    <w:tr2bl w:val="nil"/>
                  </w:tcBorders>
                  <w:noWrap w:val="0"/>
                  <w:vAlign w:val="center"/>
                </w:tcPr>
                <w:p w14:paraId="1F099A9B">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外售综合利用</w:t>
                  </w:r>
                </w:p>
              </w:tc>
            </w:tr>
            <w:tr w14:paraId="746A4E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72715F5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shd w:val="clear" w:color="auto" w:fill="auto"/>
                  <w:noWrap w:val="0"/>
                  <w:vAlign w:val="center"/>
                </w:tcPr>
                <w:p w14:paraId="7EC5C7B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布袋除尘</w:t>
                  </w:r>
                </w:p>
              </w:tc>
              <w:tc>
                <w:tcPr>
                  <w:tcW w:w="891" w:type="pct"/>
                  <w:tcBorders>
                    <w:tl2br w:val="nil"/>
                    <w:tr2bl w:val="nil"/>
                  </w:tcBorders>
                  <w:shd w:val="clear" w:color="auto" w:fill="auto"/>
                  <w:noWrap w:val="0"/>
                  <w:vAlign w:val="center"/>
                </w:tcPr>
                <w:p w14:paraId="189EC2EE">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除尘灰</w:t>
                  </w:r>
                </w:p>
              </w:tc>
              <w:tc>
                <w:tcPr>
                  <w:tcW w:w="1223" w:type="pct"/>
                  <w:tcBorders>
                    <w:tl2br w:val="nil"/>
                    <w:tr2bl w:val="nil"/>
                  </w:tcBorders>
                  <w:shd w:val="clear" w:color="auto" w:fill="auto"/>
                  <w:noWrap w:val="0"/>
                  <w:vAlign w:val="center"/>
                </w:tcPr>
                <w:p w14:paraId="588DE676">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钢灰</w:t>
                  </w:r>
                </w:p>
              </w:tc>
              <w:tc>
                <w:tcPr>
                  <w:tcW w:w="1484" w:type="pct"/>
                  <w:tcBorders>
                    <w:tl2br w:val="nil"/>
                    <w:tr2bl w:val="nil"/>
                  </w:tcBorders>
                  <w:noWrap w:val="0"/>
                  <w:vAlign w:val="center"/>
                </w:tcPr>
                <w:p w14:paraId="1C3F9653">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外售综合利用</w:t>
                  </w:r>
                </w:p>
              </w:tc>
            </w:tr>
            <w:tr w14:paraId="751ED2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2613C74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shd w:val="clear" w:color="auto" w:fill="auto"/>
                  <w:noWrap w:val="0"/>
                  <w:vAlign w:val="center"/>
                </w:tcPr>
                <w:p w14:paraId="59BC224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脱盐水设备</w:t>
                  </w:r>
                </w:p>
              </w:tc>
              <w:tc>
                <w:tcPr>
                  <w:tcW w:w="891" w:type="pct"/>
                  <w:tcBorders>
                    <w:tl2br w:val="nil"/>
                    <w:tr2bl w:val="nil"/>
                  </w:tcBorders>
                  <w:shd w:val="clear" w:color="auto" w:fill="auto"/>
                  <w:noWrap w:val="0"/>
                  <w:vAlign w:val="center"/>
                </w:tcPr>
                <w:p w14:paraId="7AD981B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废反渗透膜</w:t>
                  </w:r>
                </w:p>
              </w:tc>
              <w:tc>
                <w:tcPr>
                  <w:tcW w:w="1223" w:type="pct"/>
                  <w:tcBorders>
                    <w:tl2br w:val="nil"/>
                    <w:tr2bl w:val="nil"/>
                  </w:tcBorders>
                  <w:shd w:val="clear" w:color="auto" w:fill="auto"/>
                  <w:noWrap w:val="0"/>
                  <w:vAlign w:val="center"/>
                </w:tcPr>
                <w:p w14:paraId="2E35B30D">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废膜</w:t>
                  </w:r>
                </w:p>
              </w:tc>
              <w:tc>
                <w:tcPr>
                  <w:tcW w:w="1484" w:type="pct"/>
                  <w:tcBorders>
                    <w:tl2br w:val="nil"/>
                    <w:tr2bl w:val="nil"/>
                  </w:tcBorders>
                  <w:noWrap w:val="0"/>
                  <w:vAlign w:val="center"/>
                </w:tcPr>
                <w:p w14:paraId="787ED32F">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厂家回收</w:t>
                  </w:r>
                </w:p>
              </w:tc>
            </w:tr>
            <w:tr w14:paraId="7E1980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48203D5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672730D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原材料包装</w:t>
                  </w:r>
                </w:p>
              </w:tc>
              <w:tc>
                <w:tcPr>
                  <w:tcW w:w="891" w:type="pct"/>
                  <w:tcBorders>
                    <w:tl2br w:val="nil"/>
                    <w:tr2bl w:val="nil"/>
                  </w:tcBorders>
                  <w:noWrap w:val="0"/>
                  <w:vAlign w:val="center"/>
                </w:tcPr>
                <w:p w14:paraId="3E4F8D84">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废包装材料</w:t>
                  </w:r>
                </w:p>
              </w:tc>
              <w:tc>
                <w:tcPr>
                  <w:tcW w:w="1223" w:type="pct"/>
                  <w:tcBorders>
                    <w:tl2br w:val="nil"/>
                    <w:tr2bl w:val="nil"/>
                  </w:tcBorders>
                  <w:shd w:val="clear" w:color="auto" w:fill="auto"/>
                  <w:noWrap w:val="0"/>
                  <w:vAlign w:val="center"/>
                </w:tcPr>
                <w:p w14:paraId="3512402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包材</w:t>
                  </w:r>
                </w:p>
              </w:tc>
              <w:tc>
                <w:tcPr>
                  <w:tcW w:w="1484" w:type="pct"/>
                  <w:tcBorders>
                    <w:tl2br w:val="nil"/>
                    <w:tr2bl w:val="nil"/>
                  </w:tcBorders>
                  <w:noWrap w:val="0"/>
                  <w:vAlign w:val="center"/>
                </w:tcPr>
                <w:p w14:paraId="0A3CD8B6">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外售综合利用</w:t>
                  </w:r>
                </w:p>
              </w:tc>
            </w:tr>
            <w:tr w14:paraId="57777E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1E4CCFA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18BC87F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浊循环水系统</w:t>
                  </w:r>
                </w:p>
              </w:tc>
              <w:tc>
                <w:tcPr>
                  <w:tcW w:w="891" w:type="pct"/>
                  <w:tcBorders>
                    <w:tl2br w:val="nil"/>
                    <w:tr2bl w:val="nil"/>
                  </w:tcBorders>
                  <w:noWrap w:val="0"/>
                  <w:vAlign w:val="center"/>
                </w:tcPr>
                <w:p w14:paraId="2389387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废过滤器</w:t>
                  </w:r>
                </w:p>
              </w:tc>
              <w:tc>
                <w:tcPr>
                  <w:tcW w:w="1223" w:type="pct"/>
                  <w:tcBorders>
                    <w:tl2br w:val="nil"/>
                    <w:tr2bl w:val="nil"/>
                  </w:tcBorders>
                  <w:shd w:val="clear" w:color="auto" w:fill="auto"/>
                  <w:noWrap w:val="0"/>
                  <w:vAlign w:val="center"/>
                </w:tcPr>
                <w:p w14:paraId="453ED77F">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石英砂等</w:t>
                  </w:r>
                </w:p>
              </w:tc>
              <w:tc>
                <w:tcPr>
                  <w:tcW w:w="1484" w:type="pct"/>
                  <w:tcBorders>
                    <w:tl2br w:val="nil"/>
                    <w:tr2bl w:val="nil"/>
                  </w:tcBorders>
                  <w:noWrap w:val="0"/>
                  <w:vAlign w:val="center"/>
                </w:tcPr>
                <w:p w14:paraId="424B617F">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外售综合利用</w:t>
                  </w:r>
                </w:p>
              </w:tc>
            </w:tr>
            <w:tr w14:paraId="271E06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6CFE2D6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1627100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脱盐水系统</w:t>
                  </w:r>
                </w:p>
              </w:tc>
              <w:tc>
                <w:tcPr>
                  <w:tcW w:w="891" w:type="pct"/>
                  <w:tcBorders>
                    <w:tl2br w:val="nil"/>
                    <w:tr2bl w:val="nil"/>
                  </w:tcBorders>
                  <w:noWrap w:val="0"/>
                  <w:vAlign w:val="center"/>
                </w:tcPr>
                <w:p w14:paraId="5EDF1677">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废多介质及活性炭过滤器</w:t>
                  </w:r>
                </w:p>
              </w:tc>
              <w:tc>
                <w:tcPr>
                  <w:tcW w:w="1223" w:type="pct"/>
                  <w:tcBorders>
                    <w:tl2br w:val="nil"/>
                    <w:tr2bl w:val="nil"/>
                  </w:tcBorders>
                  <w:shd w:val="clear" w:color="auto" w:fill="auto"/>
                  <w:noWrap w:val="0"/>
                  <w:vAlign w:val="center"/>
                </w:tcPr>
                <w:p w14:paraId="11701A8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石英砂等、活性炭等</w:t>
                  </w:r>
                </w:p>
              </w:tc>
              <w:tc>
                <w:tcPr>
                  <w:tcW w:w="1484" w:type="pct"/>
                  <w:tcBorders>
                    <w:tl2br w:val="nil"/>
                    <w:tr2bl w:val="nil"/>
                  </w:tcBorders>
                  <w:noWrap w:val="0"/>
                  <w:vAlign w:val="center"/>
                </w:tcPr>
                <w:p w14:paraId="75EA7657">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外售综合利用</w:t>
                  </w:r>
                </w:p>
              </w:tc>
            </w:tr>
            <w:tr w14:paraId="030B79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5A19785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6D20DD2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制氮系统</w:t>
                  </w:r>
                </w:p>
              </w:tc>
              <w:tc>
                <w:tcPr>
                  <w:tcW w:w="891" w:type="pct"/>
                  <w:tcBorders>
                    <w:tl2br w:val="nil"/>
                    <w:tr2bl w:val="nil"/>
                  </w:tcBorders>
                  <w:noWrap w:val="0"/>
                  <w:vAlign w:val="center"/>
                </w:tcPr>
                <w:p w14:paraId="119A06D4">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废分子筛</w:t>
                  </w:r>
                </w:p>
              </w:tc>
              <w:tc>
                <w:tcPr>
                  <w:tcW w:w="1223" w:type="pct"/>
                  <w:tcBorders>
                    <w:tl2br w:val="nil"/>
                    <w:tr2bl w:val="nil"/>
                  </w:tcBorders>
                  <w:shd w:val="clear" w:color="auto" w:fill="auto"/>
                  <w:noWrap w:val="0"/>
                  <w:vAlign w:val="center"/>
                </w:tcPr>
                <w:p w14:paraId="158AAFC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氧化铝等</w:t>
                  </w:r>
                </w:p>
              </w:tc>
              <w:tc>
                <w:tcPr>
                  <w:tcW w:w="1484" w:type="pct"/>
                  <w:tcBorders>
                    <w:tl2br w:val="nil"/>
                    <w:tr2bl w:val="nil"/>
                  </w:tcBorders>
                  <w:noWrap w:val="0"/>
                  <w:vAlign w:val="center"/>
                </w:tcPr>
                <w:p w14:paraId="52AB82B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委托第三方处置</w:t>
                  </w:r>
                </w:p>
              </w:tc>
            </w:tr>
            <w:tr w14:paraId="3F3D2D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732AC63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shd w:val="clear" w:color="auto" w:fill="auto"/>
                  <w:noWrap w:val="0"/>
                  <w:vAlign w:val="center"/>
                </w:tcPr>
                <w:p w14:paraId="23615F2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盐酸酸洗</w:t>
                  </w:r>
                </w:p>
              </w:tc>
              <w:tc>
                <w:tcPr>
                  <w:tcW w:w="891" w:type="pct"/>
                  <w:tcBorders>
                    <w:tl2br w:val="nil"/>
                    <w:tr2bl w:val="nil"/>
                  </w:tcBorders>
                  <w:shd w:val="clear" w:color="auto" w:fill="auto"/>
                  <w:noWrap w:val="0"/>
                  <w:vAlign w:val="center"/>
                </w:tcPr>
                <w:p w14:paraId="29FEB5B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废酸洗液S3</w:t>
                  </w:r>
                </w:p>
              </w:tc>
              <w:tc>
                <w:tcPr>
                  <w:tcW w:w="1223" w:type="pct"/>
                  <w:tcBorders>
                    <w:tl2br w:val="nil"/>
                    <w:tr2bl w:val="nil"/>
                  </w:tcBorders>
                  <w:shd w:val="clear" w:color="auto" w:fill="auto"/>
                  <w:noWrap w:val="0"/>
                  <w:vAlign w:val="center"/>
                </w:tcPr>
                <w:p w14:paraId="20ACF59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废酸、废渣</w:t>
                  </w:r>
                </w:p>
              </w:tc>
              <w:tc>
                <w:tcPr>
                  <w:tcW w:w="1484" w:type="pct"/>
                  <w:tcBorders>
                    <w:tl2br w:val="nil"/>
                    <w:tr2bl w:val="nil"/>
                  </w:tcBorders>
                  <w:noWrap w:val="0"/>
                  <w:vAlign w:val="center"/>
                </w:tcPr>
                <w:p w14:paraId="6AC35A34">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废酸再生</w:t>
                  </w:r>
                </w:p>
              </w:tc>
            </w:tr>
            <w:tr w14:paraId="0C4FF2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3ECEC2E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shd w:val="clear" w:color="auto" w:fill="auto"/>
                  <w:noWrap w:val="0"/>
                  <w:vAlign w:val="center"/>
                </w:tcPr>
                <w:p w14:paraId="2AD88F1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废酸再生</w:t>
                  </w:r>
                </w:p>
              </w:tc>
              <w:tc>
                <w:tcPr>
                  <w:tcW w:w="891" w:type="pct"/>
                  <w:tcBorders>
                    <w:tl2br w:val="nil"/>
                    <w:tr2bl w:val="nil"/>
                  </w:tcBorders>
                  <w:shd w:val="clear" w:color="auto" w:fill="auto"/>
                  <w:noWrap w:val="0"/>
                  <w:vAlign w:val="center"/>
                </w:tcPr>
                <w:p w14:paraId="2F4FE21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氧化铁粉</w:t>
                  </w:r>
                </w:p>
              </w:tc>
              <w:tc>
                <w:tcPr>
                  <w:tcW w:w="1223" w:type="pct"/>
                  <w:tcBorders>
                    <w:tl2br w:val="nil"/>
                    <w:tr2bl w:val="nil"/>
                  </w:tcBorders>
                  <w:shd w:val="clear" w:color="auto" w:fill="auto"/>
                  <w:noWrap w:val="0"/>
                  <w:vAlign w:val="center"/>
                </w:tcPr>
                <w:p w14:paraId="2660FA82">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氧化铁</w:t>
                  </w:r>
                </w:p>
              </w:tc>
              <w:tc>
                <w:tcPr>
                  <w:tcW w:w="1484" w:type="pct"/>
                  <w:tcBorders>
                    <w:tl2br w:val="nil"/>
                    <w:tr2bl w:val="nil"/>
                  </w:tcBorders>
                  <w:noWrap w:val="0"/>
                  <w:vAlign w:val="center"/>
                </w:tcPr>
                <w:p w14:paraId="0D73F472">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外售综合利用</w:t>
                  </w:r>
                </w:p>
              </w:tc>
            </w:tr>
            <w:tr w14:paraId="253A20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6D0F80D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shd w:val="clear" w:color="auto" w:fill="auto"/>
                  <w:noWrap w:val="0"/>
                  <w:vAlign w:val="center"/>
                </w:tcPr>
                <w:p w14:paraId="03BED94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废酸再生</w:t>
                  </w:r>
                </w:p>
              </w:tc>
              <w:tc>
                <w:tcPr>
                  <w:tcW w:w="891" w:type="pct"/>
                  <w:tcBorders>
                    <w:tl2br w:val="nil"/>
                    <w:tr2bl w:val="nil"/>
                  </w:tcBorders>
                  <w:shd w:val="clear" w:color="auto" w:fill="auto"/>
                  <w:noWrap w:val="0"/>
                  <w:vAlign w:val="center"/>
                </w:tcPr>
                <w:p w14:paraId="631A6CAC">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滤渣</w:t>
                  </w:r>
                </w:p>
              </w:tc>
              <w:tc>
                <w:tcPr>
                  <w:tcW w:w="1223" w:type="pct"/>
                  <w:tcBorders>
                    <w:tl2br w:val="nil"/>
                    <w:tr2bl w:val="nil"/>
                  </w:tcBorders>
                  <w:shd w:val="clear" w:color="auto" w:fill="auto"/>
                  <w:noWrap w:val="0"/>
                  <w:vAlign w:val="center"/>
                </w:tcPr>
                <w:p w14:paraId="1FB26AB2">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氧化铁、盐酸等</w:t>
                  </w:r>
                </w:p>
              </w:tc>
              <w:tc>
                <w:tcPr>
                  <w:tcW w:w="1484" w:type="pct"/>
                  <w:vMerge w:val="restart"/>
                  <w:tcBorders>
                    <w:tl2br w:val="nil"/>
                    <w:tr2bl w:val="nil"/>
                  </w:tcBorders>
                  <w:noWrap w:val="0"/>
                  <w:vAlign w:val="center"/>
                </w:tcPr>
                <w:p w14:paraId="46E8D97D">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委托有资质单位处置</w:t>
                  </w:r>
                </w:p>
              </w:tc>
            </w:tr>
            <w:tr w14:paraId="6471DD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3015167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shd w:val="clear" w:color="auto" w:fill="auto"/>
                  <w:noWrap w:val="0"/>
                  <w:vAlign w:val="center"/>
                </w:tcPr>
                <w:p w14:paraId="2C68FBF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油雾净化器</w:t>
                  </w:r>
                </w:p>
              </w:tc>
              <w:tc>
                <w:tcPr>
                  <w:tcW w:w="891" w:type="pct"/>
                  <w:tcBorders>
                    <w:tl2br w:val="nil"/>
                    <w:tr2bl w:val="nil"/>
                  </w:tcBorders>
                  <w:shd w:val="clear" w:color="auto" w:fill="auto"/>
                  <w:noWrap w:val="0"/>
                  <w:vAlign w:val="center"/>
                </w:tcPr>
                <w:p w14:paraId="603D96C3">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废油及废滤网</w:t>
                  </w:r>
                </w:p>
              </w:tc>
              <w:tc>
                <w:tcPr>
                  <w:tcW w:w="1223" w:type="pct"/>
                  <w:tcBorders>
                    <w:tl2br w:val="nil"/>
                    <w:tr2bl w:val="nil"/>
                  </w:tcBorders>
                  <w:shd w:val="clear" w:color="auto" w:fill="auto"/>
                  <w:noWrap w:val="0"/>
                  <w:vAlign w:val="center"/>
                </w:tcPr>
                <w:p w14:paraId="30ABF156">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废矿物油</w:t>
                  </w:r>
                </w:p>
              </w:tc>
              <w:tc>
                <w:tcPr>
                  <w:tcW w:w="1484" w:type="pct"/>
                  <w:vMerge w:val="continue"/>
                  <w:tcBorders>
                    <w:tl2br w:val="nil"/>
                    <w:tr2bl w:val="nil"/>
                  </w:tcBorders>
                  <w:noWrap w:val="0"/>
                  <w:vAlign w:val="center"/>
                </w:tcPr>
                <w:p w14:paraId="3EE644BC">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p>
              </w:tc>
            </w:tr>
            <w:tr w14:paraId="5D1165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12EF795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shd w:val="clear" w:color="auto" w:fill="auto"/>
                  <w:noWrap w:val="0"/>
                  <w:vAlign w:val="center"/>
                </w:tcPr>
                <w:p w14:paraId="6AC847D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碱洗</w:t>
                  </w:r>
                </w:p>
              </w:tc>
              <w:tc>
                <w:tcPr>
                  <w:tcW w:w="891" w:type="pct"/>
                  <w:tcBorders>
                    <w:tl2br w:val="nil"/>
                    <w:tr2bl w:val="nil"/>
                  </w:tcBorders>
                  <w:shd w:val="clear" w:color="auto" w:fill="auto"/>
                  <w:noWrap w:val="0"/>
                  <w:vAlign w:val="center"/>
                </w:tcPr>
                <w:p w14:paraId="1FFA7E2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碱洗</w:t>
                  </w:r>
                  <w:r>
                    <w:rPr>
                      <w:rFonts w:hint="eastAsia"/>
                      <w:color w:val="auto"/>
                      <w:sz w:val="18"/>
                      <w:szCs w:val="18"/>
                      <w:highlight w:val="none"/>
                      <w:lang w:val="en-US" w:eastAsia="zh-CN"/>
                    </w:rPr>
                    <w:t>槽槽</w:t>
                  </w:r>
                  <w:r>
                    <w:rPr>
                      <w:rFonts w:hint="eastAsia" w:cs="Times New Roman"/>
                      <w:snapToGrid w:val="0"/>
                      <w:color w:val="auto"/>
                      <w:kern w:val="2"/>
                      <w:sz w:val="18"/>
                      <w:szCs w:val="18"/>
                      <w:highlight w:val="none"/>
                      <w:vertAlign w:val="baseline"/>
                      <w:lang w:val="en-US" w:eastAsia="zh-CN" w:bidi="ar-SA"/>
                    </w:rPr>
                    <w:t>渣S8</w:t>
                  </w:r>
                </w:p>
              </w:tc>
              <w:tc>
                <w:tcPr>
                  <w:tcW w:w="1223" w:type="pct"/>
                  <w:tcBorders>
                    <w:tl2br w:val="nil"/>
                    <w:tr2bl w:val="nil"/>
                  </w:tcBorders>
                  <w:shd w:val="clear" w:color="auto" w:fill="auto"/>
                  <w:noWrap w:val="0"/>
                  <w:vAlign w:val="center"/>
                </w:tcPr>
                <w:p w14:paraId="280C79D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废碱液、废渣</w:t>
                  </w:r>
                </w:p>
              </w:tc>
              <w:tc>
                <w:tcPr>
                  <w:tcW w:w="1484" w:type="pct"/>
                  <w:vMerge w:val="continue"/>
                  <w:tcBorders>
                    <w:tl2br w:val="nil"/>
                    <w:tr2bl w:val="nil"/>
                  </w:tcBorders>
                  <w:noWrap w:val="0"/>
                  <w:vAlign w:val="center"/>
                </w:tcPr>
                <w:p w14:paraId="68307A9B">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cs="Times New Roman"/>
                      <w:snapToGrid w:val="0"/>
                      <w:color w:val="auto"/>
                      <w:kern w:val="2"/>
                      <w:sz w:val="18"/>
                      <w:szCs w:val="18"/>
                      <w:highlight w:val="none"/>
                      <w:vertAlign w:val="baseline"/>
                      <w:lang w:val="en-US" w:eastAsia="zh-CN" w:bidi="ar-SA"/>
                    </w:rPr>
                  </w:pPr>
                </w:p>
              </w:tc>
            </w:tr>
            <w:tr w14:paraId="66494C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747CE21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shd w:val="clear" w:color="auto" w:fill="auto"/>
                  <w:noWrap w:val="0"/>
                  <w:vAlign w:val="center"/>
                </w:tcPr>
                <w:p w14:paraId="276E3D4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硫酸酸洗</w:t>
                  </w:r>
                </w:p>
              </w:tc>
              <w:tc>
                <w:tcPr>
                  <w:tcW w:w="891" w:type="pct"/>
                  <w:tcBorders>
                    <w:tl2br w:val="nil"/>
                    <w:tr2bl w:val="nil"/>
                  </w:tcBorders>
                  <w:shd w:val="clear" w:color="auto" w:fill="auto"/>
                  <w:noWrap w:val="0"/>
                  <w:vAlign w:val="center"/>
                </w:tcPr>
                <w:p w14:paraId="309B4383">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酸洗</w:t>
                  </w:r>
                  <w:r>
                    <w:rPr>
                      <w:rFonts w:hint="eastAsia"/>
                      <w:color w:val="auto"/>
                      <w:sz w:val="18"/>
                      <w:szCs w:val="18"/>
                      <w:highlight w:val="none"/>
                      <w:lang w:val="en-US" w:eastAsia="zh-CN"/>
                    </w:rPr>
                    <w:t>槽槽</w:t>
                  </w:r>
                  <w:r>
                    <w:rPr>
                      <w:rFonts w:hint="eastAsia" w:cs="Times New Roman"/>
                      <w:snapToGrid w:val="0"/>
                      <w:color w:val="auto"/>
                      <w:kern w:val="2"/>
                      <w:sz w:val="18"/>
                      <w:szCs w:val="18"/>
                      <w:highlight w:val="none"/>
                      <w:vertAlign w:val="baseline"/>
                      <w:lang w:val="en-US" w:eastAsia="zh-CN" w:bidi="ar-SA"/>
                    </w:rPr>
                    <w:t>渣S10</w:t>
                  </w:r>
                </w:p>
              </w:tc>
              <w:tc>
                <w:tcPr>
                  <w:tcW w:w="1223" w:type="pct"/>
                  <w:tcBorders>
                    <w:tl2br w:val="nil"/>
                    <w:tr2bl w:val="nil"/>
                  </w:tcBorders>
                  <w:shd w:val="clear" w:color="auto" w:fill="auto"/>
                  <w:noWrap w:val="0"/>
                  <w:vAlign w:val="center"/>
                </w:tcPr>
                <w:p w14:paraId="0008CB02">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废酸、废渣</w:t>
                  </w:r>
                </w:p>
              </w:tc>
              <w:tc>
                <w:tcPr>
                  <w:tcW w:w="1484" w:type="pct"/>
                  <w:vMerge w:val="continue"/>
                  <w:tcBorders>
                    <w:tl2br w:val="nil"/>
                    <w:tr2bl w:val="nil"/>
                  </w:tcBorders>
                  <w:noWrap w:val="0"/>
                  <w:vAlign w:val="center"/>
                </w:tcPr>
                <w:p w14:paraId="5FCFEE44">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cs="Times New Roman"/>
                      <w:snapToGrid w:val="0"/>
                      <w:color w:val="auto"/>
                      <w:kern w:val="2"/>
                      <w:sz w:val="18"/>
                      <w:szCs w:val="18"/>
                      <w:highlight w:val="none"/>
                      <w:vertAlign w:val="baseline"/>
                      <w:lang w:val="en-US" w:eastAsia="zh-CN" w:bidi="ar-SA"/>
                    </w:rPr>
                  </w:pPr>
                </w:p>
              </w:tc>
            </w:tr>
            <w:tr w14:paraId="29E68B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2B53E07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shd w:val="clear" w:color="auto" w:fill="auto"/>
                  <w:noWrap w:val="0"/>
                  <w:vAlign w:val="center"/>
                </w:tcPr>
                <w:p w14:paraId="38CB66B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碱性含油废水处理站</w:t>
                  </w:r>
                </w:p>
              </w:tc>
              <w:tc>
                <w:tcPr>
                  <w:tcW w:w="891" w:type="pct"/>
                  <w:tcBorders>
                    <w:tl2br w:val="nil"/>
                    <w:tr2bl w:val="nil"/>
                  </w:tcBorders>
                  <w:shd w:val="clear" w:color="auto" w:fill="auto"/>
                  <w:noWrap w:val="0"/>
                  <w:vAlign w:val="center"/>
                </w:tcPr>
                <w:p w14:paraId="50DD8773">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隔油池废油及污泥</w:t>
                  </w:r>
                </w:p>
              </w:tc>
              <w:tc>
                <w:tcPr>
                  <w:tcW w:w="1223" w:type="pct"/>
                  <w:tcBorders>
                    <w:tl2br w:val="nil"/>
                    <w:tr2bl w:val="nil"/>
                  </w:tcBorders>
                  <w:shd w:val="clear" w:color="auto" w:fill="auto"/>
                  <w:noWrap w:val="0"/>
                  <w:vAlign w:val="center"/>
                </w:tcPr>
                <w:p w14:paraId="554FC36B">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废矿物油</w:t>
                  </w:r>
                </w:p>
              </w:tc>
              <w:tc>
                <w:tcPr>
                  <w:tcW w:w="1484" w:type="pct"/>
                  <w:vMerge w:val="continue"/>
                  <w:tcBorders>
                    <w:tl2br w:val="nil"/>
                    <w:tr2bl w:val="nil"/>
                  </w:tcBorders>
                  <w:noWrap w:val="0"/>
                  <w:vAlign w:val="center"/>
                </w:tcPr>
                <w:p w14:paraId="72AB8889">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cs="Times New Roman"/>
                      <w:snapToGrid w:val="0"/>
                      <w:color w:val="auto"/>
                      <w:kern w:val="2"/>
                      <w:sz w:val="18"/>
                      <w:szCs w:val="18"/>
                      <w:highlight w:val="none"/>
                      <w:vertAlign w:val="baseline"/>
                      <w:lang w:val="en-US" w:eastAsia="zh-CN" w:bidi="ar-SA"/>
                    </w:rPr>
                  </w:pPr>
                </w:p>
              </w:tc>
            </w:tr>
            <w:tr w14:paraId="52C5C8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17E109B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shd w:val="clear" w:color="auto" w:fill="auto"/>
                  <w:noWrap w:val="0"/>
                  <w:vAlign w:val="center"/>
                </w:tcPr>
                <w:p w14:paraId="732997B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酸性废水处理站</w:t>
                  </w:r>
                </w:p>
              </w:tc>
              <w:tc>
                <w:tcPr>
                  <w:tcW w:w="891" w:type="pct"/>
                  <w:tcBorders>
                    <w:tl2br w:val="nil"/>
                    <w:tr2bl w:val="nil"/>
                  </w:tcBorders>
                  <w:shd w:val="clear" w:color="auto" w:fill="auto"/>
                  <w:noWrap w:val="0"/>
                  <w:vAlign w:val="center"/>
                </w:tcPr>
                <w:p w14:paraId="3134B69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污泥</w:t>
                  </w:r>
                </w:p>
              </w:tc>
              <w:tc>
                <w:tcPr>
                  <w:tcW w:w="1223" w:type="pct"/>
                  <w:tcBorders>
                    <w:tl2br w:val="nil"/>
                    <w:tr2bl w:val="nil"/>
                  </w:tcBorders>
                  <w:shd w:val="clear" w:color="auto" w:fill="auto"/>
                  <w:noWrap w:val="0"/>
                  <w:vAlign w:val="center"/>
                </w:tcPr>
                <w:p w14:paraId="4AD53C44">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废酸、废碱、废油</w:t>
                  </w:r>
                </w:p>
              </w:tc>
              <w:tc>
                <w:tcPr>
                  <w:tcW w:w="1484" w:type="pct"/>
                  <w:vMerge w:val="continue"/>
                  <w:tcBorders>
                    <w:tl2br w:val="nil"/>
                    <w:tr2bl w:val="nil"/>
                  </w:tcBorders>
                  <w:noWrap w:val="0"/>
                  <w:vAlign w:val="center"/>
                </w:tcPr>
                <w:p w14:paraId="3AFD9FB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cs="Times New Roman"/>
                      <w:snapToGrid w:val="0"/>
                      <w:color w:val="auto"/>
                      <w:kern w:val="2"/>
                      <w:sz w:val="18"/>
                      <w:szCs w:val="18"/>
                      <w:highlight w:val="none"/>
                      <w:vertAlign w:val="baseline"/>
                      <w:lang w:val="en-US" w:eastAsia="zh-CN" w:bidi="ar-SA"/>
                    </w:rPr>
                  </w:pPr>
                </w:p>
              </w:tc>
            </w:tr>
            <w:tr w14:paraId="125DDB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0E36FD1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vMerge w:val="restart"/>
                  <w:tcBorders>
                    <w:tl2br w:val="nil"/>
                    <w:tr2bl w:val="nil"/>
                  </w:tcBorders>
                  <w:noWrap w:val="0"/>
                  <w:vAlign w:val="center"/>
                </w:tcPr>
                <w:p w14:paraId="23345F9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设备维护检修</w:t>
                  </w:r>
                </w:p>
              </w:tc>
              <w:tc>
                <w:tcPr>
                  <w:tcW w:w="891" w:type="pct"/>
                  <w:tcBorders>
                    <w:tl2br w:val="nil"/>
                    <w:tr2bl w:val="nil"/>
                  </w:tcBorders>
                  <w:noWrap w:val="0"/>
                  <w:vAlign w:val="center"/>
                </w:tcPr>
                <w:p w14:paraId="2F6AF6C8">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废液压油</w:t>
                  </w:r>
                </w:p>
              </w:tc>
              <w:tc>
                <w:tcPr>
                  <w:tcW w:w="1223" w:type="pct"/>
                  <w:tcBorders>
                    <w:tl2br w:val="nil"/>
                    <w:tr2bl w:val="nil"/>
                  </w:tcBorders>
                  <w:shd w:val="clear" w:color="auto" w:fill="auto"/>
                  <w:noWrap w:val="0"/>
                  <w:vAlign w:val="center"/>
                </w:tcPr>
                <w:p w14:paraId="0D6E264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废矿物油</w:t>
                  </w:r>
                </w:p>
              </w:tc>
              <w:tc>
                <w:tcPr>
                  <w:tcW w:w="1484" w:type="pct"/>
                  <w:vMerge w:val="continue"/>
                  <w:tcBorders>
                    <w:tl2br w:val="nil"/>
                    <w:tr2bl w:val="nil"/>
                  </w:tcBorders>
                  <w:noWrap w:val="0"/>
                  <w:vAlign w:val="center"/>
                </w:tcPr>
                <w:p w14:paraId="050F2A98">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cs="Times New Roman"/>
                      <w:snapToGrid w:val="0"/>
                      <w:color w:val="auto"/>
                      <w:kern w:val="2"/>
                      <w:sz w:val="18"/>
                      <w:szCs w:val="18"/>
                      <w:highlight w:val="none"/>
                      <w:vertAlign w:val="baseline"/>
                      <w:lang w:val="en-US" w:eastAsia="zh-CN" w:bidi="ar-SA"/>
                    </w:rPr>
                  </w:pPr>
                </w:p>
              </w:tc>
            </w:tr>
            <w:tr w14:paraId="1BCDC1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6C149E5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vMerge w:val="continue"/>
                  <w:tcBorders>
                    <w:tl2br w:val="nil"/>
                    <w:tr2bl w:val="nil"/>
                  </w:tcBorders>
                  <w:noWrap w:val="0"/>
                  <w:vAlign w:val="center"/>
                </w:tcPr>
                <w:p w14:paraId="28A5CAE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45C0C403">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废齿轮油</w:t>
                  </w:r>
                </w:p>
              </w:tc>
              <w:tc>
                <w:tcPr>
                  <w:tcW w:w="1223" w:type="pct"/>
                  <w:tcBorders>
                    <w:tl2br w:val="nil"/>
                    <w:tr2bl w:val="nil"/>
                  </w:tcBorders>
                  <w:shd w:val="clear" w:color="auto" w:fill="auto"/>
                  <w:noWrap w:val="0"/>
                  <w:vAlign w:val="center"/>
                </w:tcPr>
                <w:p w14:paraId="5B8546C4">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废矿物油</w:t>
                  </w:r>
                </w:p>
              </w:tc>
              <w:tc>
                <w:tcPr>
                  <w:tcW w:w="1484" w:type="pct"/>
                  <w:vMerge w:val="continue"/>
                  <w:tcBorders>
                    <w:tl2br w:val="nil"/>
                    <w:tr2bl w:val="nil"/>
                  </w:tcBorders>
                  <w:noWrap w:val="0"/>
                  <w:vAlign w:val="center"/>
                </w:tcPr>
                <w:p w14:paraId="2ADF1A61">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p>
              </w:tc>
            </w:tr>
            <w:tr w14:paraId="5B9BD5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0E090E9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vMerge w:val="continue"/>
                  <w:tcBorders>
                    <w:tl2br w:val="nil"/>
                    <w:tr2bl w:val="nil"/>
                  </w:tcBorders>
                  <w:noWrap w:val="0"/>
                  <w:vAlign w:val="center"/>
                </w:tcPr>
                <w:p w14:paraId="6CF0232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00CB717C">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废油桶</w:t>
                  </w:r>
                </w:p>
              </w:tc>
              <w:tc>
                <w:tcPr>
                  <w:tcW w:w="1223" w:type="pct"/>
                  <w:tcBorders>
                    <w:tl2br w:val="nil"/>
                    <w:tr2bl w:val="nil"/>
                  </w:tcBorders>
                  <w:shd w:val="clear" w:color="auto" w:fill="auto"/>
                  <w:noWrap w:val="0"/>
                  <w:vAlign w:val="center"/>
                </w:tcPr>
                <w:p w14:paraId="357AC08C">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废矿物油、油桶</w:t>
                  </w:r>
                </w:p>
              </w:tc>
              <w:tc>
                <w:tcPr>
                  <w:tcW w:w="1484" w:type="pct"/>
                  <w:vMerge w:val="continue"/>
                  <w:tcBorders>
                    <w:tl2br w:val="nil"/>
                    <w:tr2bl w:val="nil"/>
                  </w:tcBorders>
                  <w:noWrap w:val="0"/>
                  <w:vAlign w:val="center"/>
                </w:tcPr>
                <w:p w14:paraId="01545203">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cs="Times New Roman"/>
                      <w:snapToGrid w:val="0"/>
                      <w:color w:val="auto"/>
                      <w:kern w:val="2"/>
                      <w:sz w:val="18"/>
                      <w:szCs w:val="18"/>
                      <w:highlight w:val="none"/>
                      <w:vertAlign w:val="baseline"/>
                      <w:lang w:val="en-US" w:eastAsia="zh-CN" w:bidi="ar-SA"/>
                    </w:rPr>
                  </w:pPr>
                </w:p>
              </w:tc>
            </w:tr>
            <w:tr w14:paraId="77D23E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2F29466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vMerge w:val="continue"/>
                  <w:tcBorders>
                    <w:tl2br w:val="nil"/>
                    <w:tr2bl w:val="nil"/>
                  </w:tcBorders>
                  <w:noWrap w:val="0"/>
                  <w:vAlign w:val="center"/>
                </w:tcPr>
                <w:p w14:paraId="3C9BD32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7106C5D6">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废弃的含油抹布和劳保用品</w:t>
                  </w:r>
                </w:p>
              </w:tc>
              <w:tc>
                <w:tcPr>
                  <w:tcW w:w="1223" w:type="pct"/>
                  <w:tcBorders>
                    <w:tl2br w:val="nil"/>
                    <w:tr2bl w:val="nil"/>
                  </w:tcBorders>
                  <w:shd w:val="clear" w:color="auto" w:fill="auto"/>
                  <w:noWrap w:val="0"/>
                  <w:vAlign w:val="center"/>
                </w:tcPr>
                <w:p w14:paraId="4A80FE9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废矿物油、抹布、手套等</w:t>
                  </w:r>
                </w:p>
              </w:tc>
              <w:tc>
                <w:tcPr>
                  <w:tcW w:w="1484" w:type="pct"/>
                  <w:vMerge w:val="continue"/>
                  <w:tcBorders>
                    <w:tl2br w:val="nil"/>
                    <w:tr2bl w:val="nil"/>
                  </w:tcBorders>
                  <w:noWrap w:val="0"/>
                  <w:vAlign w:val="center"/>
                </w:tcPr>
                <w:p w14:paraId="09A297A2">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cs="Times New Roman"/>
                      <w:snapToGrid w:val="0"/>
                      <w:color w:val="auto"/>
                      <w:kern w:val="2"/>
                      <w:sz w:val="18"/>
                      <w:szCs w:val="18"/>
                      <w:highlight w:val="none"/>
                      <w:vertAlign w:val="baseline"/>
                      <w:lang w:val="en-US" w:eastAsia="zh-CN" w:bidi="ar-SA"/>
                    </w:rPr>
                  </w:pPr>
                </w:p>
              </w:tc>
            </w:tr>
            <w:tr w14:paraId="39A1DF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7E6C0BC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4BC9D96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制氮系统</w:t>
                  </w:r>
                </w:p>
              </w:tc>
              <w:tc>
                <w:tcPr>
                  <w:tcW w:w="891" w:type="pct"/>
                  <w:tcBorders>
                    <w:tl2br w:val="nil"/>
                    <w:tr2bl w:val="nil"/>
                  </w:tcBorders>
                  <w:noWrap w:val="0"/>
                  <w:vAlign w:val="center"/>
                </w:tcPr>
                <w:p w14:paraId="7B4AC0C6">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废透平油</w:t>
                  </w:r>
                </w:p>
              </w:tc>
              <w:tc>
                <w:tcPr>
                  <w:tcW w:w="1223" w:type="pct"/>
                  <w:tcBorders>
                    <w:tl2br w:val="nil"/>
                    <w:tr2bl w:val="nil"/>
                  </w:tcBorders>
                  <w:shd w:val="clear" w:color="auto" w:fill="auto"/>
                  <w:noWrap w:val="0"/>
                  <w:vAlign w:val="center"/>
                </w:tcPr>
                <w:p w14:paraId="4CBBADC1">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废矿物油</w:t>
                  </w:r>
                </w:p>
              </w:tc>
              <w:tc>
                <w:tcPr>
                  <w:tcW w:w="1484" w:type="pct"/>
                  <w:vMerge w:val="continue"/>
                  <w:tcBorders>
                    <w:tl2br w:val="nil"/>
                    <w:tr2bl w:val="nil"/>
                  </w:tcBorders>
                  <w:noWrap w:val="0"/>
                  <w:vAlign w:val="center"/>
                </w:tcPr>
                <w:p w14:paraId="488F66E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cs="Times New Roman"/>
                      <w:snapToGrid w:val="0"/>
                      <w:color w:val="auto"/>
                      <w:kern w:val="2"/>
                      <w:sz w:val="18"/>
                      <w:szCs w:val="18"/>
                      <w:highlight w:val="none"/>
                      <w:vertAlign w:val="baseline"/>
                      <w:lang w:val="en-US" w:eastAsia="zh-CN" w:bidi="ar-SA"/>
                    </w:rPr>
                  </w:pPr>
                </w:p>
              </w:tc>
            </w:tr>
            <w:tr w14:paraId="6806FE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9" w:type="pct"/>
                  <w:vMerge w:val="continue"/>
                  <w:tcBorders>
                    <w:tl2br w:val="nil"/>
                    <w:tr2bl w:val="nil"/>
                  </w:tcBorders>
                  <w:noWrap w:val="0"/>
                  <w:vAlign w:val="center"/>
                </w:tcPr>
                <w:p w14:paraId="3F13AAC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sz w:val="18"/>
                      <w:szCs w:val="18"/>
                      <w:highlight w:val="none"/>
                      <w:vertAlign w:val="baseline"/>
                      <w:lang w:val="en-US" w:eastAsia="zh-CN"/>
                    </w:rPr>
                  </w:pPr>
                </w:p>
              </w:tc>
              <w:tc>
                <w:tcPr>
                  <w:tcW w:w="891" w:type="pct"/>
                  <w:tcBorders>
                    <w:tl2br w:val="nil"/>
                    <w:tr2bl w:val="nil"/>
                  </w:tcBorders>
                  <w:noWrap w:val="0"/>
                  <w:vAlign w:val="center"/>
                </w:tcPr>
                <w:p w14:paraId="2ECB15C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职工生活</w:t>
                  </w:r>
                </w:p>
              </w:tc>
              <w:tc>
                <w:tcPr>
                  <w:tcW w:w="891" w:type="pct"/>
                  <w:tcBorders>
                    <w:tl2br w:val="nil"/>
                    <w:tr2bl w:val="nil"/>
                  </w:tcBorders>
                  <w:noWrap w:val="0"/>
                  <w:vAlign w:val="center"/>
                </w:tcPr>
                <w:p w14:paraId="32F45A9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生活垃圾</w:t>
                  </w:r>
                </w:p>
              </w:tc>
              <w:tc>
                <w:tcPr>
                  <w:tcW w:w="1223" w:type="pct"/>
                  <w:tcBorders>
                    <w:tl2br w:val="nil"/>
                    <w:tr2bl w:val="nil"/>
                  </w:tcBorders>
                  <w:shd w:val="clear" w:color="auto" w:fill="auto"/>
                  <w:noWrap w:val="0"/>
                  <w:vAlign w:val="center"/>
                </w:tcPr>
                <w:p w14:paraId="58F8EC97">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果皮纸屑等</w:t>
                  </w:r>
                </w:p>
              </w:tc>
              <w:tc>
                <w:tcPr>
                  <w:tcW w:w="1484" w:type="pct"/>
                  <w:tcBorders>
                    <w:tl2br w:val="nil"/>
                    <w:tr2bl w:val="nil"/>
                  </w:tcBorders>
                  <w:noWrap w:val="0"/>
                  <w:vAlign w:val="center"/>
                </w:tcPr>
                <w:p w14:paraId="51D05FF7">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环卫部门清运</w:t>
                  </w:r>
                </w:p>
              </w:tc>
            </w:tr>
          </w:tbl>
          <w:p w14:paraId="543F9386">
            <w:pPr>
              <w:pStyle w:val="4"/>
              <w:rPr>
                <w:rFonts w:hint="eastAsia"/>
                <w:color w:val="auto"/>
                <w:lang w:val="en-US" w:eastAsia="zh-CN"/>
              </w:rPr>
            </w:pPr>
          </w:p>
        </w:tc>
      </w:tr>
      <w:tr w14:paraId="34497B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0" w:hRule="atLeast"/>
          <w:jc w:val="center"/>
        </w:trPr>
        <w:tc>
          <w:tcPr>
            <w:tcW w:w="434" w:type="dxa"/>
            <w:noWrap w:val="0"/>
            <w:vAlign w:val="center"/>
          </w:tcPr>
          <w:p w14:paraId="4498469F">
            <w:pPr>
              <w:pStyle w:val="29"/>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与项目有关的原有环境污染问题</w:t>
            </w:r>
          </w:p>
          <w:p w14:paraId="13B3C749">
            <w:pPr>
              <w:pStyle w:val="29"/>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firstLine="0" w:firstLineChars="0"/>
              <w:jc w:val="both"/>
              <w:textAlignment w:val="auto"/>
              <w:rPr>
                <w:rFonts w:hint="default" w:ascii="Times New Roman" w:hAnsi="Times New Roman" w:eastAsia="宋体" w:cs="Times New Roman"/>
                <w:color w:val="auto"/>
                <w:sz w:val="24"/>
                <w:szCs w:val="24"/>
              </w:rPr>
            </w:pPr>
          </w:p>
        </w:tc>
        <w:tc>
          <w:tcPr>
            <w:tcW w:w="8626" w:type="dxa"/>
            <w:noWrap w:val="0"/>
            <w:vAlign w:val="top"/>
          </w:tcPr>
          <w:p w14:paraId="5C725CA6">
            <w:pPr>
              <w:spacing w:line="360" w:lineRule="auto"/>
              <w:jc w:val="center"/>
              <w:rPr>
                <w:rFonts w:ascii="Times New Roman" w:hAnsi="Times New Roman" w:eastAsia="黑体"/>
                <w:bCs/>
                <w:color w:val="auto"/>
                <w:spacing w:val="2"/>
                <w:sz w:val="21"/>
                <w:szCs w:val="21"/>
              </w:rPr>
            </w:pPr>
          </w:p>
          <w:p w14:paraId="17AC134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contextualSpacing/>
              <w:jc w:val="both"/>
              <w:textAlignment w:val="auto"/>
              <w:rPr>
                <w:rFonts w:hint="default"/>
                <w:b w:val="0"/>
                <w:bCs w:val="0"/>
                <w:color w:val="auto"/>
                <w:sz w:val="21"/>
                <w:szCs w:val="21"/>
                <w:lang w:val="en-US" w:eastAsia="zh-CN"/>
              </w:rPr>
            </w:pPr>
            <w:r>
              <w:rPr>
                <w:rFonts w:hint="eastAsia" w:ascii="Times New Roman" w:hAnsi="Times New Roman" w:eastAsia="宋体" w:cs="Times New Roman"/>
                <w:color w:val="auto"/>
                <w:sz w:val="21"/>
                <w:szCs w:val="21"/>
                <w:lang w:eastAsia="zh-CN"/>
              </w:rPr>
              <w:t>本项目位于</w:t>
            </w:r>
            <w:r>
              <w:rPr>
                <w:rFonts w:hint="default" w:ascii="Times New Roman" w:hAnsi="Times New Roman" w:cs="Times New Roman"/>
                <w:color w:val="auto"/>
                <w:szCs w:val="21"/>
                <w:highlight w:val="none"/>
                <w:u w:val="none"/>
                <w:lang w:val="en-US" w:eastAsia="zh-CN"/>
              </w:rPr>
              <w:t>昌吉高新技术产业开发区科技大道以北、经六路以西</w:t>
            </w:r>
            <w:r>
              <w:rPr>
                <w:rFonts w:hint="eastAsia"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lang w:eastAsia="zh-CN"/>
              </w:rPr>
              <w:t>属于新建项目，</w:t>
            </w:r>
            <w:r>
              <w:rPr>
                <w:rFonts w:hint="eastAsia" w:ascii="Times New Roman" w:hAnsi="Times New Roman" w:eastAsia="宋体" w:cs="Times New Roman"/>
                <w:color w:val="auto"/>
                <w:sz w:val="21"/>
                <w:szCs w:val="21"/>
                <w:lang w:val="en-US" w:eastAsia="zh-CN"/>
              </w:rPr>
              <w:t>项目所在位置目前为空地，</w:t>
            </w:r>
            <w:r>
              <w:rPr>
                <w:rFonts w:hint="eastAsia" w:ascii="Times New Roman" w:hAnsi="Times New Roman" w:eastAsia="宋体" w:cs="Times New Roman"/>
                <w:color w:val="auto"/>
                <w:sz w:val="21"/>
                <w:szCs w:val="21"/>
                <w:lang w:eastAsia="zh-CN"/>
              </w:rPr>
              <w:t>无原有遗留环境问题</w:t>
            </w:r>
            <w:r>
              <w:rPr>
                <w:rFonts w:hint="eastAsia" w:ascii="Times New Roman" w:hAnsi="Times New Roman" w:eastAsia="宋体" w:cs="Times New Roman"/>
                <w:color w:val="auto"/>
                <w:sz w:val="21"/>
                <w:szCs w:val="21"/>
                <w:highlight w:val="none"/>
                <w:lang w:eastAsia="zh-CN"/>
              </w:rPr>
              <w:t>。</w:t>
            </w:r>
          </w:p>
        </w:tc>
      </w:tr>
    </w:tbl>
    <w:p w14:paraId="24725122">
      <w:pPr>
        <w:pStyle w:val="29"/>
        <w:jc w:val="center"/>
        <w:rPr>
          <w:rFonts w:hint="default" w:ascii="Times New Roman" w:hAnsi="Times New Roman" w:eastAsia="黑体" w:cs="Times New Roman"/>
          <w:snapToGrid w:val="0"/>
          <w:color w:val="auto"/>
          <w:sz w:val="36"/>
          <w:szCs w:val="36"/>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0FBA3D79">
      <w:pPr>
        <w:pStyle w:val="29"/>
        <w:jc w:val="center"/>
        <w:outlineLvl w:val="0"/>
        <w:rPr>
          <w:rFonts w:hint="default" w:ascii="Times New Roman" w:hAnsi="Times New Roman" w:eastAsia="黑体" w:cs="Times New Roman"/>
          <w:snapToGrid w:val="0"/>
          <w:color w:val="auto"/>
          <w:sz w:val="30"/>
          <w:szCs w:val="30"/>
        </w:rPr>
      </w:pPr>
      <w:bookmarkStart w:id="5" w:name="_Toc20563"/>
      <w:r>
        <w:rPr>
          <w:rFonts w:hint="default" w:ascii="Times New Roman" w:hAnsi="Times New Roman" w:eastAsia="黑体" w:cs="Times New Roman"/>
          <w:snapToGrid w:val="0"/>
          <w:color w:val="auto"/>
          <w:sz w:val="30"/>
          <w:szCs w:val="30"/>
        </w:rPr>
        <w:t>三、区域环境质量现状、环境保护目标及评价标准</w:t>
      </w:r>
      <w:bookmarkEnd w:id="5"/>
    </w:p>
    <w:tbl>
      <w:tblPr>
        <w:tblStyle w:val="3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78"/>
        <w:gridCol w:w="8483"/>
      </w:tblGrid>
      <w:tr w14:paraId="591FDC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677" w:type="dxa"/>
            <w:noWrap w:val="0"/>
            <w:vAlign w:val="center"/>
          </w:tcPr>
          <w:p w14:paraId="3A892467">
            <w:pPr>
              <w:adjustRightInd w:val="0"/>
              <w:snapToGrid w:val="0"/>
              <w:jc w:val="center"/>
              <w:rPr>
                <w:rFonts w:hint="default" w:ascii="Times New Roman" w:hAnsi="Times New Roman" w:eastAsia="宋体" w:cs="Times New Roman"/>
                <w:color w:val="auto"/>
                <w:kern w:val="0"/>
                <w:sz w:val="21"/>
                <w:szCs w:val="21"/>
              </w:rPr>
            </w:pPr>
          </w:p>
          <w:p w14:paraId="30DD284D">
            <w:pPr>
              <w:adjustRightInd w:val="0"/>
              <w:snapToGrid w:val="0"/>
              <w:jc w:val="center"/>
              <w:rPr>
                <w:rFonts w:hint="default" w:ascii="Times New Roman" w:hAnsi="Times New Roman" w:eastAsia="宋体" w:cs="Times New Roman"/>
                <w:color w:val="auto"/>
                <w:kern w:val="0"/>
                <w:sz w:val="21"/>
                <w:szCs w:val="21"/>
              </w:rPr>
            </w:pPr>
          </w:p>
          <w:p w14:paraId="1FB259E1">
            <w:pPr>
              <w:adjustRightInd w:val="0"/>
              <w:snapToGrid w:val="0"/>
              <w:jc w:val="center"/>
              <w:rPr>
                <w:rFonts w:hint="default" w:ascii="Times New Roman" w:hAnsi="Times New Roman" w:eastAsia="宋体" w:cs="Times New Roman"/>
                <w:color w:val="auto"/>
                <w:kern w:val="0"/>
                <w:sz w:val="21"/>
                <w:szCs w:val="21"/>
              </w:rPr>
            </w:pPr>
          </w:p>
          <w:p w14:paraId="3DEBE9E9">
            <w:pPr>
              <w:adjustRightInd w:val="0"/>
              <w:snapToGrid w:val="0"/>
              <w:jc w:val="center"/>
              <w:rPr>
                <w:rFonts w:hint="default" w:ascii="Times New Roman" w:hAnsi="Times New Roman" w:eastAsia="宋体" w:cs="Times New Roman"/>
                <w:color w:val="auto"/>
                <w:kern w:val="0"/>
                <w:sz w:val="21"/>
                <w:szCs w:val="21"/>
              </w:rPr>
            </w:pPr>
          </w:p>
          <w:p w14:paraId="014CF3D5">
            <w:pPr>
              <w:adjustRightInd w:val="0"/>
              <w:snapToGrid w:val="0"/>
              <w:jc w:val="center"/>
              <w:rPr>
                <w:rFonts w:hint="default" w:ascii="Times New Roman" w:hAnsi="Times New Roman" w:eastAsia="宋体" w:cs="Times New Roman"/>
                <w:color w:val="auto"/>
                <w:kern w:val="0"/>
                <w:sz w:val="21"/>
                <w:szCs w:val="21"/>
              </w:rPr>
            </w:pPr>
          </w:p>
          <w:p w14:paraId="06F4A478">
            <w:pPr>
              <w:adjustRightInd w:val="0"/>
              <w:snapToGrid w:val="0"/>
              <w:jc w:val="center"/>
              <w:rPr>
                <w:rFonts w:hint="default" w:ascii="Times New Roman" w:hAnsi="Times New Roman" w:eastAsia="宋体" w:cs="Times New Roman"/>
                <w:color w:val="auto"/>
                <w:kern w:val="0"/>
                <w:sz w:val="21"/>
                <w:szCs w:val="21"/>
              </w:rPr>
            </w:pPr>
          </w:p>
          <w:p w14:paraId="4CFA63A4">
            <w:pPr>
              <w:adjustRightInd w:val="0"/>
              <w:snapToGrid w:val="0"/>
              <w:jc w:val="center"/>
              <w:rPr>
                <w:rFonts w:hint="default" w:ascii="Times New Roman" w:hAnsi="Times New Roman" w:eastAsia="宋体" w:cs="Times New Roman"/>
                <w:color w:val="auto"/>
                <w:kern w:val="0"/>
                <w:sz w:val="21"/>
                <w:szCs w:val="21"/>
              </w:rPr>
            </w:pPr>
          </w:p>
          <w:p w14:paraId="504C7C93">
            <w:pPr>
              <w:adjustRightInd w:val="0"/>
              <w:snapToGrid w:val="0"/>
              <w:jc w:val="center"/>
              <w:rPr>
                <w:rFonts w:hint="default" w:ascii="Times New Roman" w:hAnsi="Times New Roman" w:eastAsia="宋体" w:cs="Times New Roman"/>
                <w:color w:val="auto"/>
                <w:kern w:val="0"/>
                <w:sz w:val="21"/>
                <w:szCs w:val="21"/>
              </w:rPr>
            </w:pPr>
          </w:p>
          <w:p w14:paraId="10F576A2">
            <w:pPr>
              <w:adjustRightInd w:val="0"/>
              <w:snapToGrid w:val="0"/>
              <w:jc w:val="center"/>
              <w:rPr>
                <w:rFonts w:hint="default" w:ascii="Times New Roman" w:hAnsi="Times New Roman" w:eastAsia="宋体" w:cs="Times New Roman"/>
                <w:color w:val="auto"/>
                <w:kern w:val="0"/>
                <w:sz w:val="21"/>
                <w:szCs w:val="21"/>
              </w:rPr>
            </w:pPr>
          </w:p>
          <w:p w14:paraId="401FEFD0">
            <w:pPr>
              <w:adjustRightInd w:val="0"/>
              <w:snapToGrid w:val="0"/>
              <w:jc w:val="center"/>
              <w:rPr>
                <w:rFonts w:hint="default" w:ascii="Times New Roman" w:hAnsi="Times New Roman" w:eastAsia="宋体" w:cs="Times New Roman"/>
                <w:color w:val="auto"/>
                <w:kern w:val="0"/>
                <w:sz w:val="21"/>
                <w:szCs w:val="21"/>
              </w:rPr>
            </w:pPr>
          </w:p>
          <w:p w14:paraId="0297E72B">
            <w:pPr>
              <w:adjustRightInd w:val="0"/>
              <w:snapToGrid w:val="0"/>
              <w:jc w:val="center"/>
              <w:rPr>
                <w:rFonts w:hint="default" w:ascii="Times New Roman" w:hAnsi="Times New Roman" w:eastAsia="宋体" w:cs="Times New Roman"/>
                <w:color w:val="auto"/>
                <w:kern w:val="0"/>
                <w:sz w:val="21"/>
                <w:szCs w:val="21"/>
              </w:rPr>
            </w:pPr>
          </w:p>
          <w:p w14:paraId="0DEBE86D">
            <w:pPr>
              <w:adjustRightInd w:val="0"/>
              <w:snapToGrid w:val="0"/>
              <w:jc w:val="center"/>
              <w:rPr>
                <w:rFonts w:hint="default" w:ascii="Times New Roman" w:hAnsi="Times New Roman" w:eastAsia="宋体" w:cs="Times New Roman"/>
                <w:color w:val="auto"/>
                <w:kern w:val="0"/>
                <w:sz w:val="21"/>
                <w:szCs w:val="21"/>
              </w:rPr>
            </w:pPr>
          </w:p>
          <w:p w14:paraId="2CABCC36">
            <w:pPr>
              <w:adjustRightInd w:val="0"/>
              <w:snapToGrid w:val="0"/>
              <w:jc w:val="center"/>
              <w:rPr>
                <w:rFonts w:hint="default" w:ascii="Times New Roman" w:hAnsi="Times New Roman" w:eastAsia="宋体" w:cs="Times New Roman"/>
                <w:color w:val="auto"/>
                <w:kern w:val="0"/>
                <w:sz w:val="21"/>
                <w:szCs w:val="21"/>
              </w:rPr>
            </w:pPr>
          </w:p>
          <w:p w14:paraId="03091F0E">
            <w:pPr>
              <w:adjustRightInd w:val="0"/>
              <w:snapToGrid w:val="0"/>
              <w:jc w:val="center"/>
              <w:rPr>
                <w:rFonts w:hint="default" w:ascii="Times New Roman" w:hAnsi="Times New Roman" w:eastAsia="宋体" w:cs="Times New Roman"/>
                <w:color w:val="auto"/>
                <w:kern w:val="0"/>
                <w:sz w:val="21"/>
                <w:szCs w:val="21"/>
              </w:rPr>
            </w:pPr>
          </w:p>
          <w:p w14:paraId="3A3C0B4D">
            <w:pPr>
              <w:adjustRightInd w:val="0"/>
              <w:snapToGrid w:val="0"/>
              <w:jc w:val="center"/>
              <w:rPr>
                <w:rFonts w:hint="default" w:ascii="Times New Roman" w:hAnsi="Times New Roman" w:eastAsia="宋体" w:cs="Times New Roman"/>
                <w:color w:val="auto"/>
                <w:kern w:val="0"/>
                <w:sz w:val="21"/>
                <w:szCs w:val="21"/>
              </w:rPr>
            </w:pPr>
          </w:p>
          <w:p w14:paraId="458763B7">
            <w:pPr>
              <w:adjustRightInd w:val="0"/>
              <w:snapToGrid w:val="0"/>
              <w:jc w:val="center"/>
              <w:rPr>
                <w:rFonts w:hint="default" w:ascii="Times New Roman" w:hAnsi="Times New Roman" w:eastAsia="宋体" w:cs="Times New Roman"/>
                <w:color w:val="auto"/>
                <w:kern w:val="0"/>
                <w:sz w:val="21"/>
                <w:szCs w:val="21"/>
              </w:rPr>
            </w:pPr>
          </w:p>
          <w:p w14:paraId="46353720">
            <w:pPr>
              <w:adjustRightInd w:val="0"/>
              <w:snapToGrid w:val="0"/>
              <w:jc w:val="center"/>
              <w:rPr>
                <w:rFonts w:hint="default" w:ascii="Times New Roman" w:hAnsi="Times New Roman" w:eastAsia="宋体" w:cs="Times New Roman"/>
                <w:color w:val="auto"/>
                <w:kern w:val="0"/>
                <w:sz w:val="21"/>
                <w:szCs w:val="21"/>
              </w:rPr>
            </w:pPr>
          </w:p>
          <w:p w14:paraId="67561971">
            <w:pPr>
              <w:adjustRightInd w:val="0"/>
              <w:snapToGrid w:val="0"/>
              <w:jc w:val="center"/>
              <w:rPr>
                <w:rFonts w:hint="default" w:ascii="Times New Roman" w:hAnsi="Times New Roman" w:eastAsia="宋体" w:cs="Times New Roman"/>
                <w:color w:val="auto"/>
                <w:kern w:val="0"/>
                <w:sz w:val="21"/>
                <w:szCs w:val="21"/>
              </w:rPr>
            </w:pPr>
          </w:p>
          <w:p w14:paraId="5D4E3D19">
            <w:pPr>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区域</w:t>
            </w:r>
          </w:p>
          <w:p w14:paraId="5D2C3D4E">
            <w:pPr>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w:t>
            </w:r>
          </w:p>
          <w:p w14:paraId="2D6ED5B7">
            <w:pPr>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质量</w:t>
            </w:r>
          </w:p>
          <w:p w14:paraId="7BA56F20">
            <w:pPr>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现状</w:t>
            </w:r>
          </w:p>
          <w:p w14:paraId="569D0EAA">
            <w:pPr>
              <w:adjustRightInd w:val="0"/>
              <w:snapToGrid w:val="0"/>
              <w:jc w:val="center"/>
              <w:rPr>
                <w:rFonts w:hint="default" w:ascii="Times New Roman" w:hAnsi="Times New Roman" w:eastAsia="宋体" w:cs="Times New Roman"/>
                <w:color w:val="auto"/>
                <w:kern w:val="0"/>
                <w:sz w:val="21"/>
                <w:szCs w:val="21"/>
              </w:rPr>
            </w:pPr>
          </w:p>
          <w:p w14:paraId="43D4EAD7">
            <w:pPr>
              <w:adjustRightInd w:val="0"/>
              <w:snapToGrid w:val="0"/>
              <w:jc w:val="center"/>
              <w:rPr>
                <w:rFonts w:hint="default" w:ascii="Times New Roman" w:hAnsi="Times New Roman" w:eastAsia="宋体" w:cs="Times New Roman"/>
                <w:color w:val="auto"/>
                <w:kern w:val="0"/>
                <w:sz w:val="21"/>
                <w:szCs w:val="21"/>
              </w:rPr>
            </w:pPr>
          </w:p>
          <w:p w14:paraId="01BA5008">
            <w:pPr>
              <w:adjustRightInd w:val="0"/>
              <w:snapToGrid w:val="0"/>
              <w:jc w:val="center"/>
              <w:rPr>
                <w:rFonts w:hint="default" w:ascii="Times New Roman" w:hAnsi="Times New Roman" w:eastAsia="宋体" w:cs="Times New Roman"/>
                <w:color w:val="auto"/>
                <w:kern w:val="0"/>
                <w:sz w:val="21"/>
                <w:szCs w:val="21"/>
              </w:rPr>
            </w:pPr>
          </w:p>
          <w:p w14:paraId="6D055E14">
            <w:pPr>
              <w:adjustRightInd w:val="0"/>
              <w:snapToGrid w:val="0"/>
              <w:jc w:val="center"/>
              <w:rPr>
                <w:rFonts w:hint="default" w:ascii="Times New Roman" w:hAnsi="Times New Roman" w:eastAsia="宋体" w:cs="Times New Roman"/>
                <w:color w:val="auto"/>
                <w:kern w:val="0"/>
                <w:sz w:val="21"/>
                <w:szCs w:val="21"/>
              </w:rPr>
            </w:pPr>
          </w:p>
          <w:p w14:paraId="04A8FC66">
            <w:pPr>
              <w:adjustRightInd w:val="0"/>
              <w:snapToGrid w:val="0"/>
              <w:jc w:val="center"/>
              <w:rPr>
                <w:rFonts w:hint="default" w:ascii="Times New Roman" w:hAnsi="Times New Roman" w:eastAsia="宋体" w:cs="Times New Roman"/>
                <w:color w:val="auto"/>
                <w:kern w:val="0"/>
                <w:sz w:val="21"/>
                <w:szCs w:val="21"/>
              </w:rPr>
            </w:pPr>
          </w:p>
          <w:p w14:paraId="5C9199D6">
            <w:pPr>
              <w:adjustRightInd w:val="0"/>
              <w:snapToGrid w:val="0"/>
              <w:jc w:val="center"/>
              <w:rPr>
                <w:rFonts w:hint="default" w:ascii="Times New Roman" w:hAnsi="Times New Roman" w:eastAsia="宋体" w:cs="Times New Roman"/>
                <w:color w:val="auto"/>
                <w:kern w:val="0"/>
                <w:sz w:val="21"/>
                <w:szCs w:val="21"/>
              </w:rPr>
            </w:pPr>
          </w:p>
          <w:p w14:paraId="5498E872">
            <w:pPr>
              <w:adjustRightInd w:val="0"/>
              <w:snapToGrid w:val="0"/>
              <w:jc w:val="center"/>
              <w:rPr>
                <w:rFonts w:hint="default" w:ascii="Times New Roman" w:hAnsi="Times New Roman" w:eastAsia="宋体" w:cs="Times New Roman"/>
                <w:color w:val="auto"/>
                <w:kern w:val="0"/>
                <w:sz w:val="21"/>
                <w:szCs w:val="21"/>
              </w:rPr>
            </w:pPr>
          </w:p>
          <w:p w14:paraId="3476A685">
            <w:pPr>
              <w:adjustRightInd w:val="0"/>
              <w:snapToGrid w:val="0"/>
              <w:jc w:val="center"/>
              <w:rPr>
                <w:rFonts w:hint="default" w:ascii="Times New Roman" w:hAnsi="Times New Roman" w:eastAsia="宋体" w:cs="Times New Roman"/>
                <w:color w:val="auto"/>
                <w:kern w:val="0"/>
                <w:sz w:val="21"/>
                <w:szCs w:val="21"/>
              </w:rPr>
            </w:pPr>
          </w:p>
          <w:p w14:paraId="18AD7410">
            <w:pPr>
              <w:adjustRightInd w:val="0"/>
              <w:snapToGrid w:val="0"/>
              <w:jc w:val="center"/>
              <w:rPr>
                <w:rFonts w:hint="default" w:ascii="Times New Roman" w:hAnsi="Times New Roman" w:eastAsia="宋体" w:cs="Times New Roman"/>
                <w:color w:val="auto"/>
                <w:kern w:val="0"/>
                <w:sz w:val="21"/>
                <w:szCs w:val="21"/>
              </w:rPr>
            </w:pPr>
          </w:p>
          <w:p w14:paraId="3483E52C">
            <w:pPr>
              <w:adjustRightInd w:val="0"/>
              <w:snapToGrid w:val="0"/>
              <w:jc w:val="center"/>
              <w:rPr>
                <w:rFonts w:hint="default" w:ascii="Times New Roman" w:hAnsi="Times New Roman" w:eastAsia="宋体" w:cs="Times New Roman"/>
                <w:color w:val="auto"/>
                <w:kern w:val="0"/>
                <w:sz w:val="21"/>
                <w:szCs w:val="21"/>
              </w:rPr>
            </w:pPr>
          </w:p>
          <w:p w14:paraId="51787DCE">
            <w:pPr>
              <w:adjustRightInd w:val="0"/>
              <w:snapToGrid w:val="0"/>
              <w:jc w:val="center"/>
              <w:rPr>
                <w:rFonts w:hint="default" w:ascii="Times New Roman" w:hAnsi="Times New Roman" w:eastAsia="宋体" w:cs="Times New Roman"/>
                <w:color w:val="auto"/>
                <w:kern w:val="0"/>
                <w:sz w:val="21"/>
                <w:szCs w:val="21"/>
              </w:rPr>
            </w:pPr>
          </w:p>
          <w:p w14:paraId="65E7F973">
            <w:pPr>
              <w:adjustRightInd w:val="0"/>
              <w:snapToGrid w:val="0"/>
              <w:jc w:val="center"/>
              <w:rPr>
                <w:rFonts w:hint="default" w:ascii="Times New Roman" w:hAnsi="Times New Roman" w:eastAsia="宋体" w:cs="Times New Roman"/>
                <w:color w:val="auto"/>
                <w:kern w:val="0"/>
                <w:sz w:val="21"/>
                <w:szCs w:val="21"/>
              </w:rPr>
            </w:pPr>
          </w:p>
          <w:p w14:paraId="01DACC5D">
            <w:pPr>
              <w:adjustRightInd w:val="0"/>
              <w:snapToGrid w:val="0"/>
              <w:jc w:val="center"/>
              <w:rPr>
                <w:rFonts w:hint="default" w:ascii="Times New Roman" w:hAnsi="Times New Roman" w:eastAsia="宋体" w:cs="Times New Roman"/>
                <w:color w:val="auto"/>
                <w:kern w:val="0"/>
                <w:sz w:val="21"/>
                <w:szCs w:val="21"/>
              </w:rPr>
            </w:pPr>
          </w:p>
          <w:p w14:paraId="34F110FB">
            <w:pPr>
              <w:adjustRightInd w:val="0"/>
              <w:snapToGrid w:val="0"/>
              <w:jc w:val="center"/>
              <w:rPr>
                <w:rFonts w:hint="default" w:ascii="Times New Roman" w:hAnsi="Times New Roman" w:eastAsia="宋体" w:cs="Times New Roman"/>
                <w:color w:val="auto"/>
                <w:kern w:val="0"/>
                <w:sz w:val="21"/>
                <w:szCs w:val="21"/>
              </w:rPr>
            </w:pPr>
          </w:p>
          <w:p w14:paraId="3B253A27">
            <w:pPr>
              <w:adjustRightInd w:val="0"/>
              <w:snapToGrid w:val="0"/>
              <w:jc w:val="center"/>
              <w:rPr>
                <w:rFonts w:hint="default" w:ascii="Times New Roman" w:hAnsi="Times New Roman" w:eastAsia="宋体" w:cs="Times New Roman"/>
                <w:color w:val="auto"/>
                <w:kern w:val="0"/>
                <w:sz w:val="21"/>
                <w:szCs w:val="21"/>
              </w:rPr>
            </w:pPr>
          </w:p>
          <w:p w14:paraId="55E55C88">
            <w:pPr>
              <w:adjustRightInd w:val="0"/>
              <w:snapToGrid w:val="0"/>
              <w:jc w:val="center"/>
              <w:rPr>
                <w:rFonts w:hint="default" w:ascii="Times New Roman" w:hAnsi="Times New Roman" w:eastAsia="宋体" w:cs="Times New Roman"/>
                <w:color w:val="auto"/>
                <w:kern w:val="0"/>
                <w:sz w:val="21"/>
                <w:szCs w:val="21"/>
              </w:rPr>
            </w:pPr>
          </w:p>
          <w:p w14:paraId="7A63B732">
            <w:pPr>
              <w:adjustRightInd w:val="0"/>
              <w:snapToGrid w:val="0"/>
              <w:jc w:val="center"/>
              <w:rPr>
                <w:rFonts w:hint="default" w:ascii="Times New Roman" w:hAnsi="Times New Roman" w:eastAsia="宋体" w:cs="Times New Roman"/>
                <w:color w:val="auto"/>
                <w:kern w:val="0"/>
                <w:sz w:val="21"/>
                <w:szCs w:val="21"/>
              </w:rPr>
            </w:pPr>
          </w:p>
          <w:p w14:paraId="4218CB0D">
            <w:pPr>
              <w:adjustRightInd w:val="0"/>
              <w:snapToGrid w:val="0"/>
              <w:jc w:val="center"/>
              <w:rPr>
                <w:rFonts w:hint="default" w:ascii="Times New Roman" w:hAnsi="Times New Roman" w:eastAsia="宋体" w:cs="Times New Roman"/>
                <w:color w:val="auto"/>
                <w:kern w:val="0"/>
                <w:sz w:val="21"/>
                <w:szCs w:val="21"/>
              </w:rPr>
            </w:pPr>
          </w:p>
          <w:p w14:paraId="5556209B">
            <w:pPr>
              <w:adjustRightInd w:val="0"/>
              <w:snapToGrid w:val="0"/>
              <w:jc w:val="center"/>
              <w:rPr>
                <w:rFonts w:hint="default" w:ascii="Times New Roman" w:hAnsi="Times New Roman" w:eastAsia="宋体" w:cs="Times New Roman"/>
                <w:color w:val="auto"/>
                <w:kern w:val="0"/>
                <w:sz w:val="21"/>
                <w:szCs w:val="21"/>
              </w:rPr>
            </w:pPr>
          </w:p>
          <w:p w14:paraId="334E23D2">
            <w:pPr>
              <w:adjustRightInd w:val="0"/>
              <w:snapToGrid w:val="0"/>
              <w:jc w:val="center"/>
              <w:rPr>
                <w:rFonts w:hint="default" w:ascii="Times New Roman" w:hAnsi="Times New Roman" w:eastAsia="宋体" w:cs="Times New Roman"/>
                <w:color w:val="auto"/>
                <w:kern w:val="0"/>
                <w:sz w:val="21"/>
                <w:szCs w:val="21"/>
              </w:rPr>
            </w:pPr>
          </w:p>
          <w:p w14:paraId="55A9A12F">
            <w:pPr>
              <w:adjustRightInd w:val="0"/>
              <w:snapToGrid w:val="0"/>
              <w:jc w:val="center"/>
              <w:rPr>
                <w:rFonts w:hint="default" w:ascii="Times New Roman" w:hAnsi="Times New Roman" w:eastAsia="宋体" w:cs="Times New Roman"/>
                <w:color w:val="auto"/>
                <w:kern w:val="0"/>
                <w:sz w:val="21"/>
                <w:szCs w:val="21"/>
              </w:rPr>
            </w:pPr>
          </w:p>
          <w:p w14:paraId="42F34E5C">
            <w:pPr>
              <w:adjustRightInd w:val="0"/>
              <w:snapToGrid w:val="0"/>
              <w:jc w:val="center"/>
              <w:rPr>
                <w:rFonts w:hint="default" w:ascii="Times New Roman" w:hAnsi="Times New Roman" w:eastAsia="宋体" w:cs="Times New Roman"/>
                <w:color w:val="auto"/>
                <w:kern w:val="0"/>
                <w:sz w:val="21"/>
                <w:szCs w:val="21"/>
              </w:rPr>
            </w:pPr>
          </w:p>
          <w:p w14:paraId="738799FD">
            <w:pPr>
              <w:adjustRightInd w:val="0"/>
              <w:snapToGrid w:val="0"/>
              <w:jc w:val="center"/>
              <w:rPr>
                <w:rFonts w:hint="default" w:ascii="Times New Roman" w:hAnsi="Times New Roman" w:eastAsia="宋体" w:cs="Times New Roman"/>
                <w:color w:val="auto"/>
                <w:kern w:val="0"/>
                <w:sz w:val="21"/>
                <w:szCs w:val="21"/>
              </w:rPr>
            </w:pPr>
          </w:p>
          <w:p w14:paraId="4031172E">
            <w:pPr>
              <w:adjustRightInd w:val="0"/>
              <w:snapToGrid w:val="0"/>
              <w:jc w:val="center"/>
              <w:rPr>
                <w:rFonts w:hint="default" w:ascii="Times New Roman" w:hAnsi="Times New Roman" w:eastAsia="宋体" w:cs="Times New Roman"/>
                <w:color w:val="auto"/>
                <w:kern w:val="0"/>
                <w:sz w:val="21"/>
                <w:szCs w:val="21"/>
              </w:rPr>
            </w:pPr>
          </w:p>
          <w:p w14:paraId="4239A480">
            <w:pPr>
              <w:adjustRightInd w:val="0"/>
              <w:snapToGrid w:val="0"/>
              <w:jc w:val="center"/>
              <w:rPr>
                <w:rFonts w:hint="default" w:ascii="Times New Roman" w:hAnsi="Times New Roman" w:eastAsia="宋体" w:cs="Times New Roman"/>
                <w:color w:val="auto"/>
                <w:kern w:val="0"/>
                <w:sz w:val="21"/>
                <w:szCs w:val="21"/>
              </w:rPr>
            </w:pPr>
          </w:p>
          <w:p w14:paraId="2DA4E978">
            <w:pPr>
              <w:adjustRightInd w:val="0"/>
              <w:snapToGrid w:val="0"/>
              <w:jc w:val="center"/>
              <w:rPr>
                <w:rFonts w:hint="default" w:ascii="Times New Roman" w:hAnsi="Times New Roman" w:eastAsia="宋体" w:cs="Times New Roman"/>
                <w:color w:val="auto"/>
                <w:kern w:val="0"/>
                <w:sz w:val="21"/>
                <w:szCs w:val="21"/>
              </w:rPr>
            </w:pPr>
          </w:p>
          <w:p w14:paraId="52666BC7">
            <w:pPr>
              <w:adjustRightInd w:val="0"/>
              <w:snapToGrid w:val="0"/>
              <w:jc w:val="center"/>
              <w:rPr>
                <w:rFonts w:hint="default" w:ascii="Times New Roman" w:hAnsi="Times New Roman" w:eastAsia="宋体" w:cs="Times New Roman"/>
                <w:color w:val="auto"/>
                <w:kern w:val="0"/>
                <w:sz w:val="21"/>
                <w:szCs w:val="21"/>
              </w:rPr>
            </w:pPr>
          </w:p>
          <w:p w14:paraId="72A886DB">
            <w:pPr>
              <w:adjustRightInd w:val="0"/>
              <w:snapToGrid w:val="0"/>
              <w:jc w:val="center"/>
              <w:rPr>
                <w:rFonts w:hint="default" w:ascii="Times New Roman" w:hAnsi="Times New Roman" w:eastAsia="宋体" w:cs="Times New Roman"/>
                <w:color w:val="auto"/>
                <w:kern w:val="0"/>
                <w:sz w:val="21"/>
                <w:szCs w:val="21"/>
              </w:rPr>
            </w:pPr>
          </w:p>
          <w:p w14:paraId="435518D7">
            <w:pPr>
              <w:adjustRightInd w:val="0"/>
              <w:snapToGrid w:val="0"/>
              <w:jc w:val="center"/>
              <w:rPr>
                <w:rFonts w:hint="default" w:ascii="Times New Roman" w:hAnsi="Times New Roman" w:eastAsia="宋体" w:cs="Times New Roman"/>
                <w:color w:val="auto"/>
                <w:kern w:val="0"/>
                <w:sz w:val="21"/>
                <w:szCs w:val="21"/>
              </w:rPr>
            </w:pPr>
          </w:p>
          <w:p w14:paraId="289F4F49">
            <w:pPr>
              <w:adjustRightInd w:val="0"/>
              <w:snapToGrid w:val="0"/>
              <w:jc w:val="center"/>
              <w:rPr>
                <w:rFonts w:hint="default" w:ascii="Times New Roman" w:hAnsi="Times New Roman" w:eastAsia="宋体" w:cs="Times New Roman"/>
                <w:color w:val="auto"/>
                <w:kern w:val="0"/>
                <w:sz w:val="21"/>
                <w:szCs w:val="21"/>
              </w:rPr>
            </w:pPr>
          </w:p>
          <w:p w14:paraId="4C90AEC2">
            <w:pPr>
              <w:adjustRightInd w:val="0"/>
              <w:snapToGrid w:val="0"/>
              <w:jc w:val="center"/>
              <w:rPr>
                <w:rFonts w:hint="default" w:ascii="Times New Roman" w:hAnsi="Times New Roman" w:eastAsia="宋体" w:cs="Times New Roman"/>
                <w:color w:val="auto"/>
                <w:kern w:val="0"/>
                <w:sz w:val="21"/>
                <w:szCs w:val="21"/>
              </w:rPr>
            </w:pPr>
          </w:p>
          <w:p w14:paraId="53340FD9">
            <w:pPr>
              <w:adjustRightInd w:val="0"/>
              <w:snapToGrid w:val="0"/>
              <w:jc w:val="center"/>
              <w:rPr>
                <w:rFonts w:hint="default" w:ascii="Times New Roman" w:hAnsi="Times New Roman" w:eastAsia="宋体" w:cs="Times New Roman"/>
                <w:color w:val="auto"/>
                <w:kern w:val="0"/>
                <w:sz w:val="21"/>
                <w:szCs w:val="21"/>
              </w:rPr>
            </w:pPr>
          </w:p>
          <w:p w14:paraId="20E44A7E">
            <w:pPr>
              <w:adjustRightInd w:val="0"/>
              <w:snapToGrid w:val="0"/>
              <w:jc w:val="center"/>
              <w:rPr>
                <w:rFonts w:hint="default" w:ascii="Times New Roman" w:hAnsi="Times New Roman" w:eastAsia="宋体" w:cs="Times New Roman"/>
                <w:color w:val="auto"/>
                <w:kern w:val="0"/>
                <w:sz w:val="21"/>
                <w:szCs w:val="21"/>
              </w:rPr>
            </w:pPr>
          </w:p>
          <w:p w14:paraId="7EE95E7F">
            <w:pPr>
              <w:adjustRightInd w:val="0"/>
              <w:snapToGrid w:val="0"/>
              <w:jc w:val="center"/>
              <w:rPr>
                <w:rFonts w:hint="default" w:ascii="Times New Roman" w:hAnsi="Times New Roman" w:eastAsia="宋体" w:cs="Times New Roman"/>
                <w:color w:val="auto"/>
                <w:kern w:val="0"/>
                <w:sz w:val="21"/>
                <w:szCs w:val="21"/>
              </w:rPr>
            </w:pPr>
          </w:p>
          <w:p w14:paraId="1AD74D4A">
            <w:pPr>
              <w:adjustRightInd w:val="0"/>
              <w:snapToGrid w:val="0"/>
              <w:jc w:val="center"/>
              <w:rPr>
                <w:rFonts w:hint="default" w:ascii="Times New Roman" w:hAnsi="Times New Roman" w:eastAsia="宋体" w:cs="Times New Roman"/>
                <w:color w:val="auto"/>
                <w:kern w:val="0"/>
                <w:sz w:val="21"/>
                <w:szCs w:val="21"/>
              </w:rPr>
            </w:pPr>
          </w:p>
          <w:p w14:paraId="3BB62458">
            <w:pPr>
              <w:adjustRightInd w:val="0"/>
              <w:snapToGrid w:val="0"/>
              <w:jc w:val="center"/>
              <w:rPr>
                <w:rFonts w:hint="default" w:ascii="Times New Roman" w:hAnsi="Times New Roman" w:eastAsia="宋体" w:cs="Times New Roman"/>
                <w:color w:val="auto"/>
                <w:kern w:val="0"/>
                <w:sz w:val="21"/>
                <w:szCs w:val="21"/>
              </w:rPr>
            </w:pPr>
          </w:p>
          <w:p w14:paraId="324BCCD2">
            <w:pPr>
              <w:adjustRightInd w:val="0"/>
              <w:snapToGrid w:val="0"/>
              <w:jc w:val="center"/>
              <w:rPr>
                <w:rFonts w:hint="default" w:ascii="Times New Roman" w:hAnsi="Times New Roman" w:eastAsia="宋体" w:cs="Times New Roman"/>
                <w:color w:val="auto"/>
                <w:kern w:val="0"/>
                <w:sz w:val="21"/>
                <w:szCs w:val="21"/>
              </w:rPr>
            </w:pPr>
          </w:p>
          <w:p w14:paraId="0A1E119A">
            <w:pPr>
              <w:adjustRightInd w:val="0"/>
              <w:snapToGrid w:val="0"/>
              <w:jc w:val="center"/>
              <w:rPr>
                <w:rFonts w:hint="default" w:ascii="Times New Roman" w:hAnsi="Times New Roman" w:eastAsia="宋体" w:cs="Times New Roman"/>
                <w:color w:val="auto"/>
                <w:kern w:val="0"/>
                <w:sz w:val="21"/>
                <w:szCs w:val="21"/>
              </w:rPr>
            </w:pPr>
          </w:p>
          <w:p w14:paraId="5A983EFC">
            <w:pPr>
              <w:adjustRightInd w:val="0"/>
              <w:snapToGrid w:val="0"/>
              <w:jc w:val="center"/>
              <w:rPr>
                <w:rFonts w:hint="default" w:ascii="Times New Roman" w:hAnsi="Times New Roman" w:eastAsia="宋体" w:cs="Times New Roman"/>
                <w:color w:val="auto"/>
                <w:kern w:val="0"/>
                <w:sz w:val="21"/>
                <w:szCs w:val="21"/>
              </w:rPr>
            </w:pPr>
          </w:p>
          <w:p w14:paraId="0F9B86EA">
            <w:pPr>
              <w:adjustRightInd w:val="0"/>
              <w:snapToGrid w:val="0"/>
              <w:jc w:val="center"/>
              <w:rPr>
                <w:rFonts w:hint="default" w:ascii="Times New Roman" w:hAnsi="Times New Roman" w:eastAsia="宋体" w:cs="Times New Roman"/>
                <w:color w:val="auto"/>
                <w:kern w:val="0"/>
                <w:sz w:val="21"/>
                <w:szCs w:val="21"/>
              </w:rPr>
            </w:pPr>
          </w:p>
          <w:p w14:paraId="29199E5F">
            <w:pPr>
              <w:adjustRightInd w:val="0"/>
              <w:snapToGrid w:val="0"/>
              <w:jc w:val="center"/>
              <w:rPr>
                <w:rFonts w:hint="default" w:ascii="Times New Roman" w:hAnsi="Times New Roman" w:eastAsia="宋体" w:cs="Times New Roman"/>
                <w:color w:val="auto"/>
                <w:kern w:val="0"/>
                <w:sz w:val="21"/>
                <w:szCs w:val="21"/>
              </w:rPr>
            </w:pPr>
          </w:p>
          <w:p w14:paraId="758DC0C6">
            <w:pPr>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区域</w:t>
            </w:r>
          </w:p>
          <w:p w14:paraId="29817983">
            <w:pPr>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w:t>
            </w:r>
          </w:p>
          <w:p w14:paraId="6C99C781">
            <w:pPr>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质量</w:t>
            </w:r>
          </w:p>
          <w:p w14:paraId="3EA8C479">
            <w:pPr>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现状</w:t>
            </w:r>
          </w:p>
          <w:p w14:paraId="2019F57A">
            <w:pPr>
              <w:adjustRightInd w:val="0"/>
              <w:snapToGrid w:val="0"/>
              <w:jc w:val="center"/>
              <w:rPr>
                <w:rFonts w:hint="default" w:ascii="Times New Roman" w:hAnsi="Times New Roman" w:eastAsia="宋体" w:cs="Times New Roman"/>
                <w:color w:val="auto"/>
                <w:kern w:val="0"/>
                <w:sz w:val="21"/>
                <w:szCs w:val="21"/>
              </w:rPr>
            </w:pPr>
          </w:p>
          <w:p w14:paraId="758CEDAB">
            <w:pPr>
              <w:adjustRightInd w:val="0"/>
              <w:snapToGrid w:val="0"/>
              <w:jc w:val="center"/>
              <w:rPr>
                <w:rFonts w:hint="default" w:ascii="Times New Roman" w:hAnsi="Times New Roman" w:eastAsia="宋体" w:cs="Times New Roman"/>
                <w:color w:val="auto"/>
                <w:kern w:val="0"/>
                <w:sz w:val="21"/>
                <w:szCs w:val="21"/>
              </w:rPr>
            </w:pPr>
          </w:p>
          <w:p w14:paraId="37B22AAC">
            <w:pPr>
              <w:adjustRightInd w:val="0"/>
              <w:snapToGrid w:val="0"/>
              <w:jc w:val="center"/>
              <w:rPr>
                <w:rFonts w:hint="default" w:ascii="Times New Roman" w:hAnsi="Times New Roman" w:eastAsia="宋体" w:cs="Times New Roman"/>
                <w:color w:val="auto"/>
                <w:kern w:val="0"/>
                <w:sz w:val="21"/>
                <w:szCs w:val="21"/>
              </w:rPr>
            </w:pPr>
          </w:p>
          <w:p w14:paraId="0DD61200">
            <w:pPr>
              <w:adjustRightInd w:val="0"/>
              <w:snapToGrid w:val="0"/>
              <w:jc w:val="center"/>
              <w:rPr>
                <w:rFonts w:hint="default" w:ascii="Times New Roman" w:hAnsi="Times New Roman" w:eastAsia="宋体" w:cs="Times New Roman"/>
                <w:color w:val="auto"/>
                <w:kern w:val="0"/>
                <w:sz w:val="21"/>
                <w:szCs w:val="21"/>
              </w:rPr>
            </w:pPr>
          </w:p>
          <w:p w14:paraId="50F080CA">
            <w:pPr>
              <w:adjustRightInd w:val="0"/>
              <w:snapToGrid w:val="0"/>
              <w:jc w:val="center"/>
              <w:rPr>
                <w:rFonts w:hint="default" w:ascii="Times New Roman" w:hAnsi="Times New Roman" w:eastAsia="宋体" w:cs="Times New Roman"/>
                <w:color w:val="auto"/>
                <w:kern w:val="0"/>
                <w:sz w:val="21"/>
                <w:szCs w:val="21"/>
              </w:rPr>
            </w:pPr>
          </w:p>
          <w:p w14:paraId="0868F4C2">
            <w:pPr>
              <w:adjustRightInd w:val="0"/>
              <w:snapToGrid w:val="0"/>
              <w:jc w:val="center"/>
              <w:rPr>
                <w:rFonts w:hint="default" w:ascii="Times New Roman" w:hAnsi="Times New Roman" w:eastAsia="宋体" w:cs="Times New Roman"/>
                <w:color w:val="auto"/>
                <w:kern w:val="0"/>
                <w:sz w:val="21"/>
                <w:szCs w:val="21"/>
              </w:rPr>
            </w:pPr>
          </w:p>
          <w:p w14:paraId="046780BF">
            <w:pPr>
              <w:adjustRightInd w:val="0"/>
              <w:snapToGrid w:val="0"/>
              <w:jc w:val="center"/>
              <w:rPr>
                <w:rFonts w:hint="default" w:ascii="Times New Roman" w:hAnsi="Times New Roman" w:eastAsia="宋体" w:cs="Times New Roman"/>
                <w:color w:val="auto"/>
                <w:kern w:val="0"/>
                <w:sz w:val="21"/>
                <w:szCs w:val="21"/>
              </w:rPr>
            </w:pPr>
          </w:p>
          <w:p w14:paraId="143E93D8">
            <w:pPr>
              <w:adjustRightInd w:val="0"/>
              <w:snapToGrid w:val="0"/>
              <w:jc w:val="center"/>
              <w:rPr>
                <w:rFonts w:hint="default" w:ascii="Times New Roman" w:hAnsi="Times New Roman" w:eastAsia="宋体" w:cs="Times New Roman"/>
                <w:color w:val="auto"/>
                <w:kern w:val="0"/>
                <w:sz w:val="21"/>
                <w:szCs w:val="21"/>
              </w:rPr>
            </w:pPr>
          </w:p>
          <w:p w14:paraId="7B61FCDB">
            <w:pPr>
              <w:adjustRightInd w:val="0"/>
              <w:snapToGrid w:val="0"/>
              <w:jc w:val="center"/>
              <w:rPr>
                <w:rFonts w:hint="default" w:ascii="Times New Roman" w:hAnsi="Times New Roman" w:eastAsia="宋体" w:cs="Times New Roman"/>
                <w:color w:val="auto"/>
                <w:kern w:val="0"/>
                <w:sz w:val="21"/>
                <w:szCs w:val="21"/>
              </w:rPr>
            </w:pPr>
          </w:p>
          <w:p w14:paraId="36F9CC8F">
            <w:pPr>
              <w:adjustRightInd w:val="0"/>
              <w:snapToGrid w:val="0"/>
              <w:jc w:val="center"/>
              <w:rPr>
                <w:rFonts w:hint="default" w:ascii="Times New Roman" w:hAnsi="Times New Roman" w:eastAsia="宋体" w:cs="Times New Roman"/>
                <w:color w:val="auto"/>
                <w:kern w:val="0"/>
                <w:sz w:val="21"/>
                <w:szCs w:val="21"/>
              </w:rPr>
            </w:pPr>
          </w:p>
          <w:p w14:paraId="298FF213">
            <w:pPr>
              <w:adjustRightInd w:val="0"/>
              <w:snapToGrid w:val="0"/>
              <w:jc w:val="center"/>
              <w:rPr>
                <w:rFonts w:hint="default" w:ascii="Times New Roman" w:hAnsi="Times New Roman" w:eastAsia="宋体" w:cs="Times New Roman"/>
                <w:color w:val="auto"/>
                <w:kern w:val="0"/>
                <w:sz w:val="21"/>
                <w:szCs w:val="21"/>
              </w:rPr>
            </w:pPr>
          </w:p>
          <w:p w14:paraId="6847FC46">
            <w:pPr>
              <w:adjustRightInd w:val="0"/>
              <w:snapToGrid w:val="0"/>
              <w:jc w:val="center"/>
              <w:rPr>
                <w:rFonts w:hint="default" w:ascii="Times New Roman" w:hAnsi="Times New Roman" w:eastAsia="宋体" w:cs="Times New Roman"/>
                <w:color w:val="auto"/>
                <w:kern w:val="0"/>
                <w:sz w:val="21"/>
                <w:szCs w:val="21"/>
              </w:rPr>
            </w:pPr>
          </w:p>
          <w:p w14:paraId="3CE1602B">
            <w:pPr>
              <w:adjustRightInd w:val="0"/>
              <w:snapToGrid w:val="0"/>
              <w:jc w:val="center"/>
              <w:rPr>
                <w:rFonts w:hint="default" w:ascii="Times New Roman" w:hAnsi="Times New Roman" w:eastAsia="宋体" w:cs="Times New Roman"/>
                <w:color w:val="auto"/>
                <w:kern w:val="0"/>
                <w:sz w:val="21"/>
                <w:szCs w:val="21"/>
              </w:rPr>
            </w:pPr>
          </w:p>
          <w:p w14:paraId="61595EDB">
            <w:pPr>
              <w:adjustRightInd w:val="0"/>
              <w:snapToGrid w:val="0"/>
              <w:jc w:val="center"/>
              <w:rPr>
                <w:rFonts w:hint="default" w:ascii="Times New Roman" w:hAnsi="Times New Roman" w:eastAsia="宋体" w:cs="Times New Roman"/>
                <w:color w:val="auto"/>
                <w:kern w:val="0"/>
                <w:sz w:val="21"/>
                <w:szCs w:val="21"/>
              </w:rPr>
            </w:pPr>
          </w:p>
          <w:p w14:paraId="00703C14">
            <w:pPr>
              <w:adjustRightInd w:val="0"/>
              <w:snapToGrid w:val="0"/>
              <w:jc w:val="center"/>
              <w:rPr>
                <w:rFonts w:hint="default" w:ascii="Times New Roman" w:hAnsi="Times New Roman" w:eastAsia="宋体" w:cs="Times New Roman"/>
                <w:color w:val="auto"/>
                <w:kern w:val="0"/>
                <w:sz w:val="21"/>
                <w:szCs w:val="21"/>
              </w:rPr>
            </w:pPr>
          </w:p>
          <w:p w14:paraId="764494EB">
            <w:pPr>
              <w:adjustRightInd w:val="0"/>
              <w:snapToGrid w:val="0"/>
              <w:jc w:val="center"/>
              <w:rPr>
                <w:rFonts w:hint="eastAsia" w:ascii="Times New Roman" w:hAnsi="Times New Roman" w:eastAsia="宋体" w:cs="Times New Roman"/>
                <w:color w:val="auto"/>
                <w:kern w:val="0"/>
                <w:sz w:val="21"/>
                <w:szCs w:val="21"/>
                <w:lang w:val="en-US" w:eastAsia="zh-CN"/>
              </w:rPr>
            </w:pPr>
          </w:p>
        </w:tc>
        <w:tc>
          <w:tcPr>
            <w:tcW w:w="8384" w:type="dxa"/>
            <w:noWrap w:val="0"/>
            <w:vAlign w:val="center"/>
          </w:tcPr>
          <w:p w14:paraId="63BB7A08">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22" w:firstLineChars="200"/>
              <w:jc w:val="both"/>
              <w:textAlignment w:val="auto"/>
              <w:rPr>
                <w:rFonts w:hint="default" w:ascii="Times New Roman" w:hAnsi="Times New Roman" w:cs="Times New Roman"/>
                <w:b/>
                <w:bCs/>
                <w:color w:val="auto"/>
                <w:sz w:val="21"/>
                <w:szCs w:val="21"/>
                <w:lang w:val="en-US" w:eastAsia="zh-CN"/>
              </w:rPr>
            </w:pPr>
            <w:r>
              <w:rPr>
                <w:rFonts w:hint="eastAsia" w:cs="Times New Roman"/>
                <w:b/>
                <w:bCs/>
                <w:color w:val="auto"/>
                <w:sz w:val="21"/>
                <w:szCs w:val="21"/>
                <w:lang w:val="en-US" w:eastAsia="zh-CN"/>
              </w:rPr>
              <w:t>1、</w:t>
            </w:r>
            <w:r>
              <w:rPr>
                <w:rFonts w:hint="default" w:ascii="Times New Roman" w:hAnsi="Times New Roman" w:cs="Times New Roman"/>
                <w:b/>
                <w:bCs/>
                <w:color w:val="auto"/>
                <w:kern w:val="0"/>
                <w:sz w:val="21"/>
                <w:szCs w:val="21"/>
                <w:highlight w:val="none"/>
              </w:rPr>
              <w:t>环境空气质量现状调查与评价</w:t>
            </w:r>
          </w:p>
          <w:p w14:paraId="06752EB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（1）基本污染物</w:t>
            </w:r>
          </w:p>
          <w:p w14:paraId="0535660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根据</w:t>
            </w:r>
            <w:r>
              <w:rPr>
                <w:rFonts w:hint="eastAsia" w:ascii="Times New Roman" w:hAnsi="Times New Roman" w:eastAsia="宋体" w:cs="Times New Roman"/>
                <w:snapToGrid w:val="0"/>
                <w:color w:val="auto"/>
                <w:kern w:val="0"/>
                <w:sz w:val="21"/>
                <w:szCs w:val="21"/>
                <w:highlight w:val="none"/>
                <w:lang w:val="en-US" w:eastAsia="zh-CN" w:bidi="ar-SA"/>
              </w:rPr>
              <w:t>《环境影响评价技术导则</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大气环境》（</w:t>
            </w:r>
            <w:r>
              <w:rPr>
                <w:rFonts w:hint="default" w:ascii="Times New Roman" w:hAnsi="Times New Roman" w:eastAsia="宋体" w:cs="Times New Roman"/>
                <w:snapToGrid w:val="0"/>
                <w:color w:val="auto"/>
                <w:kern w:val="0"/>
                <w:sz w:val="21"/>
                <w:szCs w:val="21"/>
                <w:highlight w:val="none"/>
                <w:lang w:val="en-US" w:eastAsia="zh-CN" w:bidi="ar-SA"/>
              </w:rPr>
              <w:t>HJ2.2-2018</w:t>
            </w:r>
            <w:r>
              <w:rPr>
                <w:rFonts w:hint="eastAsia" w:ascii="Times New Roman" w:hAnsi="Times New Roman" w:eastAsia="宋体" w:cs="Times New Roman"/>
                <w:snapToGrid w:val="0"/>
                <w:color w:val="auto"/>
                <w:kern w:val="0"/>
                <w:sz w:val="21"/>
                <w:szCs w:val="21"/>
                <w:highlight w:val="none"/>
                <w:lang w:val="en-US" w:eastAsia="zh-CN" w:bidi="ar-SA"/>
              </w:rPr>
              <w:t>）要求，本次区域环境质量现状数据采用环境空气质量模型技术支持服务系统中昌吉市2024年的环境空气现状评价基本污染物SO</w:t>
            </w:r>
            <w:r>
              <w:rPr>
                <w:rFonts w:hint="eastAsia" w:ascii="Times New Roman" w:hAnsi="Times New Roman" w:eastAsia="宋体" w:cs="Times New Roman"/>
                <w:snapToGrid w:val="0"/>
                <w:color w:val="auto"/>
                <w:kern w:val="0"/>
                <w:sz w:val="21"/>
                <w:szCs w:val="21"/>
                <w:highlight w:val="none"/>
                <w:vertAlign w:val="subscript"/>
                <w:lang w:val="en-US" w:eastAsia="zh-CN" w:bidi="ar-SA"/>
              </w:rPr>
              <w:t>2</w:t>
            </w:r>
            <w:r>
              <w:rPr>
                <w:rFonts w:hint="eastAsia" w:ascii="Times New Roman" w:hAnsi="Times New Roman" w:eastAsia="宋体" w:cs="Times New Roman"/>
                <w:snapToGrid w:val="0"/>
                <w:color w:val="auto"/>
                <w:kern w:val="0"/>
                <w:sz w:val="21"/>
                <w:szCs w:val="21"/>
                <w:highlight w:val="none"/>
                <w:lang w:val="en-US" w:eastAsia="zh-CN" w:bidi="ar-SA"/>
              </w:rPr>
              <w:t>、NO</w:t>
            </w:r>
            <w:r>
              <w:rPr>
                <w:rFonts w:hint="eastAsia" w:ascii="Times New Roman" w:hAnsi="Times New Roman" w:eastAsia="宋体" w:cs="Times New Roman"/>
                <w:snapToGrid w:val="0"/>
                <w:color w:val="auto"/>
                <w:kern w:val="0"/>
                <w:sz w:val="21"/>
                <w:szCs w:val="21"/>
                <w:highlight w:val="none"/>
                <w:vertAlign w:val="subscript"/>
                <w:lang w:val="en-US" w:eastAsia="zh-CN" w:bidi="ar-SA"/>
              </w:rPr>
              <w:t>2</w:t>
            </w:r>
            <w:r>
              <w:rPr>
                <w:rFonts w:hint="eastAsia" w:ascii="Times New Roman" w:hAnsi="Times New Roman" w:eastAsia="宋体" w:cs="Times New Roman"/>
                <w:snapToGrid w:val="0"/>
                <w:color w:val="auto"/>
                <w:kern w:val="0"/>
                <w:sz w:val="21"/>
                <w:szCs w:val="21"/>
                <w:highlight w:val="none"/>
                <w:lang w:val="en-US" w:eastAsia="zh-CN" w:bidi="ar-SA"/>
              </w:rPr>
              <w:t>、PM</w:t>
            </w:r>
            <w:r>
              <w:rPr>
                <w:rFonts w:hint="eastAsia" w:ascii="Times New Roman" w:hAnsi="Times New Roman" w:eastAsia="宋体" w:cs="Times New Roman"/>
                <w:snapToGrid w:val="0"/>
                <w:color w:val="auto"/>
                <w:kern w:val="0"/>
                <w:sz w:val="21"/>
                <w:szCs w:val="21"/>
                <w:highlight w:val="none"/>
                <w:vertAlign w:val="subscript"/>
                <w:lang w:val="en-US" w:eastAsia="zh-CN" w:bidi="ar-SA"/>
              </w:rPr>
              <w:t>10</w:t>
            </w:r>
            <w:r>
              <w:rPr>
                <w:rFonts w:hint="eastAsia" w:ascii="Times New Roman" w:hAnsi="Times New Roman" w:eastAsia="宋体" w:cs="Times New Roman"/>
                <w:snapToGrid w:val="0"/>
                <w:color w:val="auto"/>
                <w:kern w:val="0"/>
                <w:sz w:val="21"/>
                <w:szCs w:val="21"/>
                <w:highlight w:val="none"/>
                <w:lang w:val="en-US" w:eastAsia="zh-CN" w:bidi="ar-SA"/>
              </w:rPr>
              <w:t>、PM</w:t>
            </w:r>
            <w:r>
              <w:rPr>
                <w:rFonts w:hint="eastAsia" w:ascii="Times New Roman" w:hAnsi="Times New Roman" w:eastAsia="宋体" w:cs="Times New Roman"/>
                <w:snapToGrid w:val="0"/>
                <w:color w:val="auto"/>
                <w:kern w:val="0"/>
                <w:sz w:val="21"/>
                <w:szCs w:val="21"/>
                <w:highlight w:val="none"/>
                <w:vertAlign w:val="subscript"/>
                <w:lang w:val="en-US" w:eastAsia="zh-CN" w:bidi="ar-SA"/>
              </w:rPr>
              <w:t>2.5</w:t>
            </w:r>
            <w:r>
              <w:rPr>
                <w:rFonts w:hint="eastAsia" w:ascii="Times New Roman" w:hAnsi="Times New Roman" w:eastAsia="宋体" w:cs="Times New Roman"/>
                <w:snapToGrid w:val="0"/>
                <w:color w:val="auto"/>
                <w:kern w:val="0"/>
                <w:sz w:val="21"/>
                <w:szCs w:val="21"/>
                <w:highlight w:val="none"/>
                <w:lang w:val="en-US" w:eastAsia="zh-CN" w:bidi="ar-SA"/>
              </w:rPr>
              <w:t>、CO和O</w:t>
            </w:r>
            <w:r>
              <w:rPr>
                <w:rFonts w:hint="eastAsia" w:ascii="Times New Roman" w:hAnsi="Times New Roman" w:eastAsia="宋体" w:cs="Times New Roman"/>
                <w:snapToGrid w:val="0"/>
                <w:color w:val="auto"/>
                <w:kern w:val="0"/>
                <w:sz w:val="21"/>
                <w:szCs w:val="21"/>
                <w:highlight w:val="none"/>
                <w:vertAlign w:val="subscript"/>
                <w:lang w:val="en-US" w:eastAsia="zh-CN" w:bidi="ar-SA"/>
              </w:rPr>
              <w:t>3</w:t>
            </w:r>
            <w:r>
              <w:rPr>
                <w:rFonts w:hint="eastAsia" w:ascii="Times New Roman" w:hAnsi="Times New Roman" w:eastAsia="宋体" w:cs="Times New Roman"/>
                <w:snapToGrid w:val="0"/>
                <w:color w:val="auto"/>
                <w:kern w:val="0"/>
                <w:sz w:val="21"/>
                <w:szCs w:val="21"/>
                <w:highlight w:val="none"/>
                <w:lang w:val="en-US" w:eastAsia="zh-CN" w:bidi="ar-SA"/>
              </w:rPr>
              <w:t>的数据。基本污染物现状采用《环境空气质量标准》（GB3095-20</w:t>
            </w:r>
            <w:r>
              <w:rPr>
                <w:rFonts w:hint="eastAsia" w:cs="Times New Roman"/>
                <w:snapToGrid w:val="0"/>
                <w:color w:val="auto"/>
                <w:kern w:val="0"/>
                <w:sz w:val="21"/>
                <w:szCs w:val="21"/>
                <w:highlight w:val="none"/>
                <w:lang w:val="en-US" w:eastAsia="zh-CN" w:bidi="ar-SA"/>
              </w:rPr>
              <w:t>12</w:t>
            </w:r>
            <w:r>
              <w:rPr>
                <w:rFonts w:hint="eastAsia" w:ascii="Times New Roman" w:hAnsi="Times New Roman" w:eastAsia="宋体" w:cs="Times New Roman"/>
                <w:snapToGrid w:val="0"/>
                <w:color w:val="auto"/>
                <w:kern w:val="0"/>
                <w:sz w:val="21"/>
                <w:szCs w:val="21"/>
                <w:highlight w:val="none"/>
                <w:lang w:val="en-US" w:eastAsia="zh-CN" w:bidi="ar-SA"/>
              </w:rPr>
              <w:t>）</w:t>
            </w:r>
            <w:r>
              <w:rPr>
                <w:rFonts w:hint="eastAsia" w:cs="Times New Roman"/>
                <w:snapToGrid w:val="0"/>
                <w:color w:val="auto"/>
                <w:kern w:val="0"/>
                <w:sz w:val="21"/>
                <w:szCs w:val="21"/>
                <w:highlight w:val="none"/>
                <w:lang w:val="en-US" w:eastAsia="zh-CN" w:bidi="ar-SA"/>
              </w:rPr>
              <w:t>及其修改单</w:t>
            </w:r>
            <w:r>
              <w:rPr>
                <w:rFonts w:hint="eastAsia" w:ascii="Times New Roman" w:hAnsi="Times New Roman" w:eastAsia="宋体" w:cs="Times New Roman"/>
                <w:snapToGrid w:val="0"/>
                <w:color w:val="auto"/>
                <w:kern w:val="0"/>
                <w:sz w:val="21"/>
                <w:szCs w:val="21"/>
                <w:highlight w:val="none"/>
                <w:lang w:val="en-US" w:eastAsia="zh-CN" w:bidi="ar-SA"/>
              </w:rPr>
              <w:t>中二级浓度限值进行评价，</w:t>
            </w:r>
            <w:r>
              <w:rPr>
                <w:rFonts w:hint="default" w:ascii="Times New Roman" w:hAnsi="Times New Roman" w:eastAsia="宋体" w:cs="Times New Roman"/>
                <w:color w:val="auto"/>
                <w:sz w:val="21"/>
                <w:szCs w:val="21"/>
                <w:highlight w:val="none"/>
              </w:rPr>
              <w:t>本次监测结果及分析评价见表</w:t>
            </w:r>
            <w:r>
              <w:rPr>
                <w:rFonts w:hint="eastAsia" w:ascii="Times New Roman" w:hAnsi="Times New Roman" w:eastAsia="宋体" w:cs="Times New Roman"/>
                <w:color w:val="auto"/>
                <w:sz w:val="21"/>
                <w:szCs w:val="21"/>
                <w:highlight w:val="none"/>
                <w:lang w:val="en-US" w:eastAsia="zh-CN"/>
              </w:rPr>
              <w:t>3-1</w:t>
            </w:r>
            <w:r>
              <w:rPr>
                <w:rFonts w:hint="default" w:ascii="Times New Roman" w:hAnsi="Times New Roman" w:eastAsia="宋体" w:cs="Times New Roman"/>
                <w:color w:val="auto"/>
                <w:sz w:val="21"/>
                <w:szCs w:val="21"/>
              </w:rPr>
              <w:t>。</w:t>
            </w:r>
          </w:p>
          <w:p w14:paraId="232229C9">
            <w:pPr>
              <w:pStyle w:val="158"/>
              <w:keepNext w:val="0"/>
              <w:keepLines w:val="0"/>
              <w:pageBreakBefore w:val="0"/>
              <w:widowControl/>
              <w:kinsoku/>
              <w:wordWrap/>
              <w:overflowPunct/>
              <w:topLinePunct w:val="0"/>
              <w:autoSpaceDE/>
              <w:autoSpaceDN/>
              <w:bidi w:val="0"/>
              <w:adjustRightInd w:val="0"/>
              <w:snapToGrid w:val="0"/>
              <w:spacing w:before="0" w:after="0" w:line="240" w:lineRule="auto"/>
              <w:ind w:left="0" w:leftChars="0" w:firstLine="0" w:firstLineChars="0"/>
              <w:jc w:val="center"/>
              <w:textAlignment w:val="auto"/>
              <w:rPr>
                <w:rFonts w:hint="eastAsia" w:ascii="Times New Roman" w:hAnsi="Times New Roman" w:eastAsia="黑体" w:cs="Times New Roman"/>
                <w:b w:val="0"/>
                <w:bCs w:val="0"/>
                <w:snapToGrid/>
                <w:color w:val="auto"/>
                <w:spacing w:val="0"/>
                <w:w w:val="100"/>
                <w:kern w:val="2"/>
                <w:sz w:val="21"/>
                <w:szCs w:val="21"/>
                <w:lang w:val="en-US" w:eastAsia="zh-CN" w:bidi="ar-SA"/>
              </w:rPr>
            </w:pPr>
            <w:r>
              <w:rPr>
                <w:rFonts w:hint="default" w:ascii="Times New Roman" w:hAnsi="Times New Roman" w:eastAsia="黑体" w:cs="Times New Roman"/>
                <w:b w:val="0"/>
                <w:bCs w:val="0"/>
                <w:snapToGrid/>
                <w:color w:val="auto"/>
                <w:spacing w:val="0"/>
                <w:w w:val="100"/>
                <w:kern w:val="2"/>
                <w:sz w:val="21"/>
                <w:szCs w:val="21"/>
                <w:lang w:val="en-US" w:eastAsia="zh-CN" w:bidi="ar-SA"/>
              </w:rPr>
              <w:t>表3-1</w:t>
            </w:r>
            <w:r>
              <w:rPr>
                <w:rFonts w:hint="eastAsia" w:ascii="Times New Roman" w:cs="Times New Roman"/>
                <w:b w:val="0"/>
                <w:bCs w:val="0"/>
                <w:snapToGrid/>
                <w:color w:val="auto"/>
                <w:spacing w:val="0"/>
                <w:w w:val="100"/>
                <w:kern w:val="2"/>
                <w:sz w:val="21"/>
                <w:szCs w:val="21"/>
                <w:lang w:val="en-US" w:eastAsia="zh-CN" w:bidi="ar-SA"/>
              </w:rPr>
              <w:t xml:space="preserve">  </w:t>
            </w:r>
            <w:r>
              <w:rPr>
                <w:rFonts w:hint="default" w:ascii="Times New Roman" w:hAnsi="Times New Roman" w:eastAsia="黑体" w:cs="Times New Roman"/>
                <w:b w:val="0"/>
                <w:bCs w:val="0"/>
                <w:snapToGrid/>
                <w:color w:val="auto"/>
                <w:spacing w:val="0"/>
                <w:w w:val="100"/>
                <w:kern w:val="2"/>
                <w:sz w:val="21"/>
                <w:szCs w:val="21"/>
                <w:lang w:val="en-US" w:eastAsia="zh-CN" w:bidi="ar-SA"/>
              </w:rPr>
              <w:t>环境空气常规因子现状监测及评价结果</w:t>
            </w:r>
          </w:p>
          <w:tbl>
            <w:tblPr>
              <w:tblStyle w:val="3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16"/>
              <w:gridCol w:w="3300"/>
              <w:gridCol w:w="1167"/>
              <w:gridCol w:w="1198"/>
              <w:gridCol w:w="933"/>
              <w:gridCol w:w="720"/>
            </w:tblGrid>
            <w:tr w14:paraId="158DC9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56" w:type="pct"/>
                  <w:tcBorders>
                    <w:tl2br w:val="nil"/>
                    <w:tr2bl w:val="nil"/>
                  </w:tcBorders>
                  <w:noWrap w:val="0"/>
                  <w:vAlign w:val="center"/>
                </w:tcPr>
                <w:p w14:paraId="1FA8B90F">
                  <w:pPr>
                    <w:pStyle w:val="229"/>
                    <w:keepNext w:val="0"/>
                    <w:keepLines w:val="0"/>
                    <w:pageBreakBefore w:val="0"/>
                    <w:widowControl w:val="0"/>
                    <w:kinsoku/>
                    <w:wordWrap/>
                    <w:overflowPunct/>
                    <w:topLinePunct w:val="0"/>
                    <w:autoSpaceDE/>
                    <w:autoSpaceDN/>
                    <w:bidi w:val="0"/>
                    <w:adjustRightInd w:val="0"/>
                    <w:snapToGrid w:val="0"/>
                    <w:textAlignment w:val="auto"/>
                    <w:rPr>
                      <w:b/>
                      <w:color w:val="auto"/>
                      <w:sz w:val="18"/>
                      <w:szCs w:val="18"/>
                    </w:rPr>
                  </w:pPr>
                  <w:r>
                    <w:rPr>
                      <w:b/>
                      <w:color w:val="auto"/>
                      <w:sz w:val="18"/>
                      <w:szCs w:val="18"/>
                    </w:rPr>
                    <w:t>污染物</w:t>
                  </w:r>
                </w:p>
              </w:tc>
              <w:tc>
                <w:tcPr>
                  <w:tcW w:w="2002" w:type="pct"/>
                  <w:tcBorders>
                    <w:tl2br w:val="nil"/>
                    <w:tr2bl w:val="nil"/>
                  </w:tcBorders>
                  <w:noWrap w:val="0"/>
                  <w:vAlign w:val="center"/>
                </w:tcPr>
                <w:p w14:paraId="30783CF9">
                  <w:pPr>
                    <w:pStyle w:val="229"/>
                    <w:keepNext w:val="0"/>
                    <w:keepLines w:val="0"/>
                    <w:pageBreakBefore w:val="0"/>
                    <w:widowControl w:val="0"/>
                    <w:kinsoku/>
                    <w:wordWrap/>
                    <w:overflowPunct/>
                    <w:topLinePunct w:val="0"/>
                    <w:autoSpaceDE/>
                    <w:autoSpaceDN/>
                    <w:bidi w:val="0"/>
                    <w:adjustRightInd w:val="0"/>
                    <w:snapToGrid w:val="0"/>
                    <w:textAlignment w:val="auto"/>
                    <w:rPr>
                      <w:b/>
                      <w:color w:val="auto"/>
                      <w:sz w:val="18"/>
                      <w:szCs w:val="18"/>
                    </w:rPr>
                  </w:pPr>
                  <w:r>
                    <w:rPr>
                      <w:b/>
                      <w:color w:val="auto"/>
                      <w:sz w:val="18"/>
                      <w:szCs w:val="18"/>
                    </w:rPr>
                    <w:t>年评价指标</w:t>
                  </w:r>
                </w:p>
              </w:tc>
              <w:tc>
                <w:tcPr>
                  <w:tcW w:w="708" w:type="pct"/>
                  <w:tcBorders>
                    <w:tl2br w:val="nil"/>
                    <w:tr2bl w:val="nil"/>
                  </w:tcBorders>
                  <w:noWrap w:val="0"/>
                  <w:vAlign w:val="center"/>
                </w:tcPr>
                <w:p w14:paraId="0FA40B2B">
                  <w:pPr>
                    <w:pStyle w:val="229"/>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b/>
                      <w:bCs w:val="0"/>
                      <w:color w:val="auto"/>
                      <w:sz w:val="18"/>
                      <w:szCs w:val="18"/>
                    </w:rPr>
                  </w:pPr>
                  <w:r>
                    <w:rPr>
                      <w:rFonts w:hint="default" w:ascii="Times New Roman" w:hAnsi="Times New Roman" w:cs="Times New Roman"/>
                      <w:b/>
                      <w:bCs w:val="0"/>
                      <w:color w:val="auto"/>
                      <w:sz w:val="18"/>
                      <w:szCs w:val="18"/>
                    </w:rPr>
                    <w:t>现状浓度</w:t>
                  </w:r>
                  <w:r>
                    <w:rPr>
                      <w:rFonts w:hint="default" w:ascii="Times New Roman" w:hAnsi="Times New Roman" w:cs="Times New Roman"/>
                      <w:b/>
                      <w:bCs w:val="0"/>
                      <w:color w:val="auto"/>
                      <w:sz w:val="18"/>
                      <w:szCs w:val="18"/>
                      <w:lang w:eastAsia="zh-CN"/>
                    </w:rPr>
                    <w:t>μg/m</w:t>
                  </w:r>
                  <w:r>
                    <w:rPr>
                      <w:rFonts w:hint="default" w:ascii="Times New Roman" w:hAnsi="Times New Roman" w:cs="Times New Roman"/>
                      <w:b/>
                      <w:bCs w:val="0"/>
                      <w:color w:val="auto"/>
                      <w:sz w:val="18"/>
                      <w:szCs w:val="18"/>
                      <w:vertAlign w:val="superscript"/>
                      <w:lang w:eastAsia="zh-CN"/>
                    </w:rPr>
                    <w:t>3</w:t>
                  </w:r>
                </w:p>
              </w:tc>
              <w:tc>
                <w:tcPr>
                  <w:tcW w:w="727" w:type="pct"/>
                  <w:tcBorders>
                    <w:tl2br w:val="nil"/>
                    <w:tr2bl w:val="nil"/>
                  </w:tcBorders>
                  <w:noWrap w:val="0"/>
                  <w:vAlign w:val="center"/>
                </w:tcPr>
                <w:p w14:paraId="31D3CA6B">
                  <w:pPr>
                    <w:pStyle w:val="229"/>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b/>
                      <w:bCs w:val="0"/>
                      <w:color w:val="auto"/>
                      <w:sz w:val="18"/>
                      <w:szCs w:val="18"/>
                    </w:rPr>
                  </w:pPr>
                  <w:r>
                    <w:rPr>
                      <w:rFonts w:hint="default" w:ascii="Times New Roman" w:hAnsi="Times New Roman" w:cs="Times New Roman"/>
                      <w:b/>
                      <w:bCs w:val="0"/>
                      <w:color w:val="auto"/>
                      <w:sz w:val="18"/>
                      <w:szCs w:val="18"/>
                    </w:rPr>
                    <w:t>评价标准</w:t>
                  </w:r>
                  <w:r>
                    <w:rPr>
                      <w:rFonts w:hint="default" w:ascii="Times New Roman" w:hAnsi="Times New Roman" w:cs="Times New Roman"/>
                      <w:b/>
                      <w:bCs w:val="0"/>
                      <w:color w:val="auto"/>
                      <w:sz w:val="18"/>
                      <w:szCs w:val="18"/>
                      <w:lang w:eastAsia="zh-CN"/>
                    </w:rPr>
                    <w:t>μg/m</w:t>
                  </w:r>
                  <w:r>
                    <w:rPr>
                      <w:rFonts w:hint="default" w:ascii="Times New Roman" w:hAnsi="Times New Roman" w:cs="Times New Roman"/>
                      <w:b/>
                      <w:bCs w:val="0"/>
                      <w:color w:val="auto"/>
                      <w:sz w:val="18"/>
                      <w:szCs w:val="18"/>
                      <w:vertAlign w:val="superscript"/>
                      <w:lang w:eastAsia="zh-CN"/>
                    </w:rPr>
                    <w:t>3</w:t>
                  </w:r>
                </w:p>
              </w:tc>
              <w:tc>
                <w:tcPr>
                  <w:tcW w:w="566" w:type="pct"/>
                  <w:tcBorders>
                    <w:tl2br w:val="nil"/>
                    <w:tr2bl w:val="nil"/>
                  </w:tcBorders>
                  <w:noWrap w:val="0"/>
                  <w:vAlign w:val="center"/>
                </w:tcPr>
                <w:p w14:paraId="63A884DA">
                  <w:pPr>
                    <w:pStyle w:val="229"/>
                    <w:keepNext w:val="0"/>
                    <w:keepLines w:val="0"/>
                    <w:pageBreakBefore w:val="0"/>
                    <w:widowControl w:val="0"/>
                    <w:kinsoku/>
                    <w:wordWrap/>
                    <w:overflowPunct/>
                    <w:topLinePunct w:val="0"/>
                    <w:autoSpaceDE/>
                    <w:autoSpaceDN/>
                    <w:bidi w:val="0"/>
                    <w:adjustRightInd w:val="0"/>
                    <w:snapToGrid w:val="0"/>
                    <w:textAlignment w:val="auto"/>
                    <w:rPr>
                      <w:rFonts w:hint="eastAsia" w:eastAsia="宋体"/>
                      <w:b/>
                      <w:bCs w:val="0"/>
                      <w:color w:val="auto"/>
                      <w:sz w:val="18"/>
                      <w:szCs w:val="18"/>
                      <w:lang w:val="en-US" w:eastAsia="zh-CN"/>
                    </w:rPr>
                  </w:pPr>
                  <w:r>
                    <w:rPr>
                      <w:b/>
                      <w:bCs w:val="0"/>
                      <w:color w:val="auto"/>
                      <w:sz w:val="18"/>
                      <w:szCs w:val="18"/>
                    </w:rPr>
                    <w:t>占标率</w:t>
                  </w:r>
                  <w:r>
                    <w:rPr>
                      <w:rFonts w:hint="eastAsia"/>
                      <w:b/>
                      <w:bCs w:val="0"/>
                      <w:color w:val="auto"/>
                      <w:sz w:val="18"/>
                      <w:szCs w:val="18"/>
                      <w:lang w:val="en-US" w:eastAsia="zh-CN"/>
                    </w:rPr>
                    <w:t>%</w:t>
                  </w:r>
                </w:p>
              </w:tc>
              <w:tc>
                <w:tcPr>
                  <w:tcW w:w="437" w:type="pct"/>
                  <w:tcBorders>
                    <w:tl2br w:val="nil"/>
                    <w:tr2bl w:val="nil"/>
                  </w:tcBorders>
                  <w:noWrap w:val="0"/>
                  <w:vAlign w:val="center"/>
                </w:tcPr>
                <w:p w14:paraId="4A5CEF99">
                  <w:pPr>
                    <w:pStyle w:val="229"/>
                    <w:keepNext w:val="0"/>
                    <w:keepLines w:val="0"/>
                    <w:pageBreakBefore w:val="0"/>
                    <w:widowControl w:val="0"/>
                    <w:kinsoku/>
                    <w:wordWrap/>
                    <w:overflowPunct/>
                    <w:topLinePunct w:val="0"/>
                    <w:autoSpaceDE/>
                    <w:autoSpaceDN/>
                    <w:bidi w:val="0"/>
                    <w:adjustRightInd w:val="0"/>
                    <w:snapToGrid w:val="0"/>
                    <w:textAlignment w:val="auto"/>
                    <w:rPr>
                      <w:b/>
                      <w:color w:val="auto"/>
                      <w:sz w:val="18"/>
                      <w:szCs w:val="18"/>
                    </w:rPr>
                  </w:pPr>
                  <w:r>
                    <w:rPr>
                      <w:b/>
                      <w:color w:val="auto"/>
                      <w:sz w:val="18"/>
                      <w:szCs w:val="18"/>
                    </w:rPr>
                    <w:t>达标情况</w:t>
                  </w:r>
                </w:p>
              </w:tc>
            </w:tr>
            <w:tr w14:paraId="57EBA4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56" w:type="pct"/>
                  <w:tcBorders>
                    <w:tl2br w:val="nil"/>
                    <w:tr2bl w:val="nil"/>
                  </w:tcBorders>
                  <w:noWrap w:val="0"/>
                  <w:vAlign w:val="center"/>
                </w:tcPr>
                <w:p w14:paraId="36DCA2AF">
                  <w:pPr>
                    <w:pStyle w:val="229"/>
                    <w:keepNext w:val="0"/>
                    <w:keepLines w:val="0"/>
                    <w:pageBreakBefore w:val="0"/>
                    <w:widowControl w:val="0"/>
                    <w:kinsoku/>
                    <w:wordWrap/>
                    <w:overflowPunct/>
                    <w:topLinePunct w:val="0"/>
                    <w:autoSpaceDE/>
                    <w:autoSpaceDN/>
                    <w:bidi w:val="0"/>
                    <w:adjustRightInd w:val="0"/>
                    <w:snapToGrid w:val="0"/>
                    <w:textAlignment w:val="auto"/>
                    <w:rPr>
                      <w:color w:val="auto"/>
                      <w:sz w:val="18"/>
                      <w:szCs w:val="18"/>
                    </w:rPr>
                  </w:pPr>
                  <w:r>
                    <w:rPr>
                      <w:color w:val="auto"/>
                      <w:sz w:val="18"/>
                      <w:szCs w:val="18"/>
                    </w:rPr>
                    <w:t>SO</w:t>
                  </w:r>
                  <w:r>
                    <w:rPr>
                      <w:color w:val="auto"/>
                      <w:sz w:val="18"/>
                      <w:szCs w:val="18"/>
                      <w:vertAlign w:val="subscript"/>
                    </w:rPr>
                    <w:t>2</w:t>
                  </w:r>
                </w:p>
              </w:tc>
              <w:tc>
                <w:tcPr>
                  <w:tcW w:w="2002" w:type="pct"/>
                  <w:tcBorders>
                    <w:tl2br w:val="nil"/>
                    <w:tr2bl w:val="nil"/>
                  </w:tcBorders>
                  <w:noWrap w:val="0"/>
                  <w:vAlign w:val="center"/>
                </w:tcPr>
                <w:p w14:paraId="33F44481">
                  <w:pPr>
                    <w:pStyle w:val="229"/>
                    <w:keepNext w:val="0"/>
                    <w:keepLines w:val="0"/>
                    <w:pageBreakBefore w:val="0"/>
                    <w:widowControl w:val="0"/>
                    <w:kinsoku/>
                    <w:wordWrap/>
                    <w:overflowPunct/>
                    <w:topLinePunct w:val="0"/>
                    <w:autoSpaceDE/>
                    <w:autoSpaceDN/>
                    <w:bidi w:val="0"/>
                    <w:adjustRightInd w:val="0"/>
                    <w:snapToGrid w:val="0"/>
                    <w:textAlignment w:val="auto"/>
                    <w:rPr>
                      <w:color w:val="auto"/>
                      <w:sz w:val="18"/>
                      <w:szCs w:val="18"/>
                    </w:rPr>
                  </w:pPr>
                  <w:r>
                    <w:rPr>
                      <w:color w:val="auto"/>
                      <w:sz w:val="18"/>
                      <w:szCs w:val="18"/>
                    </w:rPr>
                    <w:t>年平均质量浓度</w:t>
                  </w:r>
                </w:p>
              </w:tc>
              <w:tc>
                <w:tcPr>
                  <w:tcW w:w="708" w:type="pct"/>
                  <w:tcBorders>
                    <w:tl2br w:val="nil"/>
                    <w:tr2bl w:val="nil"/>
                  </w:tcBorders>
                  <w:noWrap w:val="0"/>
                  <w:vAlign w:val="center"/>
                </w:tcPr>
                <w:p w14:paraId="675B64F4">
                  <w:pPr>
                    <w:pStyle w:val="229"/>
                    <w:keepNext w:val="0"/>
                    <w:keepLines w:val="0"/>
                    <w:pageBreakBefore w:val="0"/>
                    <w:widowControl w:val="0"/>
                    <w:kinsoku/>
                    <w:wordWrap/>
                    <w:overflowPunct/>
                    <w:topLinePunct w:val="0"/>
                    <w:autoSpaceDE/>
                    <w:autoSpaceDN/>
                    <w:bidi w:val="0"/>
                    <w:adjustRightInd w:val="0"/>
                    <w:snapToGrid w:val="0"/>
                    <w:textAlignment w:val="auto"/>
                    <w:rPr>
                      <w:rFonts w:hint="eastAsia" w:eastAsia="宋体"/>
                      <w:color w:val="auto"/>
                      <w:sz w:val="18"/>
                      <w:szCs w:val="18"/>
                      <w:lang w:eastAsia="zh-CN"/>
                    </w:rPr>
                  </w:pPr>
                  <w:r>
                    <w:rPr>
                      <w:rFonts w:hint="eastAsia"/>
                      <w:color w:val="auto"/>
                      <w:sz w:val="18"/>
                      <w:szCs w:val="18"/>
                      <w:lang w:val="en-US" w:eastAsia="zh-CN"/>
                    </w:rPr>
                    <w:t>7</w:t>
                  </w:r>
                </w:p>
              </w:tc>
              <w:tc>
                <w:tcPr>
                  <w:tcW w:w="727" w:type="pct"/>
                  <w:tcBorders>
                    <w:tl2br w:val="nil"/>
                    <w:tr2bl w:val="nil"/>
                  </w:tcBorders>
                  <w:noWrap w:val="0"/>
                  <w:vAlign w:val="center"/>
                </w:tcPr>
                <w:p w14:paraId="2104FF39">
                  <w:pPr>
                    <w:pStyle w:val="229"/>
                    <w:keepNext w:val="0"/>
                    <w:keepLines w:val="0"/>
                    <w:pageBreakBefore w:val="0"/>
                    <w:widowControl w:val="0"/>
                    <w:kinsoku/>
                    <w:wordWrap/>
                    <w:overflowPunct/>
                    <w:topLinePunct w:val="0"/>
                    <w:autoSpaceDE/>
                    <w:autoSpaceDN/>
                    <w:bidi w:val="0"/>
                    <w:adjustRightInd w:val="0"/>
                    <w:snapToGrid w:val="0"/>
                    <w:textAlignment w:val="auto"/>
                    <w:rPr>
                      <w:color w:val="auto"/>
                      <w:sz w:val="18"/>
                      <w:szCs w:val="18"/>
                    </w:rPr>
                  </w:pPr>
                  <w:r>
                    <w:rPr>
                      <w:color w:val="auto"/>
                      <w:sz w:val="18"/>
                      <w:szCs w:val="18"/>
                    </w:rPr>
                    <w:t>60</w:t>
                  </w:r>
                </w:p>
              </w:tc>
              <w:tc>
                <w:tcPr>
                  <w:tcW w:w="566" w:type="pct"/>
                  <w:tcBorders>
                    <w:tl2br w:val="nil"/>
                    <w:tr2bl w:val="nil"/>
                  </w:tcBorders>
                  <w:noWrap w:val="0"/>
                  <w:vAlign w:val="center"/>
                </w:tcPr>
                <w:p w14:paraId="26348786">
                  <w:pPr>
                    <w:pStyle w:val="22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eastAsia="宋体"/>
                      <w:color w:val="auto"/>
                      <w:sz w:val="18"/>
                      <w:szCs w:val="18"/>
                      <w:lang w:val="en-US" w:eastAsia="zh-CN"/>
                    </w:rPr>
                  </w:pPr>
                  <w:r>
                    <w:rPr>
                      <w:rFonts w:hint="eastAsia" w:eastAsia="宋体"/>
                      <w:color w:val="auto"/>
                      <w:sz w:val="18"/>
                      <w:szCs w:val="18"/>
                      <w:lang w:val="en-US" w:eastAsia="zh-CN"/>
                    </w:rPr>
                    <w:t>12</w:t>
                  </w:r>
                </w:p>
              </w:tc>
              <w:tc>
                <w:tcPr>
                  <w:tcW w:w="437" w:type="pct"/>
                  <w:tcBorders>
                    <w:tl2br w:val="nil"/>
                    <w:tr2bl w:val="nil"/>
                  </w:tcBorders>
                  <w:noWrap w:val="0"/>
                  <w:vAlign w:val="center"/>
                </w:tcPr>
                <w:p w14:paraId="24B988D2">
                  <w:pPr>
                    <w:pStyle w:val="229"/>
                    <w:keepNext w:val="0"/>
                    <w:keepLines w:val="0"/>
                    <w:pageBreakBefore w:val="0"/>
                    <w:widowControl w:val="0"/>
                    <w:kinsoku/>
                    <w:wordWrap/>
                    <w:overflowPunct/>
                    <w:topLinePunct w:val="0"/>
                    <w:autoSpaceDE/>
                    <w:autoSpaceDN/>
                    <w:bidi w:val="0"/>
                    <w:adjustRightInd w:val="0"/>
                    <w:snapToGrid w:val="0"/>
                    <w:textAlignment w:val="auto"/>
                    <w:rPr>
                      <w:color w:val="auto"/>
                      <w:sz w:val="18"/>
                      <w:szCs w:val="18"/>
                    </w:rPr>
                  </w:pPr>
                  <w:r>
                    <w:rPr>
                      <w:color w:val="auto"/>
                      <w:sz w:val="18"/>
                      <w:szCs w:val="18"/>
                    </w:rPr>
                    <w:t>达标</w:t>
                  </w:r>
                </w:p>
              </w:tc>
            </w:tr>
            <w:tr w14:paraId="38D476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56" w:type="pct"/>
                  <w:tcBorders>
                    <w:tl2br w:val="nil"/>
                    <w:tr2bl w:val="nil"/>
                  </w:tcBorders>
                  <w:noWrap w:val="0"/>
                  <w:vAlign w:val="center"/>
                </w:tcPr>
                <w:p w14:paraId="5DD04443">
                  <w:pPr>
                    <w:pStyle w:val="229"/>
                    <w:keepNext w:val="0"/>
                    <w:keepLines w:val="0"/>
                    <w:pageBreakBefore w:val="0"/>
                    <w:widowControl w:val="0"/>
                    <w:kinsoku/>
                    <w:wordWrap/>
                    <w:overflowPunct/>
                    <w:topLinePunct w:val="0"/>
                    <w:autoSpaceDE/>
                    <w:autoSpaceDN/>
                    <w:bidi w:val="0"/>
                    <w:adjustRightInd w:val="0"/>
                    <w:snapToGrid w:val="0"/>
                    <w:textAlignment w:val="auto"/>
                    <w:rPr>
                      <w:color w:val="auto"/>
                      <w:sz w:val="18"/>
                      <w:szCs w:val="18"/>
                    </w:rPr>
                  </w:pPr>
                  <w:r>
                    <w:rPr>
                      <w:color w:val="auto"/>
                      <w:sz w:val="18"/>
                      <w:szCs w:val="18"/>
                    </w:rPr>
                    <w:t>NO</w:t>
                  </w:r>
                  <w:r>
                    <w:rPr>
                      <w:color w:val="auto"/>
                      <w:sz w:val="18"/>
                      <w:szCs w:val="18"/>
                      <w:vertAlign w:val="subscript"/>
                    </w:rPr>
                    <w:t>2</w:t>
                  </w:r>
                </w:p>
              </w:tc>
              <w:tc>
                <w:tcPr>
                  <w:tcW w:w="2002" w:type="pct"/>
                  <w:tcBorders>
                    <w:tl2br w:val="nil"/>
                    <w:tr2bl w:val="nil"/>
                  </w:tcBorders>
                  <w:noWrap w:val="0"/>
                  <w:vAlign w:val="center"/>
                </w:tcPr>
                <w:p w14:paraId="3816B5FF">
                  <w:pPr>
                    <w:pStyle w:val="229"/>
                    <w:keepNext w:val="0"/>
                    <w:keepLines w:val="0"/>
                    <w:pageBreakBefore w:val="0"/>
                    <w:widowControl w:val="0"/>
                    <w:kinsoku/>
                    <w:wordWrap/>
                    <w:overflowPunct/>
                    <w:topLinePunct w:val="0"/>
                    <w:autoSpaceDE/>
                    <w:autoSpaceDN/>
                    <w:bidi w:val="0"/>
                    <w:adjustRightInd w:val="0"/>
                    <w:snapToGrid w:val="0"/>
                    <w:textAlignment w:val="auto"/>
                    <w:rPr>
                      <w:color w:val="auto"/>
                      <w:sz w:val="18"/>
                      <w:szCs w:val="18"/>
                    </w:rPr>
                  </w:pPr>
                  <w:r>
                    <w:rPr>
                      <w:color w:val="auto"/>
                      <w:sz w:val="18"/>
                      <w:szCs w:val="18"/>
                    </w:rPr>
                    <w:t>年平均质量浓度</w:t>
                  </w:r>
                </w:p>
              </w:tc>
              <w:tc>
                <w:tcPr>
                  <w:tcW w:w="708" w:type="pct"/>
                  <w:tcBorders>
                    <w:tl2br w:val="nil"/>
                    <w:tr2bl w:val="nil"/>
                  </w:tcBorders>
                  <w:noWrap w:val="0"/>
                  <w:vAlign w:val="center"/>
                </w:tcPr>
                <w:p w14:paraId="03E638D4">
                  <w:pPr>
                    <w:pStyle w:val="22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eastAsia="宋体"/>
                      <w:color w:val="auto"/>
                      <w:sz w:val="18"/>
                      <w:szCs w:val="18"/>
                      <w:lang w:val="en-US" w:eastAsia="zh-CN"/>
                    </w:rPr>
                  </w:pPr>
                  <w:r>
                    <w:rPr>
                      <w:rFonts w:hint="eastAsia" w:eastAsia="宋体"/>
                      <w:color w:val="auto"/>
                      <w:sz w:val="18"/>
                      <w:szCs w:val="18"/>
                      <w:lang w:val="en-US" w:eastAsia="zh-CN"/>
                    </w:rPr>
                    <w:t>30</w:t>
                  </w:r>
                </w:p>
              </w:tc>
              <w:tc>
                <w:tcPr>
                  <w:tcW w:w="727" w:type="pct"/>
                  <w:tcBorders>
                    <w:tl2br w:val="nil"/>
                    <w:tr2bl w:val="nil"/>
                  </w:tcBorders>
                  <w:noWrap w:val="0"/>
                  <w:vAlign w:val="center"/>
                </w:tcPr>
                <w:p w14:paraId="4701582B">
                  <w:pPr>
                    <w:pStyle w:val="229"/>
                    <w:keepNext w:val="0"/>
                    <w:keepLines w:val="0"/>
                    <w:pageBreakBefore w:val="0"/>
                    <w:widowControl w:val="0"/>
                    <w:kinsoku/>
                    <w:wordWrap/>
                    <w:overflowPunct/>
                    <w:topLinePunct w:val="0"/>
                    <w:autoSpaceDE/>
                    <w:autoSpaceDN/>
                    <w:bidi w:val="0"/>
                    <w:adjustRightInd w:val="0"/>
                    <w:snapToGrid w:val="0"/>
                    <w:textAlignment w:val="auto"/>
                    <w:rPr>
                      <w:color w:val="auto"/>
                      <w:sz w:val="18"/>
                      <w:szCs w:val="18"/>
                    </w:rPr>
                  </w:pPr>
                  <w:r>
                    <w:rPr>
                      <w:color w:val="auto"/>
                      <w:sz w:val="18"/>
                      <w:szCs w:val="18"/>
                    </w:rPr>
                    <w:t>40</w:t>
                  </w:r>
                </w:p>
              </w:tc>
              <w:tc>
                <w:tcPr>
                  <w:tcW w:w="566" w:type="pct"/>
                  <w:tcBorders>
                    <w:tl2br w:val="nil"/>
                    <w:tr2bl w:val="nil"/>
                  </w:tcBorders>
                  <w:noWrap w:val="0"/>
                  <w:vAlign w:val="center"/>
                </w:tcPr>
                <w:p w14:paraId="3765AB08">
                  <w:pPr>
                    <w:pStyle w:val="22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eastAsia="宋体"/>
                      <w:color w:val="auto"/>
                      <w:sz w:val="18"/>
                      <w:szCs w:val="18"/>
                      <w:lang w:val="en-US" w:eastAsia="zh-CN"/>
                    </w:rPr>
                  </w:pPr>
                  <w:r>
                    <w:rPr>
                      <w:rFonts w:hint="eastAsia"/>
                      <w:color w:val="auto"/>
                      <w:sz w:val="18"/>
                      <w:szCs w:val="18"/>
                      <w:lang w:val="en-US" w:eastAsia="zh-CN"/>
                    </w:rPr>
                    <w:t>75</w:t>
                  </w:r>
                </w:p>
              </w:tc>
              <w:tc>
                <w:tcPr>
                  <w:tcW w:w="437" w:type="pct"/>
                  <w:tcBorders>
                    <w:tl2br w:val="nil"/>
                    <w:tr2bl w:val="nil"/>
                  </w:tcBorders>
                  <w:noWrap w:val="0"/>
                  <w:vAlign w:val="center"/>
                </w:tcPr>
                <w:p w14:paraId="5940440C">
                  <w:pPr>
                    <w:pStyle w:val="229"/>
                    <w:keepNext w:val="0"/>
                    <w:keepLines w:val="0"/>
                    <w:pageBreakBefore w:val="0"/>
                    <w:widowControl w:val="0"/>
                    <w:kinsoku/>
                    <w:wordWrap/>
                    <w:overflowPunct/>
                    <w:topLinePunct w:val="0"/>
                    <w:autoSpaceDE/>
                    <w:autoSpaceDN/>
                    <w:bidi w:val="0"/>
                    <w:adjustRightInd w:val="0"/>
                    <w:snapToGrid w:val="0"/>
                    <w:textAlignment w:val="auto"/>
                    <w:rPr>
                      <w:color w:val="auto"/>
                      <w:sz w:val="18"/>
                      <w:szCs w:val="18"/>
                    </w:rPr>
                  </w:pPr>
                  <w:r>
                    <w:rPr>
                      <w:color w:val="auto"/>
                      <w:sz w:val="18"/>
                      <w:szCs w:val="18"/>
                    </w:rPr>
                    <w:t>达标</w:t>
                  </w:r>
                </w:p>
              </w:tc>
            </w:tr>
            <w:tr w14:paraId="6D73D0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56" w:type="pct"/>
                  <w:tcBorders>
                    <w:tl2br w:val="nil"/>
                    <w:tr2bl w:val="nil"/>
                  </w:tcBorders>
                  <w:noWrap w:val="0"/>
                  <w:vAlign w:val="center"/>
                </w:tcPr>
                <w:p w14:paraId="4B432747">
                  <w:pPr>
                    <w:pStyle w:val="229"/>
                    <w:keepNext w:val="0"/>
                    <w:keepLines w:val="0"/>
                    <w:pageBreakBefore w:val="0"/>
                    <w:widowControl w:val="0"/>
                    <w:kinsoku/>
                    <w:wordWrap/>
                    <w:overflowPunct/>
                    <w:topLinePunct w:val="0"/>
                    <w:autoSpaceDE/>
                    <w:autoSpaceDN/>
                    <w:bidi w:val="0"/>
                    <w:adjustRightInd w:val="0"/>
                    <w:snapToGrid w:val="0"/>
                    <w:textAlignment w:val="auto"/>
                    <w:rPr>
                      <w:color w:val="auto"/>
                      <w:sz w:val="18"/>
                      <w:szCs w:val="18"/>
                    </w:rPr>
                  </w:pPr>
                  <w:r>
                    <w:rPr>
                      <w:color w:val="auto"/>
                      <w:sz w:val="18"/>
                      <w:szCs w:val="18"/>
                    </w:rPr>
                    <w:t>PM</w:t>
                  </w:r>
                  <w:r>
                    <w:rPr>
                      <w:color w:val="auto"/>
                      <w:sz w:val="18"/>
                      <w:szCs w:val="18"/>
                      <w:vertAlign w:val="subscript"/>
                    </w:rPr>
                    <w:t>10</w:t>
                  </w:r>
                </w:p>
              </w:tc>
              <w:tc>
                <w:tcPr>
                  <w:tcW w:w="2002" w:type="pct"/>
                  <w:tcBorders>
                    <w:tl2br w:val="nil"/>
                    <w:tr2bl w:val="nil"/>
                  </w:tcBorders>
                  <w:noWrap w:val="0"/>
                  <w:vAlign w:val="center"/>
                </w:tcPr>
                <w:p w14:paraId="61570C2E">
                  <w:pPr>
                    <w:pStyle w:val="229"/>
                    <w:keepNext w:val="0"/>
                    <w:keepLines w:val="0"/>
                    <w:pageBreakBefore w:val="0"/>
                    <w:widowControl w:val="0"/>
                    <w:kinsoku/>
                    <w:wordWrap/>
                    <w:overflowPunct/>
                    <w:topLinePunct w:val="0"/>
                    <w:autoSpaceDE/>
                    <w:autoSpaceDN/>
                    <w:bidi w:val="0"/>
                    <w:adjustRightInd w:val="0"/>
                    <w:snapToGrid w:val="0"/>
                    <w:textAlignment w:val="auto"/>
                    <w:rPr>
                      <w:color w:val="auto"/>
                      <w:sz w:val="18"/>
                      <w:szCs w:val="18"/>
                    </w:rPr>
                  </w:pPr>
                  <w:r>
                    <w:rPr>
                      <w:color w:val="auto"/>
                      <w:sz w:val="18"/>
                      <w:szCs w:val="18"/>
                    </w:rPr>
                    <w:t>年平均质量浓度</w:t>
                  </w:r>
                </w:p>
              </w:tc>
              <w:tc>
                <w:tcPr>
                  <w:tcW w:w="708" w:type="pct"/>
                  <w:tcBorders>
                    <w:tl2br w:val="nil"/>
                    <w:tr2bl w:val="nil"/>
                  </w:tcBorders>
                  <w:noWrap w:val="0"/>
                  <w:vAlign w:val="center"/>
                </w:tcPr>
                <w:p w14:paraId="4348F8EF">
                  <w:pPr>
                    <w:pStyle w:val="22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eastAsia="宋体"/>
                      <w:color w:val="auto"/>
                      <w:sz w:val="18"/>
                      <w:szCs w:val="18"/>
                      <w:lang w:val="en-US" w:eastAsia="zh-CN"/>
                    </w:rPr>
                  </w:pPr>
                  <w:r>
                    <w:rPr>
                      <w:rFonts w:hint="eastAsia" w:eastAsia="宋体"/>
                      <w:color w:val="auto"/>
                      <w:sz w:val="18"/>
                      <w:szCs w:val="18"/>
                      <w:lang w:val="en-US" w:eastAsia="zh-CN"/>
                    </w:rPr>
                    <w:t>70</w:t>
                  </w:r>
                </w:p>
              </w:tc>
              <w:tc>
                <w:tcPr>
                  <w:tcW w:w="727" w:type="pct"/>
                  <w:tcBorders>
                    <w:tl2br w:val="nil"/>
                    <w:tr2bl w:val="nil"/>
                  </w:tcBorders>
                  <w:noWrap w:val="0"/>
                  <w:vAlign w:val="center"/>
                </w:tcPr>
                <w:p w14:paraId="37284157">
                  <w:pPr>
                    <w:pStyle w:val="229"/>
                    <w:keepNext w:val="0"/>
                    <w:keepLines w:val="0"/>
                    <w:pageBreakBefore w:val="0"/>
                    <w:widowControl w:val="0"/>
                    <w:kinsoku/>
                    <w:wordWrap/>
                    <w:overflowPunct/>
                    <w:topLinePunct w:val="0"/>
                    <w:autoSpaceDE/>
                    <w:autoSpaceDN/>
                    <w:bidi w:val="0"/>
                    <w:adjustRightInd w:val="0"/>
                    <w:snapToGrid w:val="0"/>
                    <w:textAlignment w:val="auto"/>
                    <w:rPr>
                      <w:rFonts w:hint="default" w:eastAsia="宋体"/>
                      <w:color w:val="auto"/>
                      <w:sz w:val="18"/>
                      <w:szCs w:val="18"/>
                      <w:lang w:val="en-US" w:eastAsia="zh-CN"/>
                    </w:rPr>
                  </w:pPr>
                  <w:r>
                    <w:rPr>
                      <w:rFonts w:hint="eastAsia"/>
                      <w:color w:val="auto"/>
                      <w:sz w:val="18"/>
                      <w:szCs w:val="18"/>
                      <w:lang w:val="en-US" w:eastAsia="zh-CN"/>
                    </w:rPr>
                    <w:t>70</w:t>
                  </w:r>
                </w:p>
              </w:tc>
              <w:tc>
                <w:tcPr>
                  <w:tcW w:w="566" w:type="pct"/>
                  <w:tcBorders>
                    <w:tl2br w:val="nil"/>
                    <w:tr2bl w:val="nil"/>
                  </w:tcBorders>
                  <w:noWrap w:val="0"/>
                  <w:vAlign w:val="center"/>
                </w:tcPr>
                <w:p w14:paraId="62CAEA9F">
                  <w:pPr>
                    <w:pStyle w:val="22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eastAsia="宋体"/>
                      <w:color w:val="auto"/>
                      <w:sz w:val="18"/>
                      <w:szCs w:val="18"/>
                      <w:lang w:val="en-US" w:eastAsia="zh-CN"/>
                    </w:rPr>
                  </w:pPr>
                  <w:r>
                    <w:rPr>
                      <w:rFonts w:hint="eastAsia"/>
                      <w:color w:val="auto"/>
                      <w:sz w:val="18"/>
                      <w:szCs w:val="18"/>
                      <w:lang w:val="en-US" w:eastAsia="zh-CN"/>
                    </w:rPr>
                    <w:t>100</w:t>
                  </w:r>
                </w:p>
              </w:tc>
              <w:tc>
                <w:tcPr>
                  <w:tcW w:w="437" w:type="pct"/>
                  <w:tcBorders>
                    <w:tl2br w:val="nil"/>
                    <w:tr2bl w:val="nil"/>
                  </w:tcBorders>
                  <w:noWrap w:val="0"/>
                  <w:vAlign w:val="center"/>
                </w:tcPr>
                <w:p w14:paraId="7D527FC8">
                  <w:pPr>
                    <w:pStyle w:val="229"/>
                    <w:keepNext w:val="0"/>
                    <w:keepLines w:val="0"/>
                    <w:pageBreakBefore w:val="0"/>
                    <w:widowControl w:val="0"/>
                    <w:kinsoku/>
                    <w:wordWrap/>
                    <w:overflowPunct/>
                    <w:topLinePunct w:val="0"/>
                    <w:autoSpaceDE/>
                    <w:autoSpaceDN/>
                    <w:bidi w:val="0"/>
                    <w:adjustRightInd w:val="0"/>
                    <w:snapToGrid w:val="0"/>
                    <w:textAlignment w:val="auto"/>
                    <w:rPr>
                      <w:color w:val="auto"/>
                      <w:sz w:val="18"/>
                      <w:szCs w:val="18"/>
                    </w:rPr>
                  </w:pPr>
                  <w:r>
                    <w:rPr>
                      <w:color w:val="auto"/>
                      <w:sz w:val="18"/>
                      <w:szCs w:val="18"/>
                    </w:rPr>
                    <w:t>超标</w:t>
                  </w:r>
                </w:p>
              </w:tc>
            </w:tr>
            <w:tr w14:paraId="3E9899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556" w:type="pct"/>
                  <w:tcBorders>
                    <w:tl2br w:val="nil"/>
                    <w:tr2bl w:val="nil"/>
                  </w:tcBorders>
                  <w:noWrap w:val="0"/>
                  <w:vAlign w:val="center"/>
                </w:tcPr>
                <w:p w14:paraId="4D5E3A8C">
                  <w:pPr>
                    <w:pStyle w:val="229"/>
                    <w:keepNext w:val="0"/>
                    <w:keepLines w:val="0"/>
                    <w:pageBreakBefore w:val="0"/>
                    <w:widowControl w:val="0"/>
                    <w:kinsoku/>
                    <w:wordWrap/>
                    <w:overflowPunct/>
                    <w:topLinePunct w:val="0"/>
                    <w:autoSpaceDE/>
                    <w:autoSpaceDN/>
                    <w:bidi w:val="0"/>
                    <w:adjustRightInd w:val="0"/>
                    <w:snapToGrid w:val="0"/>
                    <w:textAlignment w:val="auto"/>
                    <w:rPr>
                      <w:color w:val="auto"/>
                      <w:sz w:val="18"/>
                      <w:szCs w:val="18"/>
                    </w:rPr>
                  </w:pPr>
                  <w:r>
                    <w:rPr>
                      <w:color w:val="auto"/>
                      <w:sz w:val="18"/>
                      <w:szCs w:val="18"/>
                    </w:rPr>
                    <w:t>PM</w:t>
                  </w:r>
                  <w:r>
                    <w:rPr>
                      <w:color w:val="auto"/>
                      <w:sz w:val="18"/>
                      <w:szCs w:val="18"/>
                      <w:vertAlign w:val="subscript"/>
                    </w:rPr>
                    <w:t>2.5</w:t>
                  </w:r>
                </w:p>
              </w:tc>
              <w:tc>
                <w:tcPr>
                  <w:tcW w:w="2002" w:type="pct"/>
                  <w:tcBorders>
                    <w:tl2br w:val="nil"/>
                    <w:tr2bl w:val="nil"/>
                  </w:tcBorders>
                  <w:noWrap w:val="0"/>
                  <w:vAlign w:val="center"/>
                </w:tcPr>
                <w:p w14:paraId="4E994EA3">
                  <w:pPr>
                    <w:pStyle w:val="229"/>
                    <w:keepNext w:val="0"/>
                    <w:keepLines w:val="0"/>
                    <w:pageBreakBefore w:val="0"/>
                    <w:widowControl w:val="0"/>
                    <w:kinsoku/>
                    <w:wordWrap/>
                    <w:overflowPunct/>
                    <w:topLinePunct w:val="0"/>
                    <w:autoSpaceDE/>
                    <w:autoSpaceDN/>
                    <w:bidi w:val="0"/>
                    <w:adjustRightInd w:val="0"/>
                    <w:snapToGrid w:val="0"/>
                    <w:textAlignment w:val="auto"/>
                    <w:rPr>
                      <w:color w:val="auto"/>
                      <w:sz w:val="18"/>
                      <w:szCs w:val="18"/>
                    </w:rPr>
                  </w:pPr>
                  <w:r>
                    <w:rPr>
                      <w:color w:val="auto"/>
                      <w:sz w:val="18"/>
                      <w:szCs w:val="18"/>
                    </w:rPr>
                    <w:t>年平均质量浓度</w:t>
                  </w:r>
                </w:p>
              </w:tc>
              <w:tc>
                <w:tcPr>
                  <w:tcW w:w="708" w:type="pct"/>
                  <w:tcBorders>
                    <w:tl2br w:val="nil"/>
                    <w:tr2bl w:val="nil"/>
                  </w:tcBorders>
                  <w:noWrap w:val="0"/>
                  <w:vAlign w:val="center"/>
                </w:tcPr>
                <w:p w14:paraId="7047A173">
                  <w:pPr>
                    <w:pStyle w:val="22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eastAsia="宋体"/>
                      <w:color w:val="auto"/>
                      <w:sz w:val="18"/>
                      <w:szCs w:val="18"/>
                      <w:lang w:val="en-US" w:eastAsia="zh-CN"/>
                    </w:rPr>
                  </w:pPr>
                  <w:r>
                    <w:rPr>
                      <w:rFonts w:hint="eastAsia" w:eastAsia="宋体"/>
                      <w:color w:val="auto"/>
                      <w:sz w:val="18"/>
                      <w:szCs w:val="18"/>
                      <w:lang w:val="en-US" w:eastAsia="zh-CN"/>
                    </w:rPr>
                    <w:t>40</w:t>
                  </w:r>
                </w:p>
              </w:tc>
              <w:tc>
                <w:tcPr>
                  <w:tcW w:w="727" w:type="pct"/>
                  <w:tcBorders>
                    <w:tl2br w:val="nil"/>
                    <w:tr2bl w:val="nil"/>
                  </w:tcBorders>
                  <w:noWrap w:val="0"/>
                  <w:vAlign w:val="center"/>
                </w:tcPr>
                <w:p w14:paraId="5F7CB627">
                  <w:pPr>
                    <w:pStyle w:val="229"/>
                    <w:keepNext w:val="0"/>
                    <w:keepLines w:val="0"/>
                    <w:pageBreakBefore w:val="0"/>
                    <w:widowControl w:val="0"/>
                    <w:kinsoku/>
                    <w:wordWrap/>
                    <w:overflowPunct/>
                    <w:topLinePunct w:val="0"/>
                    <w:autoSpaceDE/>
                    <w:autoSpaceDN/>
                    <w:bidi w:val="0"/>
                    <w:adjustRightInd w:val="0"/>
                    <w:snapToGrid w:val="0"/>
                    <w:textAlignment w:val="auto"/>
                    <w:rPr>
                      <w:rFonts w:hint="default" w:eastAsia="宋体"/>
                      <w:color w:val="auto"/>
                      <w:sz w:val="18"/>
                      <w:szCs w:val="18"/>
                      <w:lang w:val="en-US" w:eastAsia="zh-CN"/>
                    </w:rPr>
                  </w:pPr>
                  <w:r>
                    <w:rPr>
                      <w:rFonts w:hint="eastAsia"/>
                      <w:color w:val="auto"/>
                      <w:sz w:val="18"/>
                      <w:szCs w:val="18"/>
                      <w:lang w:val="en-US" w:eastAsia="zh-CN"/>
                    </w:rPr>
                    <w:t>35</w:t>
                  </w:r>
                </w:p>
              </w:tc>
              <w:tc>
                <w:tcPr>
                  <w:tcW w:w="566" w:type="pct"/>
                  <w:tcBorders>
                    <w:tl2br w:val="nil"/>
                    <w:tr2bl w:val="nil"/>
                  </w:tcBorders>
                  <w:noWrap w:val="0"/>
                  <w:vAlign w:val="center"/>
                </w:tcPr>
                <w:p w14:paraId="0BFC64E6">
                  <w:pPr>
                    <w:pStyle w:val="22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eastAsia="宋体"/>
                      <w:color w:val="auto"/>
                      <w:sz w:val="18"/>
                      <w:szCs w:val="18"/>
                      <w:lang w:val="en-US" w:eastAsia="zh-CN"/>
                    </w:rPr>
                  </w:pPr>
                  <w:r>
                    <w:rPr>
                      <w:rFonts w:hint="eastAsia"/>
                      <w:color w:val="auto"/>
                      <w:sz w:val="18"/>
                      <w:szCs w:val="18"/>
                      <w:lang w:val="en-US" w:eastAsia="zh-CN"/>
                    </w:rPr>
                    <w:t>114</w:t>
                  </w:r>
                </w:p>
              </w:tc>
              <w:tc>
                <w:tcPr>
                  <w:tcW w:w="437" w:type="pct"/>
                  <w:tcBorders>
                    <w:tl2br w:val="nil"/>
                    <w:tr2bl w:val="nil"/>
                  </w:tcBorders>
                  <w:noWrap w:val="0"/>
                  <w:vAlign w:val="center"/>
                </w:tcPr>
                <w:p w14:paraId="3C940101">
                  <w:pPr>
                    <w:pStyle w:val="229"/>
                    <w:keepNext w:val="0"/>
                    <w:keepLines w:val="0"/>
                    <w:pageBreakBefore w:val="0"/>
                    <w:widowControl w:val="0"/>
                    <w:kinsoku/>
                    <w:wordWrap/>
                    <w:overflowPunct/>
                    <w:topLinePunct w:val="0"/>
                    <w:autoSpaceDE/>
                    <w:autoSpaceDN/>
                    <w:bidi w:val="0"/>
                    <w:adjustRightInd w:val="0"/>
                    <w:snapToGrid w:val="0"/>
                    <w:textAlignment w:val="auto"/>
                    <w:rPr>
                      <w:color w:val="auto"/>
                      <w:sz w:val="18"/>
                      <w:szCs w:val="18"/>
                    </w:rPr>
                  </w:pPr>
                  <w:r>
                    <w:rPr>
                      <w:color w:val="auto"/>
                      <w:sz w:val="18"/>
                      <w:szCs w:val="18"/>
                    </w:rPr>
                    <w:t>超标</w:t>
                  </w:r>
                </w:p>
              </w:tc>
            </w:tr>
            <w:tr w14:paraId="65BA32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56" w:type="pct"/>
                  <w:tcBorders>
                    <w:tl2br w:val="nil"/>
                    <w:tr2bl w:val="nil"/>
                  </w:tcBorders>
                  <w:noWrap w:val="0"/>
                  <w:vAlign w:val="center"/>
                </w:tcPr>
                <w:p w14:paraId="2DE0E3DD">
                  <w:pPr>
                    <w:pStyle w:val="229"/>
                    <w:keepNext w:val="0"/>
                    <w:keepLines w:val="0"/>
                    <w:pageBreakBefore w:val="0"/>
                    <w:widowControl w:val="0"/>
                    <w:kinsoku/>
                    <w:wordWrap/>
                    <w:overflowPunct/>
                    <w:topLinePunct w:val="0"/>
                    <w:autoSpaceDE/>
                    <w:autoSpaceDN/>
                    <w:bidi w:val="0"/>
                    <w:adjustRightInd w:val="0"/>
                    <w:snapToGrid w:val="0"/>
                    <w:textAlignment w:val="auto"/>
                    <w:rPr>
                      <w:color w:val="auto"/>
                      <w:sz w:val="18"/>
                      <w:szCs w:val="18"/>
                    </w:rPr>
                  </w:pPr>
                  <w:r>
                    <w:rPr>
                      <w:color w:val="auto"/>
                      <w:sz w:val="18"/>
                      <w:szCs w:val="18"/>
                    </w:rPr>
                    <w:t>CO</w:t>
                  </w:r>
                </w:p>
              </w:tc>
              <w:tc>
                <w:tcPr>
                  <w:tcW w:w="2002" w:type="pct"/>
                  <w:tcBorders>
                    <w:tl2br w:val="nil"/>
                    <w:tr2bl w:val="nil"/>
                  </w:tcBorders>
                  <w:noWrap w:val="0"/>
                  <w:vAlign w:val="center"/>
                </w:tcPr>
                <w:p w14:paraId="7D8E2396">
                  <w:pPr>
                    <w:pStyle w:val="229"/>
                    <w:keepNext w:val="0"/>
                    <w:keepLines w:val="0"/>
                    <w:pageBreakBefore w:val="0"/>
                    <w:widowControl w:val="0"/>
                    <w:kinsoku/>
                    <w:wordWrap/>
                    <w:overflowPunct/>
                    <w:topLinePunct w:val="0"/>
                    <w:autoSpaceDE/>
                    <w:autoSpaceDN/>
                    <w:bidi w:val="0"/>
                    <w:adjustRightInd w:val="0"/>
                    <w:snapToGrid w:val="0"/>
                    <w:textAlignment w:val="auto"/>
                    <w:rPr>
                      <w:rFonts w:hint="default" w:eastAsia="宋体"/>
                      <w:color w:val="auto"/>
                      <w:sz w:val="18"/>
                      <w:szCs w:val="18"/>
                      <w:lang w:val="en-US" w:eastAsia="zh-CN"/>
                    </w:rPr>
                  </w:pPr>
                  <w:r>
                    <w:rPr>
                      <w:rFonts w:hint="eastAsia"/>
                      <w:color w:val="auto"/>
                      <w:sz w:val="18"/>
                      <w:szCs w:val="18"/>
                      <w:lang w:val="en-US" w:eastAsia="zh-CN"/>
                    </w:rPr>
                    <w:t>第95百分位数日平均质量浓度</w:t>
                  </w:r>
                </w:p>
              </w:tc>
              <w:tc>
                <w:tcPr>
                  <w:tcW w:w="708" w:type="pct"/>
                  <w:tcBorders>
                    <w:tl2br w:val="nil"/>
                    <w:tr2bl w:val="nil"/>
                  </w:tcBorders>
                  <w:noWrap w:val="0"/>
                  <w:vAlign w:val="center"/>
                </w:tcPr>
                <w:p w14:paraId="0B510BF1">
                  <w:pPr>
                    <w:pStyle w:val="22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eastAsia="宋体"/>
                      <w:color w:val="auto"/>
                      <w:sz w:val="18"/>
                      <w:szCs w:val="18"/>
                      <w:lang w:val="en-US" w:eastAsia="zh-CN"/>
                    </w:rPr>
                  </w:pPr>
                  <w:r>
                    <w:rPr>
                      <w:rFonts w:hint="eastAsia" w:eastAsia="宋体"/>
                      <w:color w:val="auto"/>
                      <w:sz w:val="18"/>
                      <w:szCs w:val="18"/>
                      <w:lang w:val="en-US" w:eastAsia="zh-CN"/>
                    </w:rPr>
                    <w:t>1800</w:t>
                  </w:r>
                </w:p>
              </w:tc>
              <w:tc>
                <w:tcPr>
                  <w:tcW w:w="727" w:type="pct"/>
                  <w:tcBorders>
                    <w:tl2br w:val="nil"/>
                    <w:tr2bl w:val="nil"/>
                  </w:tcBorders>
                  <w:noWrap w:val="0"/>
                  <w:vAlign w:val="center"/>
                </w:tcPr>
                <w:p w14:paraId="5011DD39">
                  <w:pPr>
                    <w:pStyle w:val="229"/>
                    <w:keepNext w:val="0"/>
                    <w:keepLines w:val="0"/>
                    <w:pageBreakBefore w:val="0"/>
                    <w:widowControl w:val="0"/>
                    <w:kinsoku/>
                    <w:wordWrap/>
                    <w:overflowPunct/>
                    <w:topLinePunct w:val="0"/>
                    <w:autoSpaceDE/>
                    <w:autoSpaceDN/>
                    <w:bidi w:val="0"/>
                    <w:adjustRightInd w:val="0"/>
                    <w:snapToGrid w:val="0"/>
                    <w:textAlignment w:val="auto"/>
                    <w:rPr>
                      <w:rFonts w:hint="default" w:eastAsia="宋体"/>
                      <w:color w:val="auto"/>
                      <w:sz w:val="18"/>
                      <w:szCs w:val="18"/>
                      <w:lang w:val="en-US" w:eastAsia="zh-CN"/>
                    </w:rPr>
                  </w:pPr>
                  <w:r>
                    <w:rPr>
                      <w:color w:val="auto"/>
                      <w:sz w:val="18"/>
                      <w:szCs w:val="18"/>
                    </w:rPr>
                    <w:t>4</w:t>
                  </w:r>
                  <w:r>
                    <w:rPr>
                      <w:rFonts w:hint="eastAsia"/>
                      <w:color w:val="auto"/>
                      <w:sz w:val="18"/>
                      <w:szCs w:val="18"/>
                      <w:lang w:val="en-US" w:eastAsia="zh-CN"/>
                    </w:rPr>
                    <w:t>000</w:t>
                  </w:r>
                </w:p>
              </w:tc>
              <w:tc>
                <w:tcPr>
                  <w:tcW w:w="566" w:type="pct"/>
                  <w:tcBorders>
                    <w:tl2br w:val="nil"/>
                    <w:tr2bl w:val="nil"/>
                  </w:tcBorders>
                  <w:noWrap w:val="0"/>
                  <w:vAlign w:val="center"/>
                </w:tcPr>
                <w:p w14:paraId="45D8391C">
                  <w:pPr>
                    <w:pStyle w:val="22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eastAsia="宋体"/>
                      <w:color w:val="auto"/>
                      <w:sz w:val="18"/>
                      <w:szCs w:val="18"/>
                      <w:lang w:val="en-US" w:eastAsia="zh-CN"/>
                    </w:rPr>
                  </w:pPr>
                  <w:r>
                    <w:rPr>
                      <w:rFonts w:hint="eastAsia"/>
                      <w:color w:val="auto"/>
                      <w:sz w:val="18"/>
                      <w:szCs w:val="18"/>
                      <w:lang w:val="en-US" w:eastAsia="zh-CN"/>
                    </w:rPr>
                    <w:t>45</w:t>
                  </w:r>
                </w:p>
              </w:tc>
              <w:tc>
                <w:tcPr>
                  <w:tcW w:w="437" w:type="pct"/>
                  <w:tcBorders>
                    <w:tl2br w:val="nil"/>
                    <w:tr2bl w:val="nil"/>
                  </w:tcBorders>
                  <w:noWrap w:val="0"/>
                  <w:vAlign w:val="center"/>
                </w:tcPr>
                <w:p w14:paraId="2F35FB28">
                  <w:pPr>
                    <w:pStyle w:val="229"/>
                    <w:keepNext w:val="0"/>
                    <w:keepLines w:val="0"/>
                    <w:pageBreakBefore w:val="0"/>
                    <w:widowControl w:val="0"/>
                    <w:kinsoku/>
                    <w:wordWrap/>
                    <w:overflowPunct/>
                    <w:topLinePunct w:val="0"/>
                    <w:autoSpaceDE/>
                    <w:autoSpaceDN/>
                    <w:bidi w:val="0"/>
                    <w:adjustRightInd w:val="0"/>
                    <w:snapToGrid w:val="0"/>
                    <w:textAlignment w:val="auto"/>
                    <w:rPr>
                      <w:color w:val="auto"/>
                      <w:sz w:val="18"/>
                      <w:szCs w:val="18"/>
                    </w:rPr>
                  </w:pPr>
                  <w:r>
                    <w:rPr>
                      <w:color w:val="auto"/>
                      <w:sz w:val="18"/>
                      <w:szCs w:val="18"/>
                    </w:rPr>
                    <w:t>达标</w:t>
                  </w:r>
                </w:p>
              </w:tc>
            </w:tr>
            <w:tr w14:paraId="53D9FB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56" w:type="pct"/>
                  <w:tcBorders>
                    <w:tl2br w:val="nil"/>
                    <w:tr2bl w:val="nil"/>
                  </w:tcBorders>
                  <w:noWrap w:val="0"/>
                  <w:vAlign w:val="center"/>
                </w:tcPr>
                <w:p w14:paraId="117A6A12">
                  <w:pPr>
                    <w:pStyle w:val="229"/>
                    <w:keepNext w:val="0"/>
                    <w:keepLines w:val="0"/>
                    <w:pageBreakBefore w:val="0"/>
                    <w:widowControl w:val="0"/>
                    <w:kinsoku/>
                    <w:wordWrap/>
                    <w:overflowPunct/>
                    <w:topLinePunct w:val="0"/>
                    <w:autoSpaceDE/>
                    <w:autoSpaceDN/>
                    <w:bidi w:val="0"/>
                    <w:adjustRightInd w:val="0"/>
                    <w:snapToGrid w:val="0"/>
                    <w:textAlignment w:val="auto"/>
                    <w:rPr>
                      <w:color w:val="auto"/>
                      <w:sz w:val="18"/>
                      <w:szCs w:val="18"/>
                    </w:rPr>
                  </w:pPr>
                  <w:r>
                    <w:rPr>
                      <w:color w:val="auto"/>
                      <w:sz w:val="18"/>
                      <w:szCs w:val="18"/>
                    </w:rPr>
                    <w:t>O</w:t>
                  </w:r>
                  <w:r>
                    <w:rPr>
                      <w:color w:val="auto"/>
                      <w:sz w:val="18"/>
                      <w:szCs w:val="18"/>
                      <w:vertAlign w:val="subscript"/>
                    </w:rPr>
                    <w:t>3</w:t>
                  </w:r>
                </w:p>
              </w:tc>
              <w:tc>
                <w:tcPr>
                  <w:tcW w:w="2002" w:type="pct"/>
                  <w:tcBorders>
                    <w:tl2br w:val="nil"/>
                    <w:tr2bl w:val="nil"/>
                  </w:tcBorders>
                  <w:noWrap w:val="0"/>
                  <w:vAlign w:val="center"/>
                </w:tcPr>
                <w:p w14:paraId="240453DF">
                  <w:pPr>
                    <w:pStyle w:val="229"/>
                    <w:keepNext w:val="0"/>
                    <w:keepLines w:val="0"/>
                    <w:pageBreakBefore w:val="0"/>
                    <w:widowControl w:val="0"/>
                    <w:kinsoku/>
                    <w:wordWrap/>
                    <w:overflowPunct/>
                    <w:topLinePunct w:val="0"/>
                    <w:autoSpaceDE/>
                    <w:autoSpaceDN/>
                    <w:bidi w:val="0"/>
                    <w:adjustRightInd w:val="0"/>
                    <w:snapToGrid w:val="0"/>
                    <w:textAlignment w:val="auto"/>
                    <w:rPr>
                      <w:rFonts w:hint="default" w:eastAsia="宋体"/>
                      <w:color w:val="auto"/>
                      <w:sz w:val="18"/>
                      <w:szCs w:val="18"/>
                      <w:lang w:val="en-US" w:eastAsia="zh-CN"/>
                    </w:rPr>
                  </w:pPr>
                  <w:r>
                    <w:rPr>
                      <w:rFonts w:hint="eastAsia"/>
                      <w:color w:val="auto"/>
                      <w:sz w:val="18"/>
                      <w:szCs w:val="18"/>
                      <w:lang w:val="en-US" w:eastAsia="zh-CN"/>
                    </w:rPr>
                    <w:t>第90百分位数8h平均质量浓度</w:t>
                  </w:r>
                </w:p>
              </w:tc>
              <w:tc>
                <w:tcPr>
                  <w:tcW w:w="708" w:type="pct"/>
                  <w:tcBorders>
                    <w:tl2br w:val="nil"/>
                    <w:tr2bl w:val="nil"/>
                  </w:tcBorders>
                  <w:noWrap w:val="0"/>
                  <w:vAlign w:val="center"/>
                </w:tcPr>
                <w:p w14:paraId="06600F98">
                  <w:pPr>
                    <w:pStyle w:val="22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eastAsia="宋体"/>
                      <w:color w:val="auto"/>
                      <w:sz w:val="18"/>
                      <w:szCs w:val="18"/>
                      <w:lang w:val="en-US" w:eastAsia="zh-CN"/>
                    </w:rPr>
                  </w:pPr>
                  <w:r>
                    <w:rPr>
                      <w:rFonts w:hint="eastAsia" w:eastAsia="宋体"/>
                      <w:color w:val="auto"/>
                      <w:sz w:val="18"/>
                      <w:szCs w:val="18"/>
                      <w:lang w:val="en-US" w:eastAsia="zh-CN"/>
                    </w:rPr>
                    <w:t>134</w:t>
                  </w:r>
                </w:p>
              </w:tc>
              <w:tc>
                <w:tcPr>
                  <w:tcW w:w="727" w:type="pct"/>
                  <w:tcBorders>
                    <w:tl2br w:val="nil"/>
                    <w:tr2bl w:val="nil"/>
                  </w:tcBorders>
                  <w:noWrap w:val="0"/>
                  <w:vAlign w:val="center"/>
                </w:tcPr>
                <w:p w14:paraId="50ADB156">
                  <w:pPr>
                    <w:pStyle w:val="229"/>
                    <w:keepNext w:val="0"/>
                    <w:keepLines w:val="0"/>
                    <w:pageBreakBefore w:val="0"/>
                    <w:widowControl w:val="0"/>
                    <w:kinsoku/>
                    <w:wordWrap/>
                    <w:overflowPunct/>
                    <w:topLinePunct w:val="0"/>
                    <w:autoSpaceDE/>
                    <w:autoSpaceDN/>
                    <w:bidi w:val="0"/>
                    <w:adjustRightInd w:val="0"/>
                    <w:snapToGrid w:val="0"/>
                    <w:textAlignment w:val="auto"/>
                    <w:rPr>
                      <w:color w:val="auto"/>
                      <w:sz w:val="18"/>
                      <w:szCs w:val="18"/>
                    </w:rPr>
                  </w:pPr>
                  <w:r>
                    <w:rPr>
                      <w:color w:val="auto"/>
                      <w:sz w:val="18"/>
                      <w:szCs w:val="18"/>
                    </w:rPr>
                    <w:t>160</w:t>
                  </w:r>
                </w:p>
              </w:tc>
              <w:tc>
                <w:tcPr>
                  <w:tcW w:w="566" w:type="pct"/>
                  <w:tcBorders>
                    <w:tl2br w:val="nil"/>
                    <w:tr2bl w:val="nil"/>
                  </w:tcBorders>
                  <w:noWrap w:val="0"/>
                  <w:vAlign w:val="center"/>
                </w:tcPr>
                <w:p w14:paraId="352A8BD0">
                  <w:pPr>
                    <w:pStyle w:val="229"/>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eastAsia="宋体"/>
                      <w:color w:val="auto"/>
                      <w:sz w:val="18"/>
                      <w:szCs w:val="18"/>
                      <w:lang w:val="en-US" w:eastAsia="zh-CN"/>
                    </w:rPr>
                  </w:pPr>
                  <w:r>
                    <w:rPr>
                      <w:rFonts w:hint="eastAsia" w:eastAsia="宋体"/>
                      <w:color w:val="auto"/>
                      <w:sz w:val="18"/>
                      <w:szCs w:val="18"/>
                      <w:lang w:val="en-US" w:eastAsia="zh-CN"/>
                    </w:rPr>
                    <w:t>84</w:t>
                  </w:r>
                </w:p>
              </w:tc>
              <w:tc>
                <w:tcPr>
                  <w:tcW w:w="437" w:type="pct"/>
                  <w:tcBorders>
                    <w:tl2br w:val="nil"/>
                    <w:tr2bl w:val="nil"/>
                  </w:tcBorders>
                  <w:noWrap w:val="0"/>
                  <w:vAlign w:val="center"/>
                </w:tcPr>
                <w:p w14:paraId="32D6B7DD">
                  <w:pPr>
                    <w:pStyle w:val="229"/>
                    <w:keepNext w:val="0"/>
                    <w:keepLines w:val="0"/>
                    <w:pageBreakBefore w:val="0"/>
                    <w:widowControl w:val="0"/>
                    <w:kinsoku/>
                    <w:wordWrap/>
                    <w:overflowPunct/>
                    <w:topLinePunct w:val="0"/>
                    <w:autoSpaceDE/>
                    <w:autoSpaceDN/>
                    <w:bidi w:val="0"/>
                    <w:adjustRightInd w:val="0"/>
                    <w:snapToGrid w:val="0"/>
                    <w:textAlignment w:val="auto"/>
                    <w:rPr>
                      <w:color w:val="auto"/>
                      <w:sz w:val="18"/>
                      <w:szCs w:val="18"/>
                    </w:rPr>
                  </w:pPr>
                  <w:r>
                    <w:rPr>
                      <w:color w:val="auto"/>
                      <w:sz w:val="18"/>
                      <w:szCs w:val="18"/>
                    </w:rPr>
                    <w:t>达标</w:t>
                  </w:r>
                </w:p>
              </w:tc>
            </w:tr>
          </w:tbl>
          <w:p w14:paraId="164A686C">
            <w:pPr>
              <w:pStyle w:val="29"/>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right="0" w:firstLine="420"/>
              <w:jc w:val="both"/>
              <w:rPr>
                <w:rFonts w:hint="eastAsia" w:ascii="Times New Roman" w:hAnsi="Times New Roman" w:cs="Times New Roman"/>
                <w:color w:val="auto"/>
                <w:sz w:val="21"/>
                <w:szCs w:val="21"/>
                <w:lang w:eastAsia="zh-CN"/>
              </w:rPr>
            </w:pPr>
            <w:r>
              <w:rPr>
                <w:rFonts w:hint="default" w:ascii="Times New Roman" w:hAnsi="Times New Roman" w:eastAsia="宋体" w:cs="Times New Roman"/>
                <w:color w:val="auto"/>
                <w:sz w:val="21"/>
                <w:szCs w:val="21"/>
              </w:rPr>
              <w:t>由表3-1可知，项目所在区域SO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的年均浓度</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和CO日均浓度满足《环境空气质量标准》（GB3095-20</w:t>
            </w:r>
            <w:r>
              <w:rPr>
                <w:rFonts w:hint="eastAsia" w:ascii="Times New Roman" w:hAnsi="Times New Roman" w:cs="Times New Roman"/>
                <w:color w:val="auto"/>
                <w:sz w:val="21"/>
                <w:szCs w:val="21"/>
                <w:lang w:val="en-US" w:eastAsia="zh-CN"/>
              </w:rPr>
              <w:t>12</w:t>
            </w:r>
            <w:r>
              <w:rPr>
                <w:rFonts w:hint="default" w:ascii="Times New Roman" w:hAnsi="Times New Roman" w:eastAsia="宋体" w:cs="Times New Roman"/>
                <w:color w:val="auto"/>
                <w:sz w:val="21"/>
                <w:szCs w:val="21"/>
              </w:rPr>
              <w:t>）</w:t>
            </w:r>
            <w:r>
              <w:rPr>
                <w:rFonts w:hint="eastAsia" w:ascii="Times New Roman" w:hAnsi="Times New Roman" w:cs="Times New Roman"/>
                <w:color w:val="auto"/>
                <w:sz w:val="21"/>
                <w:szCs w:val="21"/>
                <w:lang w:val="en-US" w:eastAsia="zh-CN"/>
              </w:rPr>
              <w:t>表1</w:t>
            </w:r>
            <w:r>
              <w:rPr>
                <w:rFonts w:hint="default" w:ascii="Times New Roman" w:hAnsi="Times New Roman" w:eastAsia="宋体" w:cs="Times New Roman"/>
                <w:color w:val="auto"/>
                <w:sz w:val="21"/>
                <w:szCs w:val="21"/>
              </w:rPr>
              <w:t>二级标准要求；PM</w:t>
            </w:r>
            <w:r>
              <w:rPr>
                <w:rFonts w:hint="default" w:ascii="Times New Roman" w:hAnsi="Times New Roman" w:eastAsia="宋体" w:cs="Times New Roman"/>
                <w:color w:val="auto"/>
                <w:sz w:val="21"/>
                <w:szCs w:val="21"/>
                <w:vertAlign w:val="subscript"/>
              </w:rPr>
              <w:t>10</w:t>
            </w:r>
            <w:r>
              <w:rPr>
                <w:rFonts w:hint="default" w:ascii="Times New Roman" w:hAnsi="Times New Roman" w:eastAsia="宋体" w:cs="Times New Roman"/>
                <w:color w:val="auto"/>
                <w:sz w:val="21"/>
                <w:szCs w:val="21"/>
              </w:rPr>
              <w:t>和PM</w:t>
            </w:r>
            <w:r>
              <w:rPr>
                <w:rFonts w:hint="default" w:ascii="Times New Roman" w:hAnsi="Times New Roman" w:eastAsia="宋体" w:cs="Times New Roman"/>
                <w:color w:val="auto"/>
                <w:sz w:val="21"/>
                <w:szCs w:val="21"/>
                <w:vertAlign w:val="subscript"/>
              </w:rPr>
              <w:t>2.5</w:t>
            </w:r>
            <w:r>
              <w:rPr>
                <w:rFonts w:hint="default" w:ascii="Times New Roman" w:hAnsi="Times New Roman" w:eastAsia="宋体" w:cs="Times New Roman"/>
                <w:color w:val="auto"/>
                <w:sz w:val="21"/>
                <w:szCs w:val="21"/>
              </w:rPr>
              <w:t>年均浓度超过《环境空气质量标准》（GB3095-20</w:t>
            </w:r>
            <w:r>
              <w:rPr>
                <w:rFonts w:hint="eastAsia" w:ascii="Times New Roman" w:hAnsi="Times New Roman" w:cs="Times New Roman"/>
                <w:color w:val="auto"/>
                <w:sz w:val="21"/>
                <w:szCs w:val="21"/>
                <w:lang w:val="en-US" w:eastAsia="zh-CN"/>
              </w:rPr>
              <w:t>12</w:t>
            </w:r>
            <w:r>
              <w:rPr>
                <w:rFonts w:hint="default" w:ascii="Times New Roman" w:hAnsi="Times New Roman" w:eastAsia="宋体" w:cs="Times New Roman"/>
                <w:color w:val="auto"/>
                <w:sz w:val="21"/>
                <w:szCs w:val="21"/>
              </w:rPr>
              <w:t>）</w:t>
            </w:r>
            <w:r>
              <w:rPr>
                <w:rFonts w:hint="eastAsia" w:ascii="Times New Roman" w:hAnsi="Times New Roman" w:cs="Times New Roman"/>
                <w:color w:val="auto"/>
                <w:sz w:val="21"/>
                <w:szCs w:val="21"/>
                <w:lang w:val="en-US" w:eastAsia="zh-CN"/>
              </w:rPr>
              <w:t>表1</w:t>
            </w:r>
            <w:r>
              <w:rPr>
                <w:rFonts w:hint="default" w:ascii="Times New Roman" w:hAnsi="Times New Roman" w:eastAsia="宋体" w:cs="Times New Roman"/>
                <w:color w:val="auto"/>
                <w:sz w:val="21"/>
                <w:szCs w:val="21"/>
              </w:rPr>
              <w:t>二级标准要求，</w:t>
            </w:r>
            <w:r>
              <w:rPr>
                <w:rFonts w:hint="eastAsia" w:ascii="Times New Roman" w:hAnsi="Times New Roman" w:cs="Times New Roman"/>
                <w:color w:val="auto"/>
                <w:sz w:val="21"/>
                <w:szCs w:val="21"/>
                <w:lang w:val="en-US" w:eastAsia="zh-CN"/>
              </w:rPr>
              <w:t>另外，本项目</w:t>
            </w: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的年均浓度</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和CO日均浓度</w:t>
            </w:r>
            <w:r>
              <w:rPr>
                <w:rFonts w:hint="eastAsia" w:ascii="Times New Roman" w:hAnsi="Times New Roman" w:cs="Times New Roman"/>
                <w:color w:val="auto"/>
                <w:sz w:val="21"/>
                <w:szCs w:val="21"/>
                <w:lang w:val="en-US" w:eastAsia="zh-CN"/>
              </w:rPr>
              <w:t>可满足</w:t>
            </w:r>
            <w:r>
              <w:rPr>
                <w:rFonts w:hint="default" w:ascii="Times New Roman" w:hAnsi="Times New Roman" w:eastAsia="宋体" w:cs="Times New Roman"/>
                <w:color w:val="auto"/>
                <w:sz w:val="21"/>
                <w:szCs w:val="21"/>
              </w:rPr>
              <w:t>《环境空气质量标准》（GB3095-20</w:t>
            </w:r>
            <w:r>
              <w:rPr>
                <w:rFonts w:hint="eastAsia" w:ascii="Times New Roman" w:hAnsi="Times New Roman" w:cs="Times New Roman"/>
                <w:color w:val="auto"/>
                <w:sz w:val="21"/>
                <w:szCs w:val="21"/>
                <w:lang w:val="en-US" w:eastAsia="zh-CN"/>
              </w:rPr>
              <w:t>26</w:t>
            </w:r>
            <w:r>
              <w:rPr>
                <w:rFonts w:hint="default" w:ascii="Times New Roman" w:hAnsi="Times New Roman" w:eastAsia="宋体" w:cs="Times New Roman"/>
                <w:color w:val="auto"/>
                <w:sz w:val="21"/>
                <w:szCs w:val="21"/>
              </w:rPr>
              <w:t>）</w:t>
            </w:r>
            <w:r>
              <w:rPr>
                <w:rFonts w:hint="eastAsia" w:ascii="Times New Roman" w:hAnsi="Times New Roman" w:cs="Times New Roman"/>
                <w:color w:val="auto"/>
                <w:sz w:val="21"/>
                <w:szCs w:val="21"/>
                <w:lang w:val="en-US" w:eastAsia="zh-CN"/>
              </w:rPr>
              <w:t>表1过渡期</w:t>
            </w:r>
            <w:r>
              <w:rPr>
                <w:rFonts w:hint="default" w:ascii="Times New Roman" w:hAnsi="Times New Roman" w:eastAsia="宋体" w:cs="Times New Roman"/>
                <w:color w:val="auto"/>
                <w:sz w:val="21"/>
                <w:szCs w:val="21"/>
              </w:rPr>
              <w:t>二级标准要求</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10</w:t>
            </w:r>
            <w:r>
              <w:rPr>
                <w:rFonts w:hint="default" w:ascii="Times New Roman" w:hAnsi="Times New Roman" w:eastAsia="宋体" w:cs="Times New Roman"/>
                <w:color w:val="auto"/>
                <w:sz w:val="21"/>
                <w:szCs w:val="21"/>
              </w:rPr>
              <w:t>和PM</w:t>
            </w:r>
            <w:r>
              <w:rPr>
                <w:rFonts w:hint="default" w:ascii="Times New Roman" w:hAnsi="Times New Roman" w:eastAsia="宋体" w:cs="Times New Roman"/>
                <w:color w:val="auto"/>
                <w:sz w:val="21"/>
                <w:szCs w:val="21"/>
                <w:vertAlign w:val="subscript"/>
              </w:rPr>
              <w:t>2.5</w:t>
            </w:r>
            <w:r>
              <w:rPr>
                <w:rFonts w:hint="default" w:ascii="Times New Roman" w:hAnsi="Times New Roman" w:eastAsia="宋体" w:cs="Times New Roman"/>
                <w:color w:val="auto"/>
                <w:sz w:val="21"/>
                <w:szCs w:val="21"/>
              </w:rPr>
              <w:t>年均浓度超过《环境空气质量标准》（GB3095-20</w:t>
            </w:r>
            <w:r>
              <w:rPr>
                <w:rFonts w:hint="eastAsia" w:ascii="Times New Roman" w:hAnsi="Times New Roman" w:cs="Times New Roman"/>
                <w:color w:val="auto"/>
                <w:sz w:val="21"/>
                <w:szCs w:val="21"/>
                <w:lang w:val="en-US" w:eastAsia="zh-CN"/>
              </w:rPr>
              <w:t>26</w:t>
            </w:r>
            <w:r>
              <w:rPr>
                <w:rFonts w:hint="default" w:ascii="Times New Roman" w:hAnsi="Times New Roman" w:eastAsia="宋体" w:cs="Times New Roman"/>
                <w:color w:val="auto"/>
                <w:sz w:val="21"/>
                <w:szCs w:val="21"/>
              </w:rPr>
              <w:t>）</w:t>
            </w:r>
            <w:r>
              <w:rPr>
                <w:rFonts w:hint="eastAsia" w:ascii="Times New Roman" w:hAnsi="Times New Roman" w:cs="Times New Roman"/>
                <w:color w:val="auto"/>
                <w:sz w:val="21"/>
                <w:szCs w:val="21"/>
                <w:lang w:val="en-US" w:eastAsia="zh-CN"/>
              </w:rPr>
              <w:t>表1过渡期</w:t>
            </w:r>
            <w:r>
              <w:rPr>
                <w:rFonts w:hint="default" w:ascii="Times New Roman" w:hAnsi="Times New Roman" w:eastAsia="宋体" w:cs="Times New Roman"/>
                <w:color w:val="auto"/>
                <w:sz w:val="21"/>
                <w:szCs w:val="21"/>
              </w:rPr>
              <w:t>二级标准要求</w:t>
            </w:r>
            <w:r>
              <w:rPr>
                <w:rFonts w:hint="eastAsia" w:ascii="Times New Roman" w:hAnsi="Times New Roman" w:cs="Times New Roman"/>
                <w:color w:val="auto"/>
                <w:sz w:val="21"/>
                <w:szCs w:val="21"/>
                <w:lang w:eastAsia="zh-CN"/>
              </w:rPr>
              <w:t>。</w:t>
            </w:r>
          </w:p>
          <w:p w14:paraId="168F5AF5">
            <w:pPr>
              <w:pStyle w:val="29"/>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right="0" w:firstLine="42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超标原因主要</w:t>
            </w:r>
            <w:r>
              <w:rPr>
                <w:rFonts w:hint="eastAsia" w:ascii="Times New Roman" w:hAnsi="Times New Roman" w:cs="Times New Roman"/>
                <w:color w:val="auto"/>
                <w:sz w:val="21"/>
                <w:szCs w:val="21"/>
                <w:lang w:val="en-US" w:eastAsia="zh-CN"/>
              </w:rPr>
              <w:t>与</w:t>
            </w:r>
            <w:r>
              <w:rPr>
                <w:rFonts w:hint="eastAsia" w:cs="Times New Roman"/>
                <w:color w:val="auto"/>
                <w:sz w:val="21"/>
                <w:szCs w:val="21"/>
                <w:lang w:val="en-US" w:eastAsia="zh-CN"/>
              </w:rPr>
              <w:t>该地区气候干燥、冬季多静稳天气，边界层低、风速小、湿度大、污染扩散条件较差有关。</w:t>
            </w:r>
            <w:r>
              <w:rPr>
                <w:rFonts w:hint="default" w:ascii="Times New Roman" w:hAnsi="Times New Roman" w:eastAsia="宋体" w:cs="Times New Roman"/>
                <w:color w:val="auto"/>
                <w:sz w:val="21"/>
                <w:szCs w:val="21"/>
              </w:rPr>
              <w:t>项目所在区域为不达标区。</w:t>
            </w:r>
          </w:p>
          <w:p w14:paraId="2A5A46F7">
            <w:pPr>
              <w:pStyle w:val="171"/>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（2）特征因子监测</w:t>
            </w:r>
          </w:p>
          <w:p w14:paraId="19656B58">
            <w:pPr>
              <w:pStyle w:val="29"/>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right="0" w:firstLine="420"/>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本次特征污染因子TSP引用新疆环疆绿源环保科技有限公司于2023年10月26日-28日在“昌吉疆拓生物新材料有限公司年产150吨生物降解高分子材料项目”进行的现状监测数据，监测点</w:t>
            </w:r>
            <w:r>
              <w:rPr>
                <w:rFonts w:hint="eastAsia" w:ascii="Times New Roman" w:hAnsi="Times New Roman" w:cs="Times New Roman"/>
                <w:color w:val="auto"/>
                <w:sz w:val="21"/>
                <w:szCs w:val="21"/>
                <w:lang w:val="en-US" w:eastAsia="zh-CN"/>
              </w:rPr>
              <w:t>位于</w:t>
            </w:r>
            <w:r>
              <w:rPr>
                <w:rFonts w:hint="default" w:ascii="Times New Roman" w:hAnsi="Times New Roman" w:cs="Times New Roman"/>
                <w:color w:val="auto"/>
                <w:sz w:val="21"/>
                <w:szCs w:val="21"/>
                <w:lang w:val="en-US" w:eastAsia="zh-CN"/>
              </w:rPr>
              <w:t>本项目区</w:t>
            </w:r>
            <w:r>
              <w:rPr>
                <w:rFonts w:hint="eastAsia" w:ascii="Times New Roman" w:hAnsi="Times New Roman" w:cs="Times New Roman"/>
                <w:color w:val="auto"/>
                <w:sz w:val="21"/>
                <w:szCs w:val="21"/>
                <w:lang w:val="en-US" w:eastAsia="zh-CN"/>
              </w:rPr>
              <w:t>东北方向</w:t>
            </w:r>
            <w:r>
              <w:rPr>
                <w:rFonts w:hint="default" w:ascii="Times New Roman" w:hAnsi="Times New Roman" w:cs="Times New Roman"/>
                <w:color w:val="auto"/>
                <w:sz w:val="21"/>
                <w:szCs w:val="21"/>
                <w:lang w:val="en-US" w:eastAsia="zh-CN"/>
              </w:rPr>
              <w:t>约1km，其数据作为本次特征污染物质量现状的评价依据，本次环评引用的监测数据满足《建设项目环境影响报告表编制技术指南（污染影响类）（试行）》中“引用建设项目周边5千米范围内近3年的现有监测数据”要求。</w:t>
            </w:r>
          </w:p>
          <w:p w14:paraId="69D1E385">
            <w:pPr>
              <w:pStyle w:val="166"/>
              <w:keepNext w:val="0"/>
              <w:keepLines w:val="0"/>
              <w:pageBreakBefore w:val="0"/>
              <w:kinsoku/>
              <w:wordWrap/>
              <w:overflowPunct/>
              <w:topLinePunct w:val="0"/>
              <w:autoSpaceDE/>
              <w:autoSpaceDN/>
              <w:bidi w:val="0"/>
              <w:adjustRightInd w:val="0"/>
              <w:snapToGrid w:val="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监测及评价结果见表3-</w:t>
            </w:r>
            <w:r>
              <w:rPr>
                <w:rFonts w:hint="eastAsia" w:eastAsia="宋体" w:cs="Times New Roman"/>
                <w:color w:val="auto"/>
                <w:kern w:val="2"/>
                <w:sz w:val="21"/>
                <w:szCs w:val="21"/>
                <w:highlight w:val="none"/>
                <w:lang w:val="en-US" w:eastAsia="zh-CN" w:bidi="ar-SA"/>
              </w:rPr>
              <w:t>2</w:t>
            </w:r>
            <w:r>
              <w:rPr>
                <w:rFonts w:hint="default" w:ascii="Times New Roman" w:hAnsi="Times New Roman" w:eastAsia="宋体" w:cs="Times New Roman"/>
                <w:color w:val="auto"/>
                <w:kern w:val="2"/>
                <w:sz w:val="21"/>
                <w:szCs w:val="21"/>
                <w:highlight w:val="none"/>
                <w:lang w:val="en-US" w:eastAsia="zh-CN" w:bidi="ar-SA"/>
              </w:rPr>
              <w:t>。</w:t>
            </w:r>
          </w:p>
          <w:p w14:paraId="38664279">
            <w:pPr>
              <w:pStyle w:val="158"/>
              <w:keepNext w:val="0"/>
              <w:keepLines w:val="0"/>
              <w:pageBreakBefore w:val="0"/>
              <w:widowControl/>
              <w:kinsoku/>
              <w:wordWrap/>
              <w:overflowPunct/>
              <w:topLinePunct w:val="0"/>
              <w:autoSpaceDE/>
              <w:autoSpaceDN/>
              <w:bidi w:val="0"/>
              <w:adjustRightInd w:val="0"/>
              <w:snapToGrid w:val="0"/>
              <w:spacing w:before="0" w:after="0" w:line="240" w:lineRule="auto"/>
              <w:ind w:left="0" w:leftChars="0" w:firstLine="0" w:firstLineChars="0"/>
              <w:jc w:val="center"/>
              <w:textAlignment w:val="auto"/>
              <w:rPr>
                <w:rFonts w:hint="default" w:ascii="Times New Roman" w:hAnsi="Times New Roman" w:eastAsia="黑体" w:cs="Times New Roman"/>
                <w:b w:val="0"/>
                <w:bCs w:val="0"/>
                <w:color w:val="auto"/>
                <w:kern w:val="0"/>
                <w:sz w:val="21"/>
                <w:szCs w:val="21"/>
                <w:highlight w:val="none"/>
                <w:vertAlign w:val="superscript"/>
              </w:rPr>
            </w:pPr>
            <w:r>
              <w:rPr>
                <w:rFonts w:hint="default" w:ascii="Times New Roman" w:hAnsi="Times New Roman" w:eastAsia="黑体" w:cs="Times New Roman"/>
                <w:b w:val="0"/>
                <w:bCs w:val="0"/>
                <w:snapToGrid/>
                <w:color w:val="auto"/>
                <w:spacing w:val="0"/>
                <w:w w:val="100"/>
                <w:kern w:val="2"/>
                <w:sz w:val="21"/>
                <w:szCs w:val="21"/>
                <w:lang w:val="en-US" w:eastAsia="zh-CN" w:bidi="ar-SA"/>
              </w:rPr>
              <w:t>表3-</w:t>
            </w:r>
            <w:r>
              <w:rPr>
                <w:rFonts w:hint="eastAsia" w:ascii="Times New Roman" w:cs="Times New Roman"/>
                <w:b w:val="0"/>
                <w:bCs w:val="0"/>
                <w:snapToGrid/>
                <w:color w:val="auto"/>
                <w:spacing w:val="0"/>
                <w:w w:val="100"/>
                <w:kern w:val="2"/>
                <w:sz w:val="21"/>
                <w:szCs w:val="21"/>
                <w:lang w:val="en-US" w:eastAsia="zh-CN" w:bidi="ar-SA"/>
              </w:rPr>
              <w:t xml:space="preserve">2  </w:t>
            </w:r>
            <w:r>
              <w:rPr>
                <w:rFonts w:hint="default" w:ascii="Times New Roman" w:hAnsi="Times New Roman" w:eastAsia="黑体" w:cs="Times New Roman"/>
                <w:b w:val="0"/>
                <w:bCs w:val="0"/>
                <w:snapToGrid/>
                <w:color w:val="auto"/>
                <w:spacing w:val="0"/>
                <w:w w:val="100"/>
                <w:kern w:val="2"/>
                <w:sz w:val="21"/>
                <w:szCs w:val="21"/>
                <w:lang w:val="en-US" w:eastAsia="zh-CN" w:bidi="ar-SA"/>
              </w:rPr>
              <w:t>区域空气质量现状评价结果一览表</w:t>
            </w:r>
          </w:p>
          <w:tbl>
            <w:tblPr>
              <w:tblStyle w:val="33"/>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54"/>
              <w:gridCol w:w="1639"/>
              <w:gridCol w:w="1109"/>
              <w:gridCol w:w="1007"/>
              <w:gridCol w:w="1007"/>
              <w:gridCol w:w="1007"/>
              <w:gridCol w:w="1007"/>
            </w:tblGrid>
            <w:tr w14:paraId="4502D5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83" w:type="pct"/>
                  <w:tcBorders>
                    <w:tl2br w:val="nil"/>
                    <w:tr2bl w:val="nil"/>
                  </w:tcBorders>
                  <w:noWrap w:val="0"/>
                  <w:vAlign w:val="center"/>
                </w:tcPr>
                <w:p w14:paraId="134828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auto"/>
                      <w:sz w:val="18"/>
                      <w:szCs w:val="18"/>
                      <w:lang w:val="en-US" w:eastAsia="zh-CN"/>
                    </w:rPr>
                  </w:pPr>
                  <w:r>
                    <w:rPr>
                      <w:rFonts w:hint="eastAsia" w:cs="Times New Roman"/>
                      <w:b/>
                      <w:bCs w:val="0"/>
                      <w:color w:val="auto"/>
                      <w:sz w:val="18"/>
                      <w:szCs w:val="18"/>
                      <w:lang w:val="en-US" w:eastAsia="zh-CN"/>
                    </w:rPr>
                    <w:t>监测点位</w:t>
                  </w:r>
                </w:p>
              </w:tc>
              <w:tc>
                <w:tcPr>
                  <w:tcW w:w="995" w:type="pct"/>
                  <w:tcBorders>
                    <w:tl2br w:val="nil"/>
                    <w:tr2bl w:val="nil"/>
                  </w:tcBorders>
                  <w:noWrap w:val="0"/>
                  <w:vAlign w:val="center"/>
                </w:tcPr>
                <w:p w14:paraId="1C3F38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auto"/>
                      <w:sz w:val="18"/>
                      <w:szCs w:val="18"/>
                    </w:rPr>
                  </w:pPr>
                  <w:r>
                    <w:rPr>
                      <w:rFonts w:hint="eastAsia" w:cs="Times New Roman"/>
                      <w:b/>
                      <w:bCs w:val="0"/>
                      <w:color w:val="auto"/>
                      <w:sz w:val="18"/>
                      <w:szCs w:val="18"/>
                      <w:lang w:val="en-US" w:eastAsia="zh-CN"/>
                    </w:rPr>
                    <w:t>污染物</w:t>
                  </w:r>
                </w:p>
              </w:tc>
              <w:tc>
                <w:tcPr>
                  <w:tcW w:w="673" w:type="pct"/>
                  <w:tcBorders>
                    <w:tl2br w:val="nil"/>
                    <w:tr2bl w:val="nil"/>
                  </w:tcBorders>
                  <w:noWrap w:val="0"/>
                  <w:vAlign w:val="center"/>
                </w:tcPr>
                <w:p w14:paraId="6BF2D4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auto"/>
                      <w:sz w:val="18"/>
                      <w:szCs w:val="18"/>
                      <w:lang w:val="en-US" w:eastAsia="zh-CN"/>
                    </w:rPr>
                  </w:pPr>
                  <w:r>
                    <w:rPr>
                      <w:rFonts w:hint="eastAsia" w:cs="Times New Roman"/>
                      <w:b/>
                      <w:bCs w:val="0"/>
                      <w:color w:val="auto"/>
                      <w:sz w:val="18"/>
                      <w:szCs w:val="18"/>
                      <w:lang w:val="en-US" w:eastAsia="zh-CN"/>
                    </w:rPr>
                    <w:t>平均时间</w:t>
                  </w:r>
                </w:p>
              </w:tc>
              <w:tc>
                <w:tcPr>
                  <w:tcW w:w="611" w:type="pct"/>
                  <w:tcBorders>
                    <w:tl2br w:val="nil"/>
                    <w:tr2bl w:val="nil"/>
                  </w:tcBorders>
                  <w:noWrap w:val="0"/>
                  <w:vAlign w:val="center"/>
                </w:tcPr>
                <w:p w14:paraId="7856F7F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auto"/>
                      <w:sz w:val="18"/>
                      <w:szCs w:val="18"/>
                      <w:lang w:val="en-US" w:eastAsia="zh-CN"/>
                    </w:rPr>
                  </w:pPr>
                  <w:r>
                    <w:rPr>
                      <w:rFonts w:hint="eastAsia" w:ascii="Times New Roman" w:hAnsi="Times New Roman" w:eastAsia="宋体" w:cs="Times New Roman"/>
                      <w:b/>
                      <w:bCs w:val="0"/>
                      <w:color w:val="auto"/>
                      <w:sz w:val="18"/>
                      <w:szCs w:val="18"/>
                      <w:lang w:val="en-US" w:eastAsia="zh-CN"/>
                    </w:rPr>
                    <w:t>评价标准</w:t>
                  </w:r>
                  <w:r>
                    <w:rPr>
                      <w:rFonts w:hint="default" w:ascii="Times New Roman" w:hAnsi="Times New Roman" w:eastAsia="宋体" w:cs="Times New Roman"/>
                      <w:b/>
                      <w:bCs w:val="0"/>
                      <w:color w:val="auto"/>
                      <w:sz w:val="18"/>
                      <w:szCs w:val="18"/>
                      <w:lang w:val="en-US" w:eastAsia="zh-CN"/>
                    </w:rPr>
                    <w:t>μg/m</w:t>
                  </w:r>
                  <w:r>
                    <w:rPr>
                      <w:rFonts w:hint="default" w:ascii="Times New Roman" w:hAnsi="Times New Roman" w:eastAsia="宋体" w:cs="Times New Roman"/>
                      <w:b/>
                      <w:bCs w:val="0"/>
                      <w:color w:val="auto"/>
                      <w:sz w:val="18"/>
                      <w:szCs w:val="18"/>
                      <w:vertAlign w:val="superscript"/>
                      <w:lang w:val="en-US" w:eastAsia="zh-CN"/>
                    </w:rPr>
                    <w:t>3</w:t>
                  </w:r>
                </w:p>
              </w:tc>
              <w:tc>
                <w:tcPr>
                  <w:tcW w:w="611" w:type="pct"/>
                  <w:tcBorders>
                    <w:tl2br w:val="nil"/>
                    <w:tr2bl w:val="nil"/>
                  </w:tcBorders>
                  <w:noWrap w:val="0"/>
                  <w:vAlign w:val="center"/>
                </w:tcPr>
                <w:p w14:paraId="1B8CB4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bCs w:val="0"/>
                      <w:color w:val="auto"/>
                      <w:sz w:val="18"/>
                      <w:szCs w:val="18"/>
                      <w:lang w:val="en-US" w:eastAsia="zh-CN"/>
                    </w:rPr>
                  </w:pPr>
                  <w:r>
                    <w:rPr>
                      <w:rFonts w:hint="eastAsia" w:cs="Times New Roman"/>
                      <w:b/>
                      <w:bCs w:val="0"/>
                      <w:color w:val="auto"/>
                      <w:sz w:val="18"/>
                      <w:szCs w:val="18"/>
                      <w:lang w:val="en-US" w:eastAsia="zh-CN"/>
                    </w:rPr>
                    <w:t>监测浓度范围</w:t>
                  </w:r>
                  <w:r>
                    <w:rPr>
                      <w:rFonts w:hint="default" w:ascii="Times New Roman" w:hAnsi="Times New Roman" w:eastAsia="宋体" w:cs="Times New Roman"/>
                      <w:b/>
                      <w:bCs w:val="0"/>
                      <w:color w:val="auto"/>
                      <w:sz w:val="18"/>
                      <w:szCs w:val="18"/>
                      <w:lang w:val="en-US" w:eastAsia="zh-CN"/>
                    </w:rPr>
                    <w:t>μg/m</w:t>
                  </w:r>
                  <w:r>
                    <w:rPr>
                      <w:rFonts w:hint="default" w:ascii="Times New Roman" w:hAnsi="Times New Roman" w:eastAsia="宋体" w:cs="Times New Roman"/>
                      <w:b/>
                      <w:bCs w:val="0"/>
                      <w:color w:val="auto"/>
                      <w:sz w:val="18"/>
                      <w:szCs w:val="18"/>
                      <w:vertAlign w:val="superscript"/>
                      <w:lang w:val="en-US" w:eastAsia="zh-CN"/>
                    </w:rPr>
                    <w:t>3</w:t>
                  </w:r>
                </w:p>
              </w:tc>
              <w:tc>
                <w:tcPr>
                  <w:tcW w:w="611" w:type="pct"/>
                  <w:tcBorders>
                    <w:tl2br w:val="nil"/>
                    <w:tr2bl w:val="nil"/>
                  </w:tcBorders>
                  <w:noWrap w:val="0"/>
                  <w:vAlign w:val="center"/>
                </w:tcPr>
                <w:p w14:paraId="03CE41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bCs w:val="0"/>
                      <w:color w:val="auto"/>
                      <w:sz w:val="18"/>
                      <w:szCs w:val="18"/>
                      <w:lang w:val="en-US" w:eastAsia="zh-CN"/>
                    </w:rPr>
                  </w:pPr>
                  <w:r>
                    <w:rPr>
                      <w:rFonts w:hint="eastAsia" w:cs="Times New Roman"/>
                      <w:b/>
                      <w:bCs w:val="0"/>
                      <w:color w:val="auto"/>
                      <w:sz w:val="18"/>
                      <w:szCs w:val="18"/>
                      <w:lang w:val="en-US" w:eastAsia="zh-CN"/>
                    </w:rPr>
                    <w:t>最大浓度占标率/%</w:t>
                  </w:r>
                </w:p>
              </w:tc>
              <w:tc>
                <w:tcPr>
                  <w:tcW w:w="611" w:type="pct"/>
                  <w:tcBorders>
                    <w:tl2br w:val="nil"/>
                    <w:tr2bl w:val="nil"/>
                  </w:tcBorders>
                  <w:noWrap w:val="0"/>
                  <w:vAlign w:val="center"/>
                </w:tcPr>
                <w:p w14:paraId="44D917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bCs w:val="0"/>
                      <w:color w:val="auto"/>
                      <w:sz w:val="18"/>
                      <w:szCs w:val="18"/>
                      <w:lang w:val="en-US" w:eastAsia="zh-CN"/>
                    </w:rPr>
                  </w:pPr>
                  <w:r>
                    <w:rPr>
                      <w:rFonts w:hint="eastAsia" w:cs="Times New Roman"/>
                      <w:b/>
                      <w:bCs w:val="0"/>
                      <w:color w:val="auto"/>
                      <w:sz w:val="18"/>
                      <w:szCs w:val="18"/>
                      <w:lang w:val="en-US" w:eastAsia="zh-CN"/>
                    </w:rPr>
                    <w:t>达标情况</w:t>
                  </w:r>
                </w:p>
              </w:tc>
            </w:tr>
            <w:tr w14:paraId="636532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83" w:type="pct"/>
                  <w:tcBorders>
                    <w:tl2br w:val="nil"/>
                    <w:tr2bl w:val="nil"/>
                  </w:tcBorders>
                  <w:noWrap w:val="0"/>
                  <w:vAlign w:val="center"/>
                </w:tcPr>
                <w:p w14:paraId="0A0EC6C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val="0"/>
                      <w:bCs w:val="0"/>
                      <w:color w:val="auto"/>
                      <w:sz w:val="18"/>
                      <w:szCs w:val="18"/>
                      <w:lang w:val="en-US" w:eastAsia="zh-CN"/>
                    </w:rPr>
                  </w:pPr>
                  <w:r>
                    <w:rPr>
                      <w:rFonts w:hint="eastAsia" w:cs="Times New Roman"/>
                      <w:color w:val="auto"/>
                      <w:sz w:val="21"/>
                      <w:szCs w:val="21"/>
                      <w:lang w:val="en-US" w:eastAsia="zh-CN"/>
                    </w:rPr>
                    <w:t>昌吉疆拓生物新材料有限公司</w:t>
                  </w:r>
                </w:p>
              </w:tc>
              <w:tc>
                <w:tcPr>
                  <w:tcW w:w="995" w:type="pct"/>
                  <w:tcBorders>
                    <w:tl2br w:val="nil"/>
                    <w:tr2bl w:val="nil"/>
                  </w:tcBorders>
                  <w:noWrap w:val="0"/>
                  <w:vAlign w:val="center"/>
                </w:tcPr>
                <w:p w14:paraId="417313DC">
                  <w:pPr>
                    <w:keepNext w:val="0"/>
                    <w:keepLines w:val="0"/>
                    <w:pageBreakBefore w:val="0"/>
                    <w:widowControl w:val="0"/>
                    <w:kinsoku/>
                    <w:wordWrap/>
                    <w:overflowPunct/>
                    <w:topLinePunct w:val="0"/>
                    <w:autoSpaceDE/>
                    <w:autoSpaceDN/>
                    <w:bidi w:val="0"/>
                    <w:jc w:val="center"/>
                    <w:textAlignment w:val="auto"/>
                    <w:rPr>
                      <w:rFonts w:hint="default" w:cs="Times New Roman"/>
                      <w:b w:val="0"/>
                      <w:bCs w:val="0"/>
                      <w:color w:val="auto"/>
                      <w:sz w:val="18"/>
                      <w:szCs w:val="18"/>
                      <w:lang w:val="en-US" w:eastAsia="zh-CN"/>
                    </w:rPr>
                  </w:pPr>
                  <w:r>
                    <w:rPr>
                      <w:rFonts w:hint="eastAsia" w:cs="Times New Roman"/>
                      <w:b w:val="0"/>
                      <w:bCs w:val="0"/>
                      <w:color w:val="auto"/>
                      <w:sz w:val="18"/>
                      <w:szCs w:val="18"/>
                      <w:lang w:val="en-US" w:eastAsia="zh-CN"/>
                    </w:rPr>
                    <w:t>TSP</w:t>
                  </w:r>
                </w:p>
              </w:tc>
              <w:tc>
                <w:tcPr>
                  <w:tcW w:w="673" w:type="pct"/>
                  <w:tcBorders>
                    <w:tl2br w:val="nil"/>
                    <w:tr2bl w:val="nil"/>
                  </w:tcBorders>
                  <w:noWrap w:val="0"/>
                  <w:vAlign w:val="center"/>
                </w:tcPr>
                <w:p w14:paraId="7DCFE7A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kern w:val="0"/>
                      <w:sz w:val="18"/>
                      <w:szCs w:val="18"/>
                      <w:highlight w:val="none"/>
                      <w:lang w:val="en-US" w:eastAsia="zh-CN"/>
                    </w:rPr>
                  </w:pPr>
                  <w:r>
                    <w:rPr>
                      <w:rFonts w:hint="eastAsia" w:cs="Times New Roman"/>
                      <w:b w:val="0"/>
                      <w:bCs w:val="0"/>
                      <w:color w:val="auto"/>
                      <w:kern w:val="0"/>
                      <w:sz w:val="18"/>
                      <w:szCs w:val="18"/>
                      <w:highlight w:val="none"/>
                      <w:lang w:val="en-US" w:eastAsia="zh-CN"/>
                    </w:rPr>
                    <w:t>24小时</w:t>
                  </w:r>
                </w:p>
              </w:tc>
              <w:tc>
                <w:tcPr>
                  <w:tcW w:w="611" w:type="pct"/>
                  <w:tcBorders>
                    <w:tl2br w:val="nil"/>
                    <w:tr2bl w:val="nil"/>
                  </w:tcBorders>
                  <w:noWrap w:val="0"/>
                  <w:vAlign w:val="center"/>
                </w:tcPr>
                <w:p w14:paraId="31BE88A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kern w:val="0"/>
                      <w:sz w:val="18"/>
                      <w:szCs w:val="18"/>
                      <w:highlight w:val="none"/>
                      <w:lang w:val="en-US" w:eastAsia="zh-CN"/>
                    </w:rPr>
                  </w:pPr>
                  <w:r>
                    <w:rPr>
                      <w:rFonts w:hint="eastAsia" w:cs="Times New Roman"/>
                      <w:b w:val="0"/>
                      <w:bCs w:val="0"/>
                      <w:color w:val="auto"/>
                      <w:kern w:val="0"/>
                      <w:sz w:val="18"/>
                      <w:szCs w:val="18"/>
                      <w:highlight w:val="none"/>
                      <w:lang w:val="en-US" w:eastAsia="zh-CN"/>
                    </w:rPr>
                    <w:t>300</w:t>
                  </w:r>
                </w:p>
              </w:tc>
              <w:tc>
                <w:tcPr>
                  <w:tcW w:w="611" w:type="pct"/>
                  <w:tcBorders>
                    <w:tl2br w:val="nil"/>
                    <w:tr2bl w:val="nil"/>
                  </w:tcBorders>
                  <w:noWrap w:val="0"/>
                  <w:vAlign w:val="center"/>
                </w:tcPr>
                <w:p w14:paraId="47F36E2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kern w:val="0"/>
                      <w:sz w:val="18"/>
                      <w:szCs w:val="18"/>
                      <w:highlight w:val="none"/>
                      <w:lang w:val="en-US" w:eastAsia="zh-CN"/>
                    </w:rPr>
                  </w:pPr>
                  <w:r>
                    <w:rPr>
                      <w:rFonts w:hint="eastAsia" w:cs="Times New Roman"/>
                      <w:b w:val="0"/>
                      <w:bCs w:val="0"/>
                      <w:color w:val="auto"/>
                      <w:kern w:val="0"/>
                      <w:sz w:val="18"/>
                      <w:szCs w:val="18"/>
                      <w:highlight w:val="none"/>
                      <w:lang w:val="en-US" w:eastAsia="zh-CN"/>
                    </w:rPr>
                    <w:t>110~136</w:t>
                  </w:r>
                </w:p>
              </w:tc>
              <w:tc>
                <w:tcPr>
                  <w:tcW w:w="611" w:type="pct"/>
                  <w:tcBorders>
                    <w:tl2br w:val="nil"/>
                    <w:tr2bl w:val="nil"/>
                  </w:tcBorders>
                  <w:noWrap w:val="0"/>
                  <w:vAlign w:val="center"/>
                </w:tcPr>
                <w:p w14:paraId="1C0193F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kern w:val="0"/>
                      <w:sz w:val="18"/>
                      <w:szCs w:val="18"/>
                      <w:highlight w:val="none"/>
                      <w:lang w:val="en-US" w:eastAsia="zh-CN"/>
                    </w:rPr>
                  </w:pPr>
                  <w:r>
                    <w:rPr>
                      <w:rFonts w:hint="eastAsia" w:cs="Times New Roman"/>
                      <w:b w:val="0"/>
                      <w:bCs w:val="0"/>
                      <w:color w:val="auto"/>
                      <w:kern w:val="0"/>
                      <w:sz w:val="18"/>
                      <w:szCs w:val="18"/>
                      <w:highlight w:val="none"/>
                      <w:lang w:val="en-US" w:eastAsia="zh-CN"/>
                    </w:rPr>
                    <w:t>45</w:t>
                  </w:r>
                </w:p>
              </w:tc>
              <w:tc>
                <w:tcPr>
                  <w:tcW w:w="611" w:type="pct"/>
                  <w:tcBorders>
                    <w:tl2br w:val="nil"/>
                    <w:tr2bl w:val="nil"/>
                  </w:tcBorders>
                  <w:noWrap w:val="0"/>
                  <w:vAlign w:val="center"/>
                </w:tcPr>
                <w:p w14:paraId="1751579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kern w:val="0"/>
                      <w:sz w:val="18"/>
                      <w:szCs w:val="18"/>
                      <w:highlight w:val="none"/>
                      <w:lang w:val="en-US" w:eastAsia="zh-CN"/>
                    </w:rPr>
                  </w:pPr>
                  <w:r>
                    <w:rPr>
                      <w:rFonts w:hint="eastAsia" w:cs="Times New Roman"/>
                      <w:b w:val="0"/>
                      <w:bCs w:val="0"/>
                      <w:color w:val="auto"/>
                      <w:kern w:val="0"/>
                      <w:sz w:val="18"/>
                      <w:szCs w:val="18"/>
                      <w:highlight w:val="none"/>
                      <w:lang w:val="en-US" w:eastAsia="zh-CN"/>
                    </w:rPr>
                    <w:t>达标</w:t>
                  </w:r>
                </w:p>
              </w:tc>
            </w:tr>
          </w:tbl>
          <w:p w14:paraId="4F7AF1EB">
            <w:pPr>
              <w:pStyle w:val="166"/>
              <w:keepNext w:val="0"/>
              <w:keepLines w:val="0"/>
              <w:pageBreakBefore w:val="0"/>
              <w:kinsoku/>
              <w:wordWrap/>
              <w:overflowPunct/>
              <w:topLinePunct w:val="0"/>
              <w:autoSpaceDE/>
              <w:autoSpaceDN/>
              <w:bidi w:val="0"/>
              <w:adjustRightInd w:val="0"/>
              <w:snapToGrid w:val="0"/>
              <w:rPr>
                <w:rFonts w:hint="eastAsia" w:eastAsia="宋体" w:cs="Times New Roman"/>
                <w:color w:val="auto"/>
                <w:kern w:val="2"/>
                <w:sz w:val="21"/>
                <w:szCs w:val="21"/>
                <w:highlight w:val="none"/>
                <w:lang w:val="en-US" w:eastAsia="zh-CN" w:bidi="ar-SA"/>
              </w:rPr>
            </w:pPr>
            <w:r>
              <w:rPr>
                <w:rFonts w:hint="eastAsia" w:eastAsia="宋体" w:cs="Times New Roman"/>
                <w:color w:val="auto"/>
                <w:kern w:val="2"/>
                <w:sz w:val="21"/>
                <w:szCs w:val="21"/>
                <w:highlight w:val="none"/>
                <w:lang w:val="en-US" w:eastAsia="zh-CN" w:bidi="ar-SA"/>
              </w:rPr>
              <w:t>从上表数据可以看出，评价区域环境空气中</w:t>
            </w:r>
            <w:r>
              <w:rPr>
                <w:rFonts w:hint="default" w:eastAsia="宋体" w:cs="Times New Roman"/>
                <w:color w:val="auto"/>
                <w:kern w:val="2"/>
                <w:sz w:val="21"/>
                <w:szCs w:val="21"/>
                <w:highlight w:val="none"/>
                <w:lang w:val="en-US" w:eastAsia="zh-CN" w:bidi="ar-SA"/>
              </w:rPr>
              <w:t>TSP</w:t>
            </w:r>
            <w:r>
              <w:rPr>
                <w:rFonts w:hint="eastAsia" w:eastAsia="宋体" w:cs="Times New Roman"/>
                <w:color w:val="auto"/>
                <w:kern w:val="2"/>
                <w:sz w:val="21"/>
                <w:szCs w:val="21"/>
                <w:highlight w:val="none"/>
                <w:lang w:val="en-US" w:eastAsia="zh-CN" w:bidi="ar-SA"/>
              </w:rPr>
              <w:t>可满足《环境空气质量标准》</w:t>
            </w:r>
            <w:r>
              <w:rPr>
                <w:rFonts w:hint="default" w:eastAsia="宋体" w:cs="Times New Roman"/>
                <w:color w:val="auto"/>
                <w:kern w:val="2"/>
                <w:sz w:val="21"/>
                <w:szCs w:val="21"/>
                <w:highlight w:val="none"/>
                <w:lang w:val="en-US" w:eastAsia="zh-CN" w:bidi="ar-SA"/>
              </w:rPr>
              <w:t>(GB3095-20</w:t>
            </w:r>
            <w:r>
              <w:rPr>
                <w:rFonts w:hint="eastAsia" w:eastAsia="宋体" w:cs="Times New Roman"/>
                <w:color w:val="auto"/>
                <w:kern w:val="2"/>
                <w:sz w:val="21"/>
                <w:szCs w:val="21"/>
                <w:highlight w:val="none"/>
                <w:lang w:val="en-US" w:eastAsia="zh-CN" w:bidi="ar-SA"/>
              </w:rPr>
              <w:t>12</w:t>
            </w:r>
            <w:r>
              <w:rPr>
                <w:rFonts w:hint="default" w:eastAsia="宋体" w:cs="Times New Roman"/>
                <w:color w:val="auto"/>
                <w:kern w:val="2"/>
                <w:sz w:val="21"/>
                <w:szCs w:val="21"/>
                <w:highlight w:val="none"/>
                <w:lang w:val="en-US" w:eastAsia="zh-CN" w:bidi="ar-SA"/>
              </w:rPr>
              <w:t>)</w:t>
            </w:r>
            <w:r>
              <w:rPr>
                <w:rFonts w:hint="eastAsia" w:eastAsia="宋体" w:cs="Times New Roman"/>
                <w:color w:val="auto"/>
                <w:kern w:val="2"/>
                <w:sz w:val="21"/>
                <w:szCs w:val="21"/>
                <w:highlight w:val="none"/>
                <w:lang w:val="en-US" w:eastAsia="zh-CN" w:bidi="ar-SA"/>
              </w:rPr>
              <w:t>及其修改单二级标准及</w:t>
            </w:r>
            <w:r>
              <w:rPr>
                <w:rFonts w:hint="default" w:ascii="Times New Roman" w:hAnsi="Times New Roman" w:eastAsia="宋体" w:cs="Times New Roman"/>
                <w:color w:val="auto"/>
                <w:sz w:val="21"/>
                <w:szCs w:val="21"/>
              </w:rPr>
              <w:t>《环境空气质量标准》（GB3095-20</w:t>
            </w:r>
            <w:r>
              <w:rPr>
                <w:rFonts w:hint="eastAsia" w:ascii="Times New Roman" w:hAnsi="Times New Roman" w:cs="Times New Roman"/>
                <w:color w:val="auto"/>
                <w:sz w:val="21"/>
                <w:szCs w:val="21"/>
                <w:lang w:val="en-US" w:eastAsia="zh-CN"/>
              </w:rPr>
              <w:t>26</w:t>
            </w:r>
            <w:r>
              <w:rPr>
                <w:rFonts w:hint="default" w:ascii="Times New Roman" w:hAnsi="Times New Roman" w:eastAsia="宋体" w:cs="Times New Roman"/>
                <w:color w:val="auto"/>
                <w:sz w:val="21"/>
                <w:szCs w:val="21"/>
              </w:rPr>
              <w:t>）</w:t>
            </w:r>
            <w:r>
              <w:rPr>
                <w:rFonts w:hint="eastAsia" w:ascii="Times New Roman" w:hAnsi="Times New Roman" w:cs="Times New Roman"/>
                <w:color w:val="auto"/>
                <w:sz w:val="21"/>
                <w:szCs w:val="21"/>
                <w:lang w:val="en-US" w:eastAsia="zh-CN"/>
              </w:rPr>
              <w:t>表1过渡期</w:t>
            </w:r>
            <w:r>
              <w:rPr>
                <w:rFonts w:hint="default" w:ascii="Times New Roman" w:hAnsi="Times New Roman" w:eastAsia="宋体" w:cs="Times New Roman"/>
                <w:color w:val="auto"/>
                <w:sz w:val="21"/>
                <w:szCs w:val="21"/>
              </w:rPr>
              <w:t>二级标准要求</w:t>
            </w:r>
            <w:r>
              <w:rPr>
                <w:rFonts w:hint="eastAsia" w:eastAsia="宋体" w:cs="Times New Roman"/>
                <w:color w:val="auto"/>
                <w:kern w:val="2"/>
                <w:sz w:val="21"/>
                <w:szCs w:val="21"/>
                <w:highlight w:val="none"/>
                <w:lang w:val="en-US" w:eastAsia="zh-CN" w:bidi="ar-SA"/>
              </w:rPr>
              <w:t>。</w:t>
            </w:r>
          </w:p>
          <w:p w14:paraId="47E1760E">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default" w:eastAsia="宋体" w:cs="Times New Roman"/>
                <w:b/>
                <w:bCs/>
                <w:color w:val="auto"/>
                <w:sz w:val="21"/>
                <w:szCs w:val="21"/>
                <w:lang w:val="en-US" w:eastAsia="zh-CN"/>
              </w:rPr>
            </w:pPr>
            <w:r>
              <w:rPr>
                <w:rFonts w:hint="eastAsia" w:cs="Times New Roman"/>
                <w:b/>
                <w:bCs/>
                <w:color w:val="auto"/>
                <w:sz w:val="21"/>
                <w:szCs w:val="21"/>
                <w:lang w:val="en-US" w:eastAsia="zh-CN"/>
              </w:rPr>
              <w:t>2、</w:t>
            </w:r>
            <w:r>
              <w:rPr>
                <w:rFonts w:hint="eastAsia" w:eastAsia="宋体" w:cs="Times New Roman"/>
                <w:b/>
                <w:bCs/>
                <w:color w:val="auto"/>
                <w:sz w:val="21"/>
                <w:szCs w:val="21"/>
                <w:lang w:val="en-US" w:eastAsia="zh-CN"/>
              </w:rPr>
              <w:t>水</w:t>
            </w:r>
            <w:r>
              <w:rPr>
                <w:rFonts w:hint="default" w:eastAsia="宋体" w:cs="Times New Roman"/>
                <w:b/>
                <w:bCs/>
                <w:color w:val="auto"/>
                <w:sz w:val="21"/>
                <w:szCs w:val="21"/>
                <w:lang w:val="en-US" w:eastAsia="zh-CN"/>
              </w:rPr>
              <w:t>环境质量现状调查与评价</w:t>
            </w:r>
          </w:p>
          <w:p w14:paraId="4EBE9EC2">
            <w:pPr>
              <w:pStyle w:val="166"/>
              <w:keepNext w:val="0"/>
              <w:keepLines w:val="0"/>
              <w:pageBreakBefore w:val="0"/>
              <w:kinsoku/>
              <w:wordWrap/>
              <w:overflowPunct/>
              <w:topLinePunct w:val="0"/>
              <w:autoSpaceDE/>
              <w:autoSpaceDN/>
              <w:bidi w:val="0"/>
              <w:adjustRightInd w:val="0"/>
              <w:snapToGrid w:val="0"/>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根据《建设项目环境影响报告表编制技术指南（污染影响类）》</w:t>
            </w:r>
            <w:r>
              <w:rPr>
                <w:rFonts w:hint="default" w:ascii="Times New Roman" w:hAnsi="Times New Roman" w:eastAsia="宋体" w:cs="Times New Roman"/>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试行</w:t>
            </w:r>
            <w:r>
              <w:rPr>
                <w:rFonts w:hint="default" w:ascii="Times New Roman" w:hAnsi="Times New Roman" w:eastAsia="宋体" w:cs="Times New Roman"/>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的要求，“地表水环境质量现状引用与建设项目距离近的有效数据，包括近</w:t>
            </w:r>
            <w:r>
              <w:rPr>
                <w:rFonts w:hint="default" w:ascii="Times New Roman" w:hAnsi="Times New Roman" w:eastAsia="宋体" w:cs="Times New Roman"/>
                <w:color w:val="auto"/>
                <w:kern w:val="2"/>
                <w:sz w:val="21"/>
                <w:szCs w:val="21"/>
                <w:highlight w:val="none"/>
                <w:lang w:val="en-US" w:eastAsia="zh-CN" w:bidi="ar-SA"/>
              </w:rPr>
              <w:t>3</w:t>
            </w:r>
            <w:r>
              <w:rPr>
                <w:rFonts w:hint="eastAsia" w:ascii="Times New Roman" w:hAnsi="Times New Roman" w:eastAsia="宋体" w:cs="Times New Roman"/>
                <w:color w:val="auto"/>
                <w:kern w:val="2"/>
                <w:sz w:val="21"/>
                <w:szCs w:val="21"/>
                <w:highlight w:val="none"/>
                <w:lang w:val="en-US" w:eastAsia="zh-CN" w:bidi="ar-SA"/>
              </w:rPr>
              <w:t>年的规划环境影响评价的监测数据，所在流域控制单元内国家、地方控制断面监测数据，生态环境主管部门发布的水环境质量数据或地表水达标情况的结论”。</w:t>
            </w:r>
          </w:p>
          <w:p w14:paraId="2E7F014B">
            <w:pPr>
              <w:keepNext w:val="0"/>
              <w:keepLines w:val="0"/>
              <w:pageBreakBefore w:val="0"/>
              <w:widowControl/>
              <w:kinsoku/>
              <w:wordWrap/>
              <w:overflowPunct w:val="0"/>
              <w:topLinePunct/>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本次地表水现状评价引用昌吉回族自治州人民政府官网（https://www.ejgov.cn/p122/zdwrfz/20241125/289169.html）发布的《2024年10月水环境污染防治进展情况》中的水环境质量情况：按照《地表水环境质量标准》（GB3838-2002）评价，2024年10月全州共监测4条河流4个断面，其中八钢、三屯河首、老奇台、肯斯瓦特断面水质类别均达到Ⅰ类标准，与去年同期相比无明显变化。</w:t>
            </w:r>
          </w:p>
          <w:p w14:paraId="7C8C93C1">
            <w:pPr>
              <w:keepNext w:val="0"/>
              <w:keepLines w:val="0"/>
              <w:pageBreakBefore w:val="0"/>
              <w:widowControl/>
              <w:kinsoku/>
              <w:wordWrap/>
              <w:overflowPunct w:val="0"/>
              <w:topLinePunct/>
              <w:autoSpaceDE/>
              <w:autoSpaceDN/>
              <w:bidi w:val="0"/>
              <w:adjustRightInd/>
              <w:snapToGrid/>
              <w:spacing w:line="360" w:lineRule="auto"/>
              <w:ind w:firstLine="420" w:firstLineChars="200"/>
              <w:textAlignment w:val="auto"/>
              <w:rPr>
                <w:rFonts w:hint="eastAsia" w:cs="Times New Roman"/>
                <w:b w:val="0"/>
                <w:bCs w:val="0"/>
                <w:color w:val="auto"/>
                <w:kern w:val="0"/>
                <w:sz w:val="21"/>
                <w:szCs w:val="21"/>
                <w:highlight w:val="none"/>
                <w:lang w:val="en-US" w:eastAsia="zh-CN"/>
              </w:rPr>
            </w:pPr>
            <w:r>
              <w:rPr>
                <w:rFonts w:hint="default" w:ascii="Times New Roman" w:hAnsi="Times New Roman" w:cs="Times New Roman"/>
                <w:color w:val="auto"/>
                <w:sz w:val="21"/>
                <w:szCs w:val="21"/>
              </w:rPr>
              <w:t>本项目位于昌吉高新技术产业开发区，所在区域地表水监测点环境质量达到《地表水环境质量标准》（GB3838-2002）中</w:t>
            </w:r>
            <w:r>
              <w:rPr>
                <w:rFonts w:hint="default" w:ascii="Times New Roman" w:hAnsi="Times New Roman" w:eastAsia="宋体" w:cs="Times New Roman"/>
                <w:color w:val="auto"/>
                <w:sz w:val="21"/>
                <w:szCs w:val="21"/>
              </w:rPr>
              <w:t>Ⅰ</w:t>
            </w:r>
            <w:r>
              <w:rPr>
                <w:rFonts w:hint="default" w:ascii="Times New Roman" w:hAnsi="Times New Roman" w:cs="Times New Roman"/>
                <w:color w:val="auto"/>
                <w:sz w:val="21"/>
                <w:szCs w:val="21"/>
              </w:rPr>
              <w:t>类标准。</w:t>
            </w:r>
          </w:p>
          <w:p w14:paraId="4D51471A">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b/>
                <w:bCs/>
                <w:color w:val="auto"/>
                <w:kern w:val="0"/>
                <w:sz w:val="21"/>
                <w:szCs w:val="21"/>
                <w:highlight w:val="none"/>
                <w:lang w:val="en-US" w:eastAsia="zh-CN"/>
              </w:rPr>
              <w:t>3、地下水、土壤环境质量现状</w:t>
            </w:r>
          </w:p>
          <w:p w14:paraId="7FEE6E4A">
            <w:pPr>
              <w:pStyle w:val="49"/>
              <w:wordWrap w:val="0"/>
              <w:spacing w:line="360" w:lineRule="auto"/>
              <w:ind w:firstLine="420" w:firstLineChars="200"/>
              <w:jc w:val="both"/>
              <w:rPr>
                <w:rFonts w:hint="eastAsia" w:ascii="Times New Roman" w:hAnsi="Times New Roman" w:cs="Times New Roman"/>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bidi="ar-SA"/>
              </w:rPr>
              <w:t>依据《建设项目环境影响报告表编制技术指南（污染影响类）（试行）》：原则上不开展环境质量现状调查。建设项目存在土壤、地下水环境污染途径的，应结合污染源、保护目标分布情况开展现状调查以留作背景值。本项目运营期不涉及地下水和土壤污染源，故不再开展地下水、土壤环境质量现状评价。</w:t>
            </w:r>
          </w:p>
          <w:p w14:paraId="56671769">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default" w:eastAsia="宋体" w:cs="Times New Roman"/>
                <w:b/>
                <w:bCs/>
                <w:color w:val="auto"/>
                <w:sz w:val="21"/>
                <w:szCs w:val="21"/>
                <w:lang w:val="en-US" w:eastAsia="zh-CN"/>
              </w:rPr>
            </w:pPr>
            <w:r>
              <w:rPr>
                <w:rFonts w:hint="eastAsia" w:cs="Times New Roman"/>
                <w:b/>
                <w:bCs/>
                <w:color w:val="auto"/>
                <w:sz w:val="21"/>
                <w:szCs w:val="21"/>
                <w:lang w:val="en-US" w:eastAsia="zh-CN"/>
              </w:rPr>
              <w:t>4、</w:t>
            </w:r>
            <w:r>
              <w:rPr>
                <w:rFonts w:hint="default" w:eastAsia="宋体" w:cs="Times New Roman"/>
                <w:b/>
                <w:bCs/>
                <w:color w:val="auto"/>
                <w:sz w:val="21"/>
                <w:szCs w:val="21"/>
                <w:lang w:val="en-US" w:eastAsia="zh-CN"/>
              </w:rPr>
              <w:t>声环境质量现状</w:t>
            </w:r>
          </w:p>
          <w:p w14:paraId="5910DEB1">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20" w:firstLineChars="200"/>
              <w:textAlignment w:val="auto"/>
              <w:rPr>
                <w:rFonts w:hint="eastAsia"/>
                <w:snapToGrid w:val="0"/>
                <w:color w:val="auto"/>
                <w:sz w:val="21"/>
                <w:szCs w:val="21"/>
              </w:rPr>
            </w:pPr>
            <w:r>
              <w:rPr>
                <w:rFonts w:hint="default" w:ascii="Times New Roman" w:hAnsi="Times New Roman" w:eastAsia="宋体" w:cs="Times New Roman"/>
                <w:color w:val="auto"/>
                <w:kern w:val="2"/>
                <w:sz w:val="21"/>
                <w:szCs w:val="21"/>
                <w:highlight w:val="none"/>
                <w:lang w:val="en-US" w:eastAsia="zh-CN" w:bidi="ar-SA"/>
              </w:rPr>
              <w:t>本项目</w:t>
            </w:r>
            <w:r>
              <w:rPr>
                <w:rFonts w:hint="eastAsia" w:eastAsia="宋体" w:cs="Times New Roman"/>
                <w:color w:val="auto"/>
                <w:kern w:val="2"/>
                <w:sz w:val="21"/>
                <w:szCs w:val="21"/>
                <w:highlight w:val="none"/>
                <w:lang w:val="en-US" w:eastAsia="zh-CN" w:bidi="ar-SA"/>
              </w:rPr>
              <w:t>周围50m范围内无声环境保护目标，</w:t>
            </w:r>
            <w:r>
              <w:rPr>
                <w:rFonts w:hint="default" w:ascii="Times New Roman" w:hAnsi="Times New Roman" w:eastAsia="宋体" w:cs="Times New Roman"/>
                <w:color w:val="auto"/>
                <w:kern w:val="2"/>
                <w:sz w:val="21"/>
                <w:szCs w:val="21"/>
                <w:highlight w:val="none"/>
                <w:lang w:val="en-US" w:eastAsia="zh-CN" w:bidi="ar-SA"/>
              </w:rPr>
              <w:t>根据《建设项目环境影响报告表编制技术指南》（污染影响类）（试行）</w:t>
            </w:r>
            <w:r>
              <w:rPr>
                <w:rFonts w:hint="eastAsia" w:eastAsia="宋体" w:cs="Times New Roman"/>
                <w:color w:val="auto"/>
                <w:kern w:val="2"/>
                <w:sz w:val="21"/>
                <w:szCs w:val="21"/>
                <w:highlight w:val="none"/>
                <w:lang w:val="en-US" w:eastAsia="zh-CN" w:bidi="ar-SA"/>
              </w:rPr>
              <w:t>可</w:t>
            </w:r>
            <w:r>
              <w:rPr>
                <w:rFonts w:hint="default" w:ascii="Times New Roman" w:hAnsi="Times New Roman" w:eastAsia="宋体" w:cs="Times New Roman"/>
                <w:color w:val="auto"/>
                <w:kern w:val="2"/>
                <w:sz w:val="21"/>
                <w:szCs w:val="21"/>
                <w:highlight w:val="none"/>
                <w:lang w:val="en-US" w:eastAsia="zh-CN" w:bidi="ar-SA"/>
              </w:rPr>
              <w:t>不进行</w:t>
            </w:r>
            <w:r>
              <w:rPr>
                <w:rFonts w:hint="eastAsia" w:ascii="Times New Roman" w:hAnsi="Times New Roman" w:eastAsia="宋体" w:cs="Times New Roman"/>
                <w:color w:val="auto"/>
                <w:kern w:val="2"/>
                <w:sz w:val="21"/>
                <w:szCs w:val="21"/>
                <w:highlight w:val="none"/>
                <w:lang w:val="en-US" w:eastAsia="zh-CN" w:bidi="ar-SA"/>
              </w:rPr>
              <w:t>声</w:t>
            </w:r>
            <w:r>
              <w:rPr>
                <w:rFonts w:hint="default" w:ascii="Times New Roman" w:hAnsi="Times New Roman" w:eastAsia="宋体" w:cs="Times New Roman"/>
                <w:color w:val="auto"/>
                <w:kern w:val="2"/>
                <w:sz w:val="21"/>
                <w:szCs w:val="21"/>
                <w:highlight w:val="none"/>
                <w:lang w:val="en-US" w:eastAsia="zh-CN" w:bidi="ar-SA"/>
              </w:rPr>
              <w:t>环境质量现状调查。</w:t>
            </w:r>
          </w:p>
          <w:p w14:paraId="587B2468">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22" w:firstLineChars="200"/>
              <w:jc w:val="both"/>
              <w:textAlignment w:val="auto"/>
              <w:rPr>
                <w:rFonts w:hint="default" w:eastAsia="宋体" w:cs="Times New Roman"/>
                <w:b/>
                <w:bCs/>
                <w:color w:val="auto"/>
                <w:sz w:val="21"/>
                <w:szCs w:val="21"/>
                <w:lang w:val="en-US" w:eastAsia="zh-CN"/>
              </w:rPr>
            </w:pPr>
            <w:r>
              <w:rPr>
                <w:rFonts w:hint="eastAsia" w:cs="Times New Roman"/>
                <w:b/>
                <w:bCs/>
                <w:color w:val="auto"/>
                <w:sz w:val="21"/>
                <w:szCs w:val="21"/>
                <w:lang w:val="en-US" w:eastAsia="zh-CN"/>
              </w:rPr>
              <w:t>5、</w:t>
            </w:r>
            <w:r>
              <w:rPr>
                <w:rFonts w:hint="default" w:eastAsia="宋体" w:cs="Times New Roman"/>
                <w:b/>
                <w:bCs/>
                <w:color w:val="auto"/>
                <w:sz w:val="21"/>
                <w:szCs w:val="21"/>
                <w:lang w:val="en-US" w:eastAsia="zh-CN"/>
              </w:rPr>
              <w:t>生态环境现状及评价</w:t>
            </w:r>
          </w:p>
          <w:p w14:paraId="493EFB0B">
            <w:pPr>
              <w:pStyle w:val="166"/>
              <w:keepNext w:val="0"/>
              <w:keepLines w:val="0"/>
              <w:pageBreakBefore w:val="0"/>
              <w:kinsoku/>
              <w:wordWrap/>
              <w:overflowPunct/>
              <w:topLinePunct w:val="0"/>
              <w:autoSpaceDE/>
              <w:autoSpaceDN/>
              <w:bidi w:val="0"/>
              <w:adjustRightInd w:val="0"/>
              <w:snapToGrid w:val="0"/>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本项目位于</w:t>
            </w:r>
            <w:r>
              <w:rPr>
                <w:rFonts w:hint="eastAsia" w:ascii="Times New Roman" w:hAnsi="Times New Roman" w:eastAsia="宋体" w:cs="Times New Roman"/>
                <w:color w:val="auto"/>
                <w:sz w:val="21"/>
                <w:szCs w:val="21"/>
                <w:highlight w:val="none"/>
                <w:lang w:val="en-US" w:eastAsia="zh-CN"/>
              </w:rPr>
              <w:t>昌吉高新技术产业开发区科技大道以北、经六路以西</w:t>
            </w:r>
            <w:r>
              <w:rPr>
                <w:rFonts w:hint="eastAsia" w:ascii="Times New Roman" w:hAnsi="Times New Roman" w:eastAsia="宋体" w:cs="Times New Roman"/>
                <w:color w:val="auto"/>
                <w:kern w:val="2"/>
                <w:sz w:val="21"/>
                <w:szCs w:val="21"/>
                <w:highlight w:val="none"/>
                <w:lang w:val="en-US" w:eastAsia="zh-CN" w:bidi="ar-SA"/>
              </w:rPr>
              <w:t>，项目周边不存在国家公园、自然保护区、自然公园等自然保护地、生态保护红线等区域；也不存在重要物种的天然集中分布区、栖息地，重要水生生物的产卵场、索饵场、越冬场和洄游通道，迁徙鸟类的重要繁殖地、停歇地、越冬地以及野生动物迁徙通道等。因此项目周边不存在生态保护目标，本次评价不开展生态环境质量现状调查。</w:t>
            </w:r>
          </w:p>
          <w:p w14:paraId="1E61264E">
            <w:pPr>
              <w:pStyle w:val="166"/>
              <w:keepNext w:val="0"/>
              <w:keepLines w:val="0"/>
              <w:pageBreakBefore w:val="0"/>
              <w:kinsoku/>
              <w:wordWrap/>
              <w:overflowPunct/>
              <w:topLinePunct w:val="0"/>
              <w:autoSpaceDE/>
              <w:autoSpaceDN/>
              <w:bidi w:val="0"/>
              <w:adjustRightInd w:val="0"/>
              <w:snapToGrid w:val="0"/>
              <w:rPr>
                <w:rFonts w:hint="default" w:ascii="Times New Roman" w:hAnsi="Times New Roman" w:eastAsia="宋体" w:cs="Times New Roman"/>
                <w:b/>
                <w:bCs/>
                <w:color w:val="auto"/>
                <w:kern w:val="2"/>
                <w:sz w:val="21"/>
                <w:szCs w:val="21"/>
                <w:highlight w:val="none"/>
                <w:lang w:val="en-US" w:eastAsia="zh-CN" w:bidi="ar-SA"/>
              </w:rPr>
            </w:pPr>
            <w:r>
              <w:rPr>
                <w:rFonts w:hint="eastAsia" w:eastAsia="宋体" w:cs="Times New Roman"/>
                <w:b/>
                <w:bCs/>
                <w:color w:val="auto"/>
                <w:kern w:val="2"/>
                <w:sz w:val="21"/>
                <w:szCs w:val="21"/>
                <w:highlight w:val="none"/>
                <w:lang w:val="en-US" w:eastAsia="zh-CN" w:bidi="ar-SA"/>
              </w:rPr>
              <w:t>6、电磁辐射</w:t>
            </w:r>
          </w:p>
          <w:p w14:paraId="54978833">
            <w:pPr>
              <w:pStyle w:val="166"/>
              <w:keepNext w:val="0"/>
              <w:keepLines w:val="0"/>
              <w:pageBreakBefore w:val="0"/>
              <w:kinsoku/>
              <w:wordWrap/>
              <w:overflowPunct/>
              <w:topLinePunct w:val="0"/>
              <w:autoSpaceDE/>
              <w:autoSpaceDN/>
              <w:bidi w:val="0"/>
              <w:adjustRightInd w:val="0"/>
              <w:snapToGrid w:val="0"/>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本项目不属于电磁辐射类项目，无需对项目电磁辐射现状开展监测与评价。</w:t>
            </w:r>
          </w:p>
        </w:tc>
      </w:tr>
      <w:tr w14:paraId="32C61C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54" w:hRule="atLeast"/>
          <w:jc w:val="center"/>
        </w:trPr>
        <w:tc>
          <w:tcPr>
            <w:tcW w:w="677" w:type="dxa"/>
            <w:noWrap w:val="0"/>
            <w:vAlign w:val="center"/>
          </w:tcPr>
          <w:p w14:paraId="6D34D54A">
            <w:pPr>
              <w:adjustRightInd w:val="0"/>
              <w:snapToGrid w:val="0"/>
              <w:jc w:val="center"/>
              <w:rPr>
                <w:rFonts w:hint="default"/>
                <w:color w:val="auto"/>
                <w:sz w:val="21"/>
                <w:szCs w:val="21"/>
              </w:rPr>
            </w:pPr>
          </w:p>
          <w:p w14:paraId="231F32A0">
            <w:pPr>
              <w:adjustRightInd w:val="0"/>
              <w:snapToGrid w:val="0"/>
              <w:jc w:val="center"/>
              <w:rPr>
                <w:rFonts w:hint="default" w:ascii="Times New Roman" w:hAnsi="Times New Roman" w:eastAsia="宋体" w:cs="Times New Roman"/>
                <w:snapToGrid w:val="0"/>
                <w:color w:val="auto"/>
                <w:kern w:val="2"/>
                <w:sz w:val="21"/>
                <w:szCs w:val="21"/>
                <w:highlight w:val="none"/>
                <w:lang w:val="en-US" w:eastAsia="zh-CN" w:bidi="ar-SA"/>
              </w:rPr>
            </w:pPr>
          </w:p>
          <w:p w14:paraId="7890FF60">
            <w:pPr>
              <w:adjustRightInd w:val="0"/>
              <w:snapToGrid w:val="0"/>
              <w:jc w:val="center"/>
              <w:rPr>
                <w:rFonts w:hint="default" w:ascii="Times New Roman" w:hAnsi="Times New Roman" w:eastAsia="宋体" w:cs="Times New Roman"/>
                <w:snapToGrid w:val="0"/>
                <w:color w:val="auto"/>
                <w:kern w:val="2"/>
                <w:sz w:val="21"/>
                <w:szCs w:val="21"/>
                <w:highlight w:val="none"/>
                <w:lang w:val="en-US" w:eastAsia="zh-CN" w:bidi="ar-SA"/>
              </w:rPr>
            </w:pPr>
          </w:p>
          <w:p w14:paraId="26C46700">
            <w:pPr>
              <w:adjustRightInd w:val="0"/>
              <w:snapToGrid w:val="0"/>
              <w:jc w:val="center"/>
              <w:rPr>
                <w:rFonts w:hint="default" w:ascii="Times New Roman" w:hAnsi="Times New Roman" w:eastAsia="宋体" w:cs="Times New Roman"/>
                <w:snapToGrid w:val="0"/>
                <w:color w:val="auto"/>
                <w:kern w:val="2"/>
                <w:sz w:val="21"/>
                <w:szCs w:val="21"/>
                <w:highlight w:val="none"/>
                <w:lang w:val="en-US" w:eastAsia="zh-CN" w:bidi="ar-SA"/>
              </w:rPr>
            </w:pPr>
          </w:p>
          <w:p w14:paraId="70F16AC9">
            <w:pPr>
              <w:adjustRightInd w:val="0"/>
              <w:snapToGrid w:val="0"/>
              <w:jc w:val="center"/>
              <w:rPr>
                <w:rFonts w:hint="default" w:ascii="Times New Roman" w:hAnsi="Times New Roman" w:eastAsia="宋体" w:cs="Times New Roman"/>
                <w:snapToGrid w:val="0"/>
                <w:color w:val="auto"/>
                <w:kern w:val="2"/>
                <w:sz w:val="21"/>
                <w:szCs w:val="21"/>
                <w:highlight w:val="none"/>
                <w:lang w:val="en-US" w:eastAsia="zh-CN" w:bidi="ar-SA"/>
              </w:rPr>
            </w:pPr>
          </w:p>
          <w:p w14:paraId="41CC6FB1">
            <w:pPr>
              <w:adjustRightInd w:val="0"/>
              <w:snapToGrid w:val="0"/>
              <w:jc w:val="center"/>
              <w:rPr>
                <w:rFonts w:hint="default" w:ascii="Times New Roman" w:hAnsi="Times New Roman" w:eastAsia="宋体" w:cs="Times New Roman"/>
                <w:snapToGrid w:val="0"/>
                <w:color w:val="auto"/>
                <w:kern w:val="2"/>
                <w:sz w:val="21"/>
                <w:szCs w:val="21"/>
                <w:highlight w:val="none"/>
                <w:lang w:val="en-US" w:eastAsia="zh-CN" w:bidi="ar-SA"/>
              </w:rPr>
            </w:pPr>
          </w:p>
          <w:p w14:paraId="77D55342">
            <w:pPr>
              <w:adjustRightInd w:val="0"/>
              <w:snapToGrid w:val="0"/>
              <w:jc w:val="center"/>
              <w:rPr>
                <w:rFonts w:hint="default" w:ascii="Times New Roman" w:hAnsi="Times New Roman" w:eastAsia="宋体" w:cs="Times New Roman"/>
                <w:snapToGrid w:val="0"/>
                <w:color w:val="auto"/>
                <w:kern w:val="2"/>
                <w:sz w:val="21"/>
                <w:szCs w:val="21"/>
                <w:highlight w:val="none"/>
                <w:lang w:val="en-US" w:eastAsia="zh-CN" w:bidi="ar-SA"/>
              </w:rPr>
            </w:pPr>
          </w:p>
          <w:p w14:paraId="07A12B7D">
            <w:pPr>
              <w:adjustRightInd w:val="0"/>
              <w:snapToGrid w:val="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snapToGrid w:val="0"/>
                <w:color w:val="auto"/>
                <w:kern w:val="2"/>
                <w:sz w:val="21"/>
                <w:szCs w:val="21"/>
                <w:highlight w:val="none"/>
                <w:lang w:val="en-US" w:eastAsia="zh-CN" w:bidi="ar-SA"/>
              </w:rPr>
              <w:t>环境</w:t>
            </w:r>
          </w:p>
          <w:p w14:paraId="3DA7ED04">
            <w:pPr>
              <w:adjustRightInd w:val="0"/>
              <w:snapToGrid w:val="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snapToGrid w:val="0"/>
                <w:color w:val="auto"/>
                <w:kern w:val="2"/>
                <w:sz w:val="21"/>
                <w:szCs w:val="21"/>
                <w:highlight w:val="none"/>
                <w:lang w:val="en-US" w:eastAsia="zh-CN" w:bidi="ar-SA"/>
              </w:rPr>
              <w:t>保护</w:t>
            </w:r>
          </w:p>
          <w:p w14:paraId="01AB307A">
            <w:pPr>
              <w:adjustRightInd w:val="0"/>
              <w:snapToGrid w:val="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snapToGrid w:val="0"/>
                <w:color w:val="auto"/>
                <w:kern w:val="2"/>
                <w:sz w:val="21"/>
                <w:szCs w:val="21"/>
                <w:highlight w:val="none"/>
                <w:lang w:val="en-US" w:eastAsia="zh-CN" w:bidi="ar-SA"/>
              </w:rPr>
              <w:t>目标</w:t>
            </w:r>
          </w:p>
          <w:p w14:paraId="0FE499BE">
            <w:pPr>
              <w:adjustRightInd w:val="0"/>
              <w:snapToGrid w:val="0"/>
              <w:jc w:val="center"/>
              <w:rPr>
                <w:rFonts w:hint="default" w:ascii="Times New Roman" w:hAnsi="Times New Roman" w:eastAsia="宋体" w:cs="Times New Roman"/>
                <w:snapToGrid w:val="0"/>
                <w:color w:val="auto"/>
                <w:kern w:val="2"/>
                <w:sz w:val="21"/>
                <w:szCs w:val="21"/>
                <w:highlight w:val="none"/>
                <w:lang w:val="en-US" w:eastAsia="zh-CN" w:bidi="ar-SA"/>
              </w:rPr>
            </w:pPr>
          </w:p>
          <w:p w14:paraId="41DAF904">
            <w:pPr>
              <w:adjustRightInd w:val="0"/>
              <w:snapToGrid w:val="0"/>
              <w:jc w:val="center"/>
              <w:rPr>
                <w:rFonts w:hint="eastAsia" w:cs="Times New Roman"/>
                <w:snapToGrid w:val="0"/>
                <w:color w:val="auto"/>
                <w:kern w:val="2"/>
                <w:sz w:val="21"/>
                <w:szCs w:val="21"/>
                <w:highlight w:val="none"/>
                <w:lang w:val="en-US" w:eastAsia="zh-CN" w:bidi="ar-SA"/>
              </w:rPr>
            </w:pPr>
          </w:p>
          <w:p w14:paraId="24155D6F">
            <w:pPr>
              <w:adjustRightInd w:val="0"/>
              <w:snapToGrid w:val="0"/>
              <w:jc w:val="center"/>
              <w:rPr>
                <w:rFonts w:hint="eastAsia" w:cs="Times New Roman"/>
                <w:snapToGrid w:val="0"/>
                <w:color w:val="auto"/>
                <w:kern w:val="2"/>
                <w:sz w:val="21"/>
                <w:szCs w:val="21"/>
                <w:highlight w:val="none"/>
                <w:lang w:val="en-US" w:eastAsia="zh-CN" w:bidi="ar-SA"/>
              </w:rPr>
            </w:pPr>
          </w:p>
          <w:p w14:paraId="51EF27B9">
            <w:pPr>
              <w:adjustRightInd w:val="0"/>
              <w:snapToGrid w:val="0"/>
              <w:jc w:val="center"/>
              <w:rPr>
                <w:rFonts w:hint="eastAsia" w:cs="Times New Roman"/>
                <w:snapToGrid w:val="0"/>
                <w:color w:val="auto"/>
                <w:kern w:val="2"/>
                <w:sz w:val="21"/>
                <w:szCs w:val="21"/>
                <w:highlight w:val="none"/>
                <w:lang w:val="en-US" w:eastAsia="zh-CN" w:bidi="ar-SA"/>
              </w:rPr>
            </w:pPr>
          </w:p>
          <w:p w14:paraId="08130B52">
            <w:pPr>
              <w:adjustRightInd w:val="0"/>
              <w:snapToGrid w:val="0"/>
              <w:jc w:val="center"/>
              <w:rPr>
                <w:rFonts w:hint="eastAsia" w:cs="Times New Roman"/>
                <w:snapToGrid w:val="0"/>
                <w:color w:val="auto"/>
                <w:kern w:val="2"/>
                <w:sz w:val="21"/>
                <w:szCs w:val="21"/>
                <w:highlight w:val="none"/>
                <w:lang w:val="en-US" w:eastAsia="zh-CN" w:bidi="ar-SA"/>
              </w:rPr>
            </w:pPr>
          </w:p>
          <w:p w14:paraId="53874F9B">
            <w:pPr>
              <w:adjustRightInd w:val="0"/>
              <w:snapToGrid w:val="0"/>
              <w:jc w:val="center"/>
              <w:rPr>
                <w:rFonts w:hint="eastAsia" w:cs="Times New Roman"/>
                <w:snapToGrid w:val="0"/>
                <w:color w:val="auto"/>
                <w:kern w:val="2"/>
                <w:sz w:val="21"/>
                <w:szCs w:val="21"/>
                <w:highlight w:val="none"/>
                <w:lang w:val="en-US" w:eastAsia="zh-CN" w:bidi="ar-SA"/>
              </w:rPr>
            </w:pPr>
          </w:p>
          <w:p w14:paraId="26635442">
            <w:pPr>
              <w:adjustRightInd w:val="0"/>
              <w:snapToGrid w:val="0"/>
              <w:jc w:val="center"/>
              <w:rPr>
                <w:rFonts w:hint="default" w:ascii="Times New Roman" w:hAnsi="Times New Roman" w:eastAsia="宋体" w:cs="Times New Roman"/>
                <w:snapToGrid w:val="0"/>
                <w:color w:val="auto"/>
                <w:kern w:val="2"/>
                <w:sz w:val="21"/>
                <w:szCs w:val="21"/>
                <w:highlight w:val="none"/>
                <w:lang w:val="en-US" w:eastAsia="zh-CN" w:bidi="ar-SA"/>
              </w:rPr>
            </w:pPr>
          </w:p>
          <w:p w14:paraId="5754AD77">
            <w:pPr>
              <w:rPr>
                <w:rFonts w:hint="eastAsia"/>
                <w:color w:val="auto"/>
                <w:sz w:val="21"/>
                <w:szCs w:val="21"/>
                <w:lang w:val="en-US" w:eastAsia="zh-CN"/>
              </w:rPr>
            </w:pPr>
          </w:p>
          <w:p w14:paraId="399D2180">
            <w:pPr>
              <w:rPr>
                <w:rFonts w:hint="eastAsia"/>
                <w:color w:val="auto"/>
                <w:sz w:val="21"/>
                <w:szCs w:val="21"/>
                <w:lang w:val="en-US" w:eastAsia="zh-CN"/>
              </w:rPr>
            </w:pPr>
          </w:p>
          <w:p w14:paraId="64A50ADD">
            <w:pPr>
              <w:rPr>
                <w:rFonts w:hint="eastAsia"/>
                <w:color w:val="auto"/>
                <w:sz w:val="21"/>
                <w:szCs w:val="21"/>
                <w:lang w:val="en-US" w:eastAsia="zh-CN"/>
              </w:rPr>
            </w:pPr>
          </w:p>
          <w:p w14:paraId="19B7D4F5">
            <w:pPr>
              <w:rPr>
                <w:rFonts w:hint="eastAsia" w:eastAsia="宋体"/>
                <w:color w:val="auto"/>
                <w:sz w:val="21"/>
                <w:szCs w:val="21"/>
                <w:lang w:val="en-US" w:eastAsia="zh-CN"/>
              </w:rPr>
            </w:pPr>
          </w:p>
        </w:tc>
        <w:tc>
          <w:tcPr>
            <w:tcW w:w="8384" w:type="dxa"/>
            <w:noWrap w:val="0"/>
            <w:vAlign w:val="center"/>
          </w:tcPr>
          <w:p w14:paraId="33C554EE">
            <w:pPr>
              <w:pStyle w:val="166"/>
              <w:keepNext w:val="0"/>
              <w:keepLines w:val="0"/>
              <w:pageBreakBefore w:val="0"/>
              <w:widowControl w:val="0"/>
              <w:numPr>
                <w:ilvl w:val="0"/>
                <w:numId w:val="0"/>
              </w:numPr>
              <w:kinsoku/>
              <w:wordWrap/>
              <w:overflowPunct/>
              <w:topLinePunct w:val="0"/>
              <w:autoSpaceDE/>
              <w:autoSpaceDN/>
              <w:bidi w:val="0"/>
              <w:adjustRightInd w:val="0"/>
              <w:snapToGrid w:val="0"/>
              <w:ind w:leftChars="200" w:right="0" w:rightChars="0"/>
              <w:textAlignment w:val="baseline"/>
              <w:rPr>
                <w:rFonts w:hint="eastAsia" w:eastAsia="宋体" w:cs="Times New Roman"/>
                <w:color w:val="auto"/>
                <w:kern w:val="2"/>
                <w:sz w:val="21"/>
                <w:szCs w:val="21"/>
                <w:highlight w:val="yellow"/>
                <w:lang w:val="en-US" w:eastAsia="zh-CN" w:bidi="ar-SA"/>
              </w:rPr>
            </w:pPr>
            <w:r>
              <w:rPr>
                <w:rFonts w:hint="eastAsia" w:ascii="Times New Roman" w:hAnsi="Times New Roman" w:eastAsia="宋体" w:cs="Times New Roman"/>
                <w:color w:val="auto"/>
                <w:kern w:val="2"/>
                <w:sz w:val="21"/>
                <w:szCs w:val="21"/>
                <w:highlight w:val="none"/>
                <w:lang w:val="en-US" w:eastAsia="zh-CN" w:bidi="ar-SA"/>
              </w:rPr>
              <w:t>本项目主要环境保护目标</w:t>
            </w:r>
            <w:r>
              <w:rPr>
                <w:rFonts w:hint="eastAsia" w:ascii="Times New Roman" w:hAnsi="Times New Roman" w:eastAsia="宋体" w:cs="Times New Roman"/>
                <w:color w:val="auto"/>
                <w:kern w:val="2"/>
                <w:sz w:val="21"/>
                <w:szCs w:val="21"/>
                <w:lang w:val="en-US" w:eastAsia="zh-CN" w:bidi="ar"/>
              </w:rPr>
              <w:t>见下表</w:t>
            </w:r>
            <w:r>
              <w:rPr>
                <w:rFonts w:hint="eastAsia" w:ascii="Times New Roman" w:hAnsi="Times New Roman" w:eastAsia="宋体" w:cs="Times New Roman"/>
                <w:color w:val="auto"/>
                <w:kern w:val="2"/>
                <w:sz w:val="21"/>
                <w:szCs w:val="21"/>
                <w:highlight w:val="none"/>
                <w:lang w:val="en-US" w:eastAsia="zh-CN" w:bidi="ar-SA"/>
              </w:rPr>
              <w:t>。</w:t>
            </w:r>
            <w:r>
              <w:rPr>
                <w:rFonts w:hint="eastAsia" w:eastAsia="宋体" w:cs="Times New Roman"/>
                <w:color w:val="auto"/>
                <w:kern w:val="2"/>
                <w:sz w:val="21"/>
                <w:szCs w:val="21"/>
                <w:highlight w:val="none"/>
                <w:lang w:val="en-US" w:eastAsia="zh-CN" w:bidi="ar-SA"/>
              </w:rPr>
              <w:t>周边关系影像</w:t>
            </w:r>
            <w:r>
              <w:rPr>
                <w:rFonts w:hint="eastAsia" w:ascii="Times New Roman" w:hAnsi="Times New Roman" w:eastAsia="宋体" w:cs="Times New Roman"/>
                <w:color w:val="auto"/>
                <w:kern w:val="2"/>
                <w:sz w:val="21"/>
                <w:szCs w:val="21"/>
                <w:highlight w:val="none"/>
                <w:lang w:val="en-US" w:eastAsia="zh-CN" w:bidi="ar-SA"/>
              </w:rPr>
              <w:t>图见附图</w:t>
            </w:r>
            <w:r>
              <w:rPr>
                <w:rFonts w:hint="eastAsia" w:eastAsia="宋体" w:cs="Times New Roman"/>
                <w:color w:val="auto"/>
                <w:kern w:val="2"/>
                <w:sz w:val="21"/>
                <w:szCs w:val="21"/>
                <w:highlight w:val="none"/>
                <w:lang w:val="en-US" w:eastAsia="zh-CN" w:bidi="ar-SA"/>
              </w:rPr>
              <w:t>2。</w:t>
            </w:r>
          </w:p>
          <w:p w14:paraId="6087B278">
            <w:pPr>
              <w:pageBreakBefore w:val="0"/>
              <w:kinsoku/>
              <w:wordWrap/>
              <w:bidi w:val="0"/>
              <w:adjustRightInd w:val="0"/>
              <w:snapToGrid w:val="0"/>
              <w:spacing w:line="240" w:lineRule="auto"/>
              <w:jc w:val="center"/>
              <w:rPr>
                <w:rFonts w:hint="default" w:ascii="Times New Roman" w:hAnsi="Times New Roman" w:eastAsia="黑体" w:cs="Times New Roman"/>
                <w:b w:val="0"/>
                <w:bCs/>
                <w:color w:val="auto"/>
                <w:sz w:val="21"/>
                <w:szCs w:val="21"/>
                <w:highlight w:val="none"/>
              </w:rPr>
            </w:pPr>
            <w:r>
              <w:rPr>
                <w:rFonts w:hint="default" w:ascii="Times New Roman" w:hAnsi="Times New Roman" w:eastAsia="黑体" w:cs="Times New Roman"/>
                <w:b w:val="0"/>
                <w:bCs/>
                <w:color w:val="auto"/>
                <w:sz w:val="21"/>
                <w:szCs w:val="21"/>
                <w:highlight w:val="none"/>
              </w:rPr>
              <w:t>表</w:t>
            </w:r>
            <w:r>
              <w:rPr>
                <w:rFonts w:hint="default" w:ascii="Times New Roman" w:hAnsi="Times New Roman" w:eastAsia="黑体" w:cs="Times New Roman"/>
                <w:b w:val="0"/>
                <w:bCs/>
                <w:color w:val="auto"/>
                <w:sz w:val="21"/>
                <w:szCs w:val="21"/>
                <w:highlight w:val="none"/>
                <w:lang w:val="en-US" w:eastAsia="zh-CN"/>
              </w:rPr>
              <w:t>3-</w:t>
            </w:r>
            <w:r>
              <w:rPr>
                <w:rFonts w:hint="eastAsia" w:eastAsia="黑体" w:cs="Times New Roman"/>
                <w:b w:val="0"/>
                <w:bCs/>
                <w:color w:val="auto"/>
                <w:sz w:val="21"/>
                <w:szCs w:val="21"/>
                <w:highlight w:val="none"/>
                <w:lang w:val="en-US" w:eastAsia="zh-CN"/>
              </w:rPr>
              <w:t>3</w:t>
            </w:r>
            <w:r>
              <w:rPr>
                <w:rFonts w:hint="default" w:ascii="Times New Roman" w:hAnsi="Times New Roman" w:eastAsia="黑体" w:cs="Times New Roman"/>
                <w:b w:val="0"/>
                <w:bCs/>
                <w:color w:val="auto"/>
                <w:sz w:val="21"/>
                <w:szCs w:val="21"/>
                <w:highlight w:val="none"/>
                <w:lang w:eastAsia="zh-CN"/>
              </w:rPr>
              <w:t>主要环境保护目标</w:t>
            </w:r>
            <w:r>
              <w:rPr>
                <w:rFonts w:hint="default" w:ascii="Times New Roman" w:hAnsi="Times New Roman" w:eastAsia="黑体" w:cs="Times New Roman"/>
                <w:b w:val="0"/>
                <w:bCs/>
                <w:color w:val="auto"/>
                <w:sz w:val="21"/>
                <w:szCs w:val="21"/>
                <w:highlight w:val="none"/>
              </w:rPr>
              <w:t>一览表</w:t>
            </w:r>
          </w:p>
          <w:tbl>
            <w:tblPr>
              <w:tblStyle w:val="3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7" w:type="dxa"/>
                <w:bottom w:w="0" w:type="dxa"/>
                <w:right w:w="57" w:type="dxa"/>
              </w:tblCellMar>
            </w:tblPr>
            <w:tblGrid>
              <w:gridCol w:w="874"/>
              <w:gridCol w:w="1046"/>
              <w:gridCol w:w="1033"/>
              <w:gridCol w:w="649"/>
              <w:gridCol w:w="1706"/>
              <w:gridCol w:w="1168"/>
              <w:gridCol w:w="1758"/>
            </w:tblGrid>
            <w:tr w14:paraId="72310C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31" w:type="pct"/>
                  <w:tcBorders>
                    <w:tl2br w:val="nil"/>
                    <w:tr2bl w:val="nil"/>
                  </w:tcBorders>
                  <w:noWrap w:val="0"/>
                  <w:vAlign w:val="center"/>
                </w:tcPr>
                <w:p w14:paraId="01781A81">
                  <w:pPr>
                    <w:keepNext w:val="0"/>
                    <w:keepLines w:val="0"/>
                    <w:suppressLineNumbers w:val="0"/>
                    <w:spacing w:before="0" w:beforeAutospacing="0" w:after="0" w:afterAutospacing="0" w:line="240" w:lineRule="auto"/>
                    <w:ind w:left="0" w:right="0" w:firstLine="0"/>
                    <w:jc w:val="center"/>
                    <w:rPr>
                      <w:rFonts w:hint="default" w:ascii="Times New Roman" w:hAnsi="Times New Roman" w:cs="Times New Roman"/>
                      <w:b/>
                      <w:bCs/>
                      <w:caps w:val="0"/>
                      <w:smallCaps w:val="0"/>
                      <w:color w:val="auto"/>
                      <w:sz w:val="18"/>
                      <w:szCs w:val="18"/>
                      <w:highlight w:val="none"/>
                    </w:rPr>
                  </w:pPr>
                  <w:r>
                    <w:rPr>
                      <w:rFonts w:hint="default" w:ascii="Times New Roman" w:hAnsi="Times New Roman" w:cs="Times New Roman"/>
                      <w:b/>
                      <w:bCs/>
                      <w:caps w:val="0"/>
                      <w:smallCaps w:val="0"/>
                      <w:color w:val="auto"/>
                      <w:sz w:val="18"/>
                      <w:szCs w:val="18"/>
                      <w:highlight w:val="none"/>
                    </w:rPr>
                    <w:t>环境要素</w:t>
                  </w:r>
                </w:p>
              </w:tc>
              <w:tc>
                <w:tcPr>
                  <w:tcW w:w="635" w:type="pct"/>
                  <w:tcBorders>
                    <w:tl2br w:val="nil"/>
                    <w:tr2bl w:val="nil"/>
                  </w:tcBorders>
                  <w:noWrap w:val="0"/>
                  <w:vAlign w:val="center"/>
                </w:tcPr>
                <w:p w14:paraId="71753871">
                  <w:pPr>
                    <w:keepNext w:val="0"/>
                    <w:keepLines w:val="0"/>
                    <w:suppressLineNumbers w:val="0"/>
                    <w:spacing w:before="0" w:beforeAutospacing="0" w:after="0" w:afterAutospacing="0" w:line="240" w:lineRule="auto"/>
                    <w:ind w:left="0" w:right="0" w:firstLine="0"/>
                    <w:jc w:val="center"/>
                    <w:rPr>
                      <w:rFonts w:hint="default" w:ascii="Times New Roman" w:hAnsi="Times New Roman" w:cs="Times New Roman"/>
                      <w:b/>
                      <w:bCs/>
                      <w:caps w:val="0"/>
                      <w:smallCaps w:val="0"/>
                      <w:color w:val="auto"/>
                      <w:sz w:val="18"/>
                      <w:szCs w:val="18"/>
                      <w:highlight w:val="none"/>
                    </w:rPr>
                  </w:pPr>
                  <w:r>
                    <w:rPr>
                      <w:rFonts w:hint="default" w:ascii="Times New Roman" w:hAnsi="Times New Roman" w:cs="Times New Roman"/>
                      <w:b/>
                      <w:bCs/>
                      <w:caps w:val="0"/>
                      <w:smallCaps w:val="0"/>
                      <w:color w:val="auto"/>
                      <w:sz w:val="18"/>
                      <w:szCs w:val="18"/>
                      <w:highlight w:val="none"/>
                    </w:rPr>
                    <w:t>环境</w:t>
                  </w:r>
                  <w:r>
                    <w:rPr>
                      <w:rFonts w:hint="eastAsia" w:cs="Times New Roman"/>
                      <w:b/>
                      <w:bCs/>
                      <w:caps w:val="0"/>
                      <w:smallCaps w:val="0"/>
                      <w:color w:val="auto"/>
                      <w:sz w:val="18"/>
                      <w:szCs w:val="18"/>
                      <w:highlight w:val="none"/>
                      <w:lang w:val="en-US" w:eastAsia="zh-CN"/>
                    </w:rPr>
                    <w:t>保护目标</w:t>
                  </w:r>
                </w:p>
              </w:tc>
              <w:tc>
                <w:tcPr>
                  <w:tcW w:w="627" w:type="pct"/>
                  <w:tcBorders>
                    <w:tl2br w:val="nil"/>
                    <w:tr2bl w:val="nil"/>
                  </w:tcBorders>
                  <w:noWrap w:val="0"/>
                  <w:vAlign w:val="center"/>
                </w:tcPr>
                <w:p w14:paraId="1EB71C96">
                  <w:pPr>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b/>
                      <w:bCs/>
                      <w:caps w:val="0"/>
                      <w:smallCaps w:val="0"/>
                      <w:color w:val="auto"/>
                      <w:sz w:val="18"/>
                      <w:szCs w:val="18"/>
                      <w:highlight w:val="none"/>
                      <w:lang w:val="en-US" w:eastAsia="zh-CN"/>
                    </w:rPr>
                  </w:pPr>
                  <w:r>
                    <w:rPr>
                      <w:rFonts w:hint="default" w:ascii="Times New Roman" w:hAnsi="Times New Roman" w:eastAsia="宋体" w:cs="Times New Roman"/>
                      <w:b/>
                      <w:bCs/>
                      <w:color w:val="auto"/>
                      <w:kern w:val="0"/>
                      <w:sz w:val="18"/>
                      <w:szCs w:val="18"/>
                      <w:highlight w:val="none"/>
                      <w:lang w:bidi="en-US"/>
                    </w:rPr>
                    <w:t>保护</w:t>
                  </w:r>
                  <w:r>
                    <w:rPr>
                      <w:rFonts w:hint="eastAsia" w:cs="Times New Roman"/>
                      <w:b/>
                      <w:bCs/>
                      <w:color w:val="auto"/>
                      <w:kern w:val="0"/>
                      <w:sz w:val="18"/>
                      <w:szCs w:val="18"/>
                      <w:highlight w:val="none"/>
                      <w:lang w:val="en-US" w:eastAsia="zh-CN" w:bidi="en-US"/>
                    </w:rPr>
                    <w:t>对象</w:t>
                  </w:r>
                </w:p>
              </w:tc>
              <w:tc>
                <w:tcPr>
                  <w:tcW w:w="394" w:type="pct"/>
                  <w:tcBorders>
                    <w:tl2br w:val="nil"/>
                    <w:tr2bl w:val="nil"/>
                  </w:tcBorders>
                  <w:shd w:val="clear" w:color="auto" w:fill="auto"/>
                  <w:noWrap w:val="0"/>
                  <w:vAlign w:val="center"/>
                </w:tcPr>
                <w:p w14:paraId="6ABBCAA5">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bCs/>
                      <w:caps w:val="0"/>
                      <w:smallCaps w:val="0"/>
                      <w:color w:val="auto"/>
                      <w:kern w:val="2"/>
                      <w:sz w:val="18"/>
                      <w:szCs w:val="18"/>
                      <w:highlight w:val="none"/>
                      <w:lang w:val="en-US" w:eastAsia="zh-CN" w:bidi="ar-SA"/>
                    </w:rPr>
                  </w:pPr>
                  <w:r>
                    <w:rPr>
                      <w:rFonts w:hint="eastAsia" w:cs="Times New Roman"/>
                      <w:b/>
                      <w:bCs/>
                      <w:color w:val="auto"/>
                      <w:kern w:val="0"/>
                      <w:sz w:val="18"/>
                      <w:szCs w:val="18"/>
                      <w:highlight w:val="none"/>
                      <w:lang w:val="en-US" w:eastAsia="zh-CN" w:bidi="en-US"/>
                    </w:rPr>
                    <w:t>规模/人</w:t>
                  </w:r>
                </w:p>
              </w:tc>
              <w:tc>
                <w:tcPr>
                  <w:tcW w:w="1036" w:type="pct"/>
                  <w:tcBorders>
                    <w:tl2br w:val="nil"/>
                    <w:tr2bl w:val="nil"/>
                  </w:tcBorders>
                  <w:shd w:val="clear" w:color="auto" w:fill="auto"/>
                  <w:noWrap w:val="0"/>
                  <w:vAlign w:val="center"/>
                </w:tcPr>
                <w:p w14:paraId="2C7ABAA0">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b/>
                      <w:bCs/>
                      <w:caps w:val="0"/>
                      <w:smallCaps w:val="0"/>
                      <w:color w:val="auto"/>
                      <w:kern w:val="2"/>
                      <w:sz w:val="18"/>
                      <w:szCs w:val="18"/>
                      <w:highlight w:val="none"/>
                      <w:lang w:val="en-US" w:eastAsia="zh-CN" w:bidi="ar-SA"/>
                    </w:rPr>
                  </w:pPr>
                  <w:r>
                    <w:rPr>
                      <w:rFonts w:hint="eastAsia" w:cs="Times New Roman"/>
                      <w:b/>
                      <w:bCs/>
                      <w:caps w:val="0"/>
                      <w:smallCaps w:val="0"/>
                      <w:color w:val="auto"/>
                      <w:sz w:val="18"/>
                      <w:szCs w:val="18"/>
                      <w:highlight w:val="none"/>
                      <w:lang w:val="en-US" w:eastAsia="zh-CN"/>
                    </w:rPr>
                    <w:t>相对项目方位及距离</w:t>
                  </w:r>
                </w:p>
              </w:tc>
              <w:tc>
                <w:tcPr>
                  <w:tcW w:w="708" w:type="pct"/>
                  <w:tcBorders>
                    <w:tl2br w:val="nil"/>
                    <w:tr2bl w:val="nil"/>
                  </w:tcBorders>
                  <w:shd w:val="clear" w:color="auto" w:fill="auto"/>
                  <w:noWrap w:val="0"/>
                  <w:vAlign w:val="center"/>
                </w:tcPr>
                <w:p w14:paraId="37B2CAA7">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b/>
                      <w:bCs/>
                      <w:caps w:val="0"/>
                      <w:smallCaps w:val="0"/>
                      <w:color w:val="auto"/>
                      <w:kern w:val="2"/>
                      <w:sz w:val="18"/>
                      <w:szCs w:val="18"/>
                      <w:highlight w:val="none"/>
                      <w:lang w:val="en-US" w:eastAsia="zh-CN" w:bidi="ar-SA"/>
                    </w:rPr>
                  </w:pPr>
                  <w:r>
                    <w:rPr>
                      <w:rFonts w:hint="eastAsia" w:cs="Times New Roman"/>
                      <w:b/>
                      <w:bCs/>
                      <w:caps w:val="0"/>
                      <w:smallCaps w:val="0"/>
                      <w:color w:val="auto"/>
                      <w:sz w:val="18"/>
                      <w:szCs w:val="18"/>
                      <w:highlight w:val="none"/>
                      <w:lang w:val="en-US" w:eastAsia="zh-CN"/>
                    </w:rPr>
                    <w:t>相对厂界方位及距离</w:t>
                  </w:r>
                </w:p>
              </w:tc>
              <w:tc>
                <w:tcPr>
                  <w:tcW w:w="1067" w:type="pct"/>
                  <w:tcBorders>
                    <w:tl2br w:val="nil"/>
                    <w:tr2bl w:val="nil"/>
                  </w:tcBorders>
                  <w:noWrap w:val="0"/>
                  <w:vAlign w:val="center"/>
                </w:tcPr>
                <w:p w14:paraId="4D726639">
                  <w:pPr>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b/>
                      <w:bCs/>
                      <w:caps w:val="0"/>
                      <w:smallCaps w:val="0"/>
                      <w:color w:val="auto"/>
                      <w:sz w:val="18"/>
                      <w:szCs w:val="18"/>
                      <w:highlight w:val="none"/>
                      <w:lang w:val="en-US" w:eastAsia="zh-CN"/>
                    </w:rPr>
                  </w:pPr>
                  <w:r>
                    <w:rPr>
                      <w:rFonts w:hint="eastAsia" w:cs="Times New Roman"/>
                      <w:b/>
                      <w:bCs/>
                      <w:caps w:val="0"/>
                      <w:smallCaps w:val="0"/>
                      <w:color w:val="auto"/>
                      <w:sz w:val="18"/>
                      <w:szCs w:val="18"/>
                      <w:highlight w:val="none"/>
                      <w:lang w:val="en-US" w:eastAsia="zh-CN"/>
                    </w:rPr>
                    <w:t>保护级别</w:t>
                  </w:r>
                </w:p>
              </w:tc>
            </w:tr>
            <w:tr w14:paraId="2F4F0D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31" w:type="pct"/>
                  <w:tcBorders>
                    <w:tl2br w:val="nil"/>
                    <w:tr2bl w:val="nil"/>
                  </w:tcBorders>
                  <w:noWrap w:val="0"/>
                  <w:vAlign w:val="center"/>
                </w:tcPr>
                <w:p w14:paraId="32877170">
                  <w:pPr>
                    <w:keepNext w:val="0"/>
                    <w:keepLines w:val="0"/>
                    <w:suppressLineNumbers w:val="0"/>
                    <w:spacing w:before="0" w:beforeAutospacing="0" w:after="0" w:afterAutospacing="0" w:line="240" w:lineRule="auto"/>
                    <w:ind w:left="0" w:right="0" w:firstLine="0"/>
                    <w:jc w:val="center"/>
                    <w:rPr>
                      <w:rFonts w:hint="default" w:ascii="Times New Roman" w:hAnsi="Times New Roman" w:cs="Times New Roman"/>
                      <w:caps w:val="0"/>
                      <w:smallCaps w:val="0"/>
                      <w:color w:val="auto"/>
                      <w:sz w:val="18"/>
                      <w:szCs w:val="18"/>
                      <w:highlight w:val="none"/>
                    </w:rPr>
                  </w:pPr>
                  <w:r>
                    <w:rPr>
                      <w:rFonts w:hint="default" w:ascii="Times New Roman" w:hAnsi="Times New Roman" w:cs="Times New Roman"/>
                      <w:caps w:val="0"/>
                      <w:smallCaps w:val="0"/>
                      <w:color w:val="auto"/>
                      <w:sz w:val="18"/>
                      <w:szCs w:val="18"/>
                      <w:highlight w:val="none"/>
                    </w:rPr>
                    <w:t>大气</w:t>
                  </w:r>
                </w:p>
                <w:p w14:paraId="1709E9CC">
                  <w:pPr>
                    <w:keepNext w:val="0"/>
                    <w:keepLines w:val="0"/>
                    <w:suppressLineNumbers w:val="0"/>
                    <w:spacing w:before="0" w:beforeAutospacing="0" w:after="0" w:afterAutospacing="0" w:line="240" w:lineRule="auto"/>
                    <w:ind w:left="0" w:right="0" w:firstLine="0"/>
                    <w:jc w:val="center"/>
                    <w:rPr>
                      <w:rFonts w:hint="eastAsia" w:ascii="Times New Roman" w:hAnsi="Times New Roman" w:eastAsia="宋体" w:cs="Times New Roman"/>
                      <w:caps w:val="0"/>
                      <w:smallCaps w:val="0"/>
                      <w:color w:val="auto"/>
                      <w:sz w:val="18"/>
                      <w:szCs w:val="18"/>
                      <w:highlight w:val="none"/>
                      <w:lang w:eastAsia="zh-CN"/>
                    </w:rPr>
                  </w:pPr>
                  <w:r>
                    <w:rPr>
                      <w:rFonts w:hint="default" w:ascii="Times New Roman" w:hAnsi="Times New Roman" w:cs="Times New Roman"/>
                      <w:caps w:val="0"/>
                      <w:smallCaps w:val="0"/>
                      <w:color w:val="auto"/>
                      <w:sz w:val="18"/>
                      <w:szCs w:val="18"/>
                      <w:highlight w:val="none"/>
                    </w:rPr>
                    <w:t>环境</w:t>
                  </w:r>
                </w:p>
              </w:tc>
              <w:tc>
                <w:tcPr>
                  <w:tcW w:w="3401" w:type="pct"/>
                  <w:gridSpan w:val="5"/>
                  <w:tcBorders>
                    <w:tl2br w:val="nil"/>
                    <w:tr2bl w:val="nil"/>
                  </w:tcBorders>
                  <w:noWrap w:val="0"/>
                  <w:vAlign w:val="center"/>
                </w:tcPr>
                <w:p w14:paraId="79144B22">
                  <w:pPr>
                    <w:numPr>
                      <w:ilvl w:val="0"/>
                      <w:numId w:val="0"/>
                    </w:numPr>
                    <w:jc w:val="center"/>
                    <w:rPr>
                      <w:rFonts w:hint="default" w:ascii="Times New Roman" w:hAnsi="Times New Roman" w:eastAsia="宋体" w:cs="Times New Roman"/>
                      <w:caps w:val="0"/>
                      <w:smallCaps w:val="0"/>
                      <w:color w:val="auto"/>
                      <w:sz w:val="18"/>
                      <w:szCs w:val="18"/>
                      <w:highlight w:val="none"/>
                      <w:lang w:val="en-US" w:eastAsia="zh-CN"/>
                    </w:rPr>
                  </w:pPr>
                  <w:r>
                    <w:rPr>
                      <w:bCs/>
                      <w:color w:val="auto"/>
                      <w:kern w:val="21"/>
                      <w:sz w:val="18"/>
                      <w:szCs w:val="18"/>
                    </w:rPr>
                    <w:t>项目周围5</w:t>
                  </w:r>
                  <w:r>
                    <w:rPr>
                      <w:rFonts w:hint="eastAsia"/>
                      <w:bCs/>
                      <w:color w:val="auto"/>
                      <w:kern w:val="21"/>
                      <w:sz w:val="18"/>
                      <w:szCs w:val="18"/>
                      <w:lang w:val="en-US" w:eastAsia="zh-CN"/>
                    </w:rPr>
                    <w:t>0</w:t>
                  </w:r>
                  <w:r>
                    <w:rPr>
                      <w:bCs/>
                      <w:color w:val="auto"/>
                      <w:kern w:val="21"/>
                      <w:sz w:val="18"/>
                      <w:szCs w:val="18"/>
                    </w:rPr>
                    <w:t>0m范围内无</w:t>
                  </w:r>
                  <w:r>
                    <w:rPr>
                      <w:rFonts w:hint="eastAsia"/>
                      <w:bCs/>
                      <w:color w:val="auto"/>
                      <w:kern w:val="21"/>
                      <w:sz w:val="18"/>
                      <w:szCs w:val="18"/>
                      <w:lang w:eastAsia="zh-CN"/>
                    </w:rPr>
                    <w:t>大气</w:t>
                  </w:r>
                  <w:r>
                    <w:rPr>
                      <w:bCs/>
                      <w:color w:val="auto"/>
                      <w:kern w:val="21"/>
                      <w:sz w:val="18"/>
                      <w:szCs w:val="18"/>
                    </w:rPr>
                    <w:t>环境敏感目标</w:t>
                  </w:r>
                </w:p>
              </w:tc>
              <w:tc>
                <w:tcPr>
                  <w:tcW w:w="1067" w:type="pct"/>
                  <w:tcBorders>
                    <w:tl2br w:val="nil"/>
                    <w:tr2bl w:val="nil"/>
                  </w:tcBorders>
                  <w:noWrap w:val="0"/>
                  <w:vAlign w:val="center"/>
                </w:tcPr>
                <w:p w14:paraId="535BD128">
                  <w:pPr>
                    <w:keepNext w:val="0"/>
                    <w:keepLines w:val="0"/>
                    <w:suppressLineNumbers w:val="0"/>
                    <w:spacing w:before="0" w:beforeAutospacing="0" w:after="0" w:afterAutospacing="0" w:line="240" w:lineRule="auto"/>
                    <w:ind w:left="0" w:right="0" w:firstLine="0"/>
                    <w:jc w:val="center"/>
                    <w:rPr>
                      <w:rFonts w:hint="eastAsia" w:ascii="Times New Roman" w:hAnsi="Times New Roman" w:eastAsia="宋体" w:cs="Times New Roman"/>
                      <w:caps w:val="0"/>
                      <w:smallCaps w:val="0"/>
                      <w:color w:val="auto"/>
                      <w:sz w:val="18"/>
                      <w:szCs w:val="18"/>
                      <w:highlight w:val="none"/>
                      <w:lang w:eastAsia="zh-CN"/>
                    </w:rPr>
                  </w:pPr>
                  <w:r>
                    <w:rPr>
                      <w:rFonts w:hint="eastAsia" w:ascii="Times New Roman" w:hAnsi="Times New Roman" w:eastAsia="宋体" w:cs="Times New Roman"/>
                      <w:caps w:val="0"/>
                      <w:smallCaps w:val="0"/>
                      <w:color w:val="auto"/>
                      <w:sz w:val="18"/>
                      <w:szCs w:val="18"/>
                      <w:highlight w:val="none"/>
                      <w:lang w:eastAsia="zh-CN"/>
                    </w:rPr>
                    <w:t>《环境空气质量</w:t>
                  </w:r>
                </w:p>
                <w:p w14:paraId="0BB910B0">
                  <w:pPr>
                    <w:keepNext w:val="0"/>
                    <w:keepLines w:val="0"/>
                    <w:suppressLineNumbers w:val="0"/>
                    <w:spacing w:before="0" w:beforeAutospacing="0" w:after="0" w:afterAutospacing="0" w:line="240" w:lineRule="auto"/>
                    <w:ind w:left="0" w:right="0" w:firstLine="0"/>
                    <w:jc w:val="center"/>
                    <w:rPr>
                      <w:rFonts w:hint="eastAsia" w:ascii="Times New Roman" w:hAnsi="Times New Roman" w:eastAsia="宋体" w:cs="Times New Roman"/>
                      <w:caps w:val="0"/>
                      <w:smallCaps w:val="0"/>
                      <w:color w:val="auto"/>
                      <w:sz w:val="18"/>
                      <w:szCs w:val="18"/>
                      <w:highlight w:val="none"/>
                      <w:lang w:eastAsia="zh-CN"/>
                    </w:rPr>
                  </w:pPr>
                  <w:r>
                    <w:rPr>
                      <w:rFonts w:hint="eastAsia" w:ascii="Times New Roman" w:hAnsi="Times New Roman" w:eastAsia="宋体" w:cs="Times New Roman"/>
                      <w:caps w:val="0"/>
                      <w:smallCaps w:val="0"/>
                      <w:color w:val="auto"/>
                      <w:sz w:val="18"/>
                      <w:szCs w:val="18"/>
                      <w:highlight w:val="none"/>
                      <w:lang w:eastAsia="zh-CN"/>
                    </w:rPr>
                    <w:t>标准》（GB3095-20</w:t>
                  </w:r>
                  <w:r>
                    <w:rPr>
                      <w:rFonts w:hint="eastAsia" w:cs="Times New Roman"/>
                      <w:caps w:val="0"/>
                      <w:smallCaps w:val="0"/>
                      <w:color w:val="auto"/>
                      <w:sz w:val="18"/>
                      <w:szCs w:val="18"/>
                      <w:highlight w:val="none"/>
                      <w:lang w:val="en-US" w:eastAsia="zh-CN"/>
                    </w:rPr>
                    <w:t>26</w:t>
                  </w:r>
                  <w:r>
                    <w:rPr>
                      <w:rFonts w:hint="eastAsia" w:ascii="Times New Roman" w:hAnsi="Times New Roman" w:eastAsia="宋体" w:cs="Times New Roman"/>
                      <w:caps w:val="0"/>
                      <w:smallCaps w:val="0"/>
                      <w:color w:val="auto"/>
                      <w:sz w:val="18"/>
                      <w:szCs w:val="18"/>
                      <w:highlight w:val="none"/>
                      <w:lang w:eastAsia="zh-CN"/>
                    </w:rPr>
                    <w:t>）</w:t>
                  </w:r>
                </w:p>
                <w:p w14:paraId="76D399E8">
                  <w:pPr>
                    <w:keepNext w:val="0"/>
                    <w:keepLines w:val="0"/>
                    <w:suppressLineNumbers w:val="0"/>
                    <w:spacing w:before="0" w:beforeAutospacing="0" w:after="0" w:afterAutospacing="0" w:line="240" w:lineRule="auto"/>
                    <w:ind w:left="0" w:right="0" w:firstLine="0"/>
                    <w:jc w:val="center"/>
                    <w:rPr>
                      <w:rFonts w:hint="eastAsia" w:ascii="Times New Roman" w:hAnsi="Times New Roman" w:eastAsia="宋体" w:cs="Times New Roman"/>
                      <w:caps w:val="0"/>
                      <w:smallCaps w:val="0"/>
                      <w:color w:val="auto"/>
                      <w:sz w:val="18"/>
                      <w:szCs w:val="18"/>
                      <w:highlight w:val="none"/>
                      <w:lang w:eastAsia="zh-CN"/>
                    </w:rPr>
                  </w:pPr>
                  <w:r>
                    <w:rPr>
                      <w:rFonts w:hint="eastAsia" w:ascii="Times New Roman" w:hAnsi="Times New Roman" w:eastAsia="宋体" w:cs="Times New Roman"/>
                      <w:caps w:val="0"/>
                      <w:smallCaps w:val="0"/>
                      <w:color w:val="auto"/>
                      <w:sz w:val="18"/>
                      <w:szCs w:val="18"/>
                      <w:highlight w:val="none"/>
                      <w:lang w:eastAsia="zh-CN"/>
                    </w:rPr>
                    <w:t>二级标准</w:t>
                  </w:r>
                </w:p>
              </w:tc>
            </w:tr>
            <w:tr w14:paraId="0B78F3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31" w:type="pct"/>
                  <w:tcBorders>
                    <w:tl2br w:val="nil"/>
                    <w:tr2bl w:val="nil"/>
                  </w:tcBorders>
                  <w:noWrap w:val="0"/>
                  <w:vAlign w:val="center"/>
                </w:tcPr>
                <w:p w14:paraId="27AA8087">
                  <w:pPr>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caps w:val="0"/>
                      <w:smallCaps w:val="0"/>
                      <w:color w:val="auto"/>
                      <w:sz w:val="18"/>
                      <w:szCs w:val="18"/>
                      <w:highlight w:val="none"/>
                      <w:lang w:val="en-US" w:eastAsia="zh-CN"/>
                    </w:rPr>
                  </w:pPr>
                  <w:r>
                    <w:rPr>
                      <w:rFonts w:hint="eastAsia" w:cs="Times New Roman"/>
                      <w:caps w:val="0"/>
                      <w:smallCaps w:val="0"/>
                      <w:color w:val="auto"/>
                      <w:sz w:val="18"/>
                      <w:szCs w:val="18"/>
                      <w:highlight w:val="none"/>
                      <w:lang w:val="en-US" w:eastAsia="zh-CN"/>
                    </w:rPr>
                    <w:t>声环境</w:t>
                  </w:r>
                </w:p>
              </w:tc>
              <w:tc>
                <w:tcPr>
                  <w:tcW w:w="3401" w:type="pct"/>
                  <w:gridSpan w:val="5"/>
                  <w:tcBorders>
                    <w:tl2br w:val="nil"/>
                    <w:tr2bl w:val="nil"/>
                  </w:tcBorders>
                  <w:noWrap w:val="0"/>
                  <w:vAlign w:val="center"/>
                </w:tcPr>
                <w:p w14:paraId="0348A930">
                  <w:pPr>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0"/>
                      <w:sz w:val="18"/>
                      <w:szCs w:val="18"/>
                      <w:highlight w:val="none"/>
                      <w:lang w:bidi="en-US"/>
                    </w:rPr>
                  </w:pPr>
                  <w:r>
                    <w:rPr>
                      <w:rFonts w:hint="default" w:ascii="Times New Roman" w:hAnsi="Times New Roman" w:eastAsia="宋体" w:cs="Times New Roman"/>
                      <w:color w:val="auto"/>
                      <w:kern w:val="0"/>
                      <w:sz w:val="18"/>
                      <w:szCs w:val="18"/>
                      <w:highlight w:val="none"/>
                      <w:lang w:bidi="en-US"/>
                    </w:rPr>
                    <w:t>本项目厂界外50米范围内无声环境保护目标</w:t>
                  </w:r>
                </w:p>
              </w:tc>
              <w:tc>
                <w:tcPr>
                  <w:tcW w:w="1067" w:type="pct"/>
                  <w:tcBorders>
                    <w:tl2br w:val="nil"/>
                    <w:tr2bl w:val="nil"/>
                  </w:tcBorders>
                  <w:noWrap w:val="0"/>
                  <w:vAlign w:val="center"/>
                </w:tcPr>
                <w:p w14:paraId="61A1CF5B">
                  <w:pPr>
                    <w:keepNext w:val="0"/>
                    <w:keepLines w:val="0"/>
                    <w:suppressLineNumbers w:val="0"/>
                    <w:spacing w:before="0" w:beforeAutospacing="0" w:after="0" w:afterAutospacing="0" w:line="240" w:lineRule="auto"/>
                    <w:ind w:left="0" w:right="0" w:firstLine="0"/>
                    <w:jc w:val="center"/>
                    <w:rPr>
                      <w:rFonts w:hint="default" w:ascii="Times New Roman" w:hAnsi="Times New Roman" w:cs="Times New Roman"/>
                      <w:caps w:val="0"/>
                      <w:smallCaps w:val="0"/>
                      <w:color w:val="auto"/>
                      <w:sz w:val="18"/>
                      <w:szCs w:val="18"/>
                      <w:highlight w:val="none"/>
                    </w:rPr>
                  </w:pPr>
                  <w:r>
                    <w:rPr>
                      <w:rFonts w:hint="default" w:ascii="Times New Roman" w:hAnsi="Times New Roman" w:cs="Times New Roman"/>
                      <w:caps w:val="0"/>
                      <w:smallCaps w:val="0"/>
                      <w:color w:val="auto"/>
                      <w:sz w:val="18"/>
                      <w:szCs w:val="18"/>
                      <w:highlight w:val="none"/>
                    </w:rPr>
                    <w:t>《声环境质量标准》</w:t>
                  </w:r>
                </w:p>
                <w:p w14:paraId="475F5276">
                  <w:pPr>
                    <w:keepNext w:val="0"/>
                    <w:keepLines w:val="0"/>
                    <w:suppressLineNumbers w:val="0"/>
                    <w:spacing w:before="0" w:beforeAutospacing="0" w:after="0" w:afterAutospacing="0" w:line="240" w:lineRule="auto"/>
                    <w:ind w:left="0" w:right="0" w:firstLine="0"/>
                    <w:jc w:val="center"/>
                    <w:rPr>
                      <w:rFonts w:hint="default" w:ascii="Times New Roman" w:hAnsi="Times New Roman" w:cs="Times New Roman"/>
                      <w:caps w:val="0"/>
                      <w:smallCaps w:val="0"/>
                      <w:color w:val="auto"/>
                      <w:sz w:val="18"/>
                      <w:szCs w:val="18"/>
                      <w:highlight w:val="none"/>
                    </w:rPr>
                  </w:pPr>
                  <w:r>
                    <w:rPr>
                      <w:rFonts w:hint="default" w:ascii="Times New Roman" w:hAnsi="Times New Roman" w:cs="Times New Roman"/>
                      <w:caps w:val="0"/>
                      <w:smallCaps w:val="0"/>
                      <w:color w:val="auto"/>
                      <w:sz w:val="18"/>
                      <w:szCs w:val="18"/>
                      <w:highlight w:val="none"/>
                    </w:rPr>
                    <w:t>（GB3096-2008）3类</w:t>
                  </w:r>
                </w:p>
              </w:tc>
            </w:tr>
            <w:tr w14:paraId="2C480D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31" w:type="pct"/>
                  <w:tcBorders>
                    <w:tl2br w:val="nil"/>
                    <w:tr2bl w:val="nil"/>
                  </w:tcBorders>
                  <w:noWrap w:val="0"/>
                  <w:vAlign w:val="center"/>
                </w:tcPr>
                <w:p w14:paraId="62FF67C2">
                  <w:pPr>
                    <w:keepNext w:val="0"/>
                    <w:keepLines w:val="0"/>
                    <w:suppressLineNumbers w:val="0"/>
                    <w:spacing w:before="0" w:beforeAutospacing="0" w:after="0" w:afterAutospacing="0" w:line="240" w:lineRule="auto"/>
                    <w:ind w:left="0" w:right="0" w:firstLine="0"/>
                    <w:jc w:val="center"/>
                    <w:rPr>
                      <w:rFonts w:hint="eastAsia" w:ascii="Times New Roman" w:hAnsi="Times New Roman" w:eastAsia="宋体" w:cs="Times New Roman"/>
                      <w:caps w:val="0"/>
                      <w:smallCaps w:val="0"/>
                      <w:color w:val="auto"/>
                      <w:sz w:val="18"/>
                      <w:szCs w:val="18"/>
                      <w:highlight w:val="none"/>
                      <w:lang w:val="en-US" w:eastAsia="zh-CN"/>
                    </w:rPr>
                  </w:pPr>
                  <w:r>
                    <w:rPr>
                      <w:rFonts w:hint="eastAsia" w:cs="Times New Roman"/>
                      <w:caps w:val="0"/>
                      <w:smallCaps w:val="0"/>
                      <w:color w:val="auto"/>
                      <w:sz w:val="18"/>
                      <w:szCs w:val="18"/>
                      <w:highlight w:val="none"/>
                      <w:lang w:val="en-US" w:eastAsia="zh-CN"/>
                    </w:rPr>
                    <w:t>地下水</w:t>
                  </w:r>
                </w:p>
              </w:tc>
              <w:tc>
                <w:tcPr>
                  <w:tcW w:w="3401" w:type="pct"/>
                  <w:gridSpan w:val="5"/>
                  <w:tcBorders>
                    <w:tl2br w:val="nil"/>
                    <w:tr2bl w:val="nil"/>
                  </w:tcBorders>
                  <w:noWrap w:val="0"/>
                  <w:vAlign w:val="center"/>
                </w:tcPr>
                <w:p w14:paraId="4F240768">
                  <w:pPr>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0"/>
                      <w:sz w:val="18"/>
                      <w:szCs w:val="18"/>
                      <w:highlight w:val="none"/>
                      <w:lang w:bidi="en-US"/>
                    </w:rPr>
                  </w:pPr>
                  <w:r>
                    <w:rPr>
                      <w:rFonts w:hint="default" w:ascii="Times New Roman" w:hAnsi="Times New Roman" w:eastAsia="宋体" w:cs="Times New Roman"/>
                      <w:color w:val="auto"/>
                      <w:kern w:val="0"/>
                      <w:sz w:val="18"/>
                      <w:szCs w:val="18"/>
                      <w:highlight w:val="none"/>
                      <w:lang w:bidi="en-US"/>
                    </w:rPr>
                    <w:t>本项目厂界外500米范围内无地下水集中式饮用水水源和热水、矿泉水、温度等特殊地下水资源</w:t>
                  </w:r>
                </w:p>
              </w:tc>
              <w:tc>
                <w:tcPr>
                  <w:tcW w:w="1067" w:type="pct"/>
                  <w:tcBorders>
                    <w:tl2br w:val="nil"/>
                    <w:tr2bl w:val="nil"/>
                  </w:tcBorders>
                  <w:noWrap w:val="0"/>
                  <w:vAlign w:val="center"/>
                </w:tcPr>
                <w:p w14:paraId="477AEB6C">
                  <w:pPr>
                    <w:keepNext w:val="0"/>
                    <w:keepLines w:val="0"/>
                    <w:suppressLineNumbers w:val="0"/>
                    <w:spacing w:before="0" w:beforeAutospacing="0" w:after="0" w:afterAutospacing="0" w:line="240" w:lineRule="auto"/>
                    <w:ind w:left="0" w:right="0" w:firstLine="0"/>
                    <w:jc w:val="center"/>
                    <w:rPr>
                      <w:rFonts w:hint="default" w:ascii="Times New Roman" w:hAnsi="Times New Roman" w:cs="Times New Roman"/>
                      <w:caps w:val="0"/>
                      <w:smallCaps w:val="0"/>
                      <w:color w:val="auto"/>
                      <w:sz w:val="18"/>
                      <w:szCs w:val="18"/>
                      <w:highlight w:val="none"/>
                    </w:rPr>
                  </w:pPr>
                  <w:r>
                    <w:rPr>
                      <w:rFonts w:hint="default" w:ascii="Times New Roman" w:hAnsi="Times New Roman" w:cs="Times New Roman"/>
                      <w:caps w:val="0"/>
                      <w:smallCaps w:val="0"/>
                      <w:color w:val="auto"/>
                      <w:sz w:val="18"/>
                      <w:szCs w:val="18"/>
                      <w:highlight w:val="none"/>
                    </w:rPr>
                    <w:t>《地下水质量标准》</w:t>
                  </w:r>
                </w:p>
                <w:p w14:paraId="370B7C75">
                  <w:pPr>
                    <w:keepNext w:val="0"/>
                    <w:keepLines w:val="0"/>
                    <w:suppressLineNumbers w:val="0"/>
                    <w:spacing w:before="0" w:beforeAutospacing="0" w:after="0" w:afterAutospacing="0" w:line="240" w:lineRule="auto"/>
                    <w:ind w:left="0" w:right="0" w:firstLine="0"/>
                    <w:jc w:val="center"/>
                    <w:rPr>
                      <w:rFonts w:hint="default" w:ascii="Times New Roman" w:hAnsi="Times New Roman" w:cs="Times New Roman"/>
                      <w:caps w:val="0"/>
                      <w:smallCaps w:val="0"/>
                      <w:color w:val="auto"/>
                      <w:sz w:val="18"/>
                      <w:szCs w:val="18"/>
                      <w:highlight w:val="none"/>
                    </w:rPr>
                  </w:pPr>
                  <w:r>
                    <w:rPr>
                      <w:rFonts w:hint="default" w:ascii="Times New Roman" w:hAnsi="Times New Roman" w:cs="Times New Roman"/>
                      <w:caps w:val="0"/>
                      <w:smallCaps w:val="0"/>
                      <w:color w:val="auto"/>
                      <w:sz w:val="18"/>
                      <w:szCs w:val="18"/>
                      <w:highlight w:val="none"/>
                    </w:rPr>
                    <w:t>（GB/T14848-2017）Ⅲ类标准</w:t>
                  </w:r>
                </w:p>
              </w:tc>
            </w:tr>
            <w:tr w14:paraId="3396F5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31" w:type="pct"/>
                  <w:tcBorders>
                    <w:tl2br w:val="nil"/>
                    <w:tr2bl w:val="nil"/>
                  </w:tcBorders>
                  <w:noWrap w:val="0"/>
                  <w:vAlign w:val="center"/>
                </w:tcPr>
                <w:p w14:paraId="734581FD">
                  <w:pPr>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caps w:val="0"/>
                      <w:smallCaps w:val="0"/>
                      <w:color w:val="auto"/>
                      <w:sz w:val="18"/>
                      <w:szCs w:val="18"/>
                      <w:highlight w:val="none"/>
                      <w:lang w:val="en-US" w:eastAsia="zh-CN"/>
                    </w:rPr>
                  </w:pPr>
                  <w:r>
                    <w:rPr>
                      <w:rFonts w:hint="eastAsia" w:cs="Times New Roman"/>
                      <w:caps w:val="0"/>
                      <w:smallCaps w:val="0"/>
                      <w:color w:val="auto"/>
                      <w:sz w:val="18"/>
                      <w:szCs w:val="18"/>
                      <w:highlight w:val="none"/>
                      <w:lang w:val="en-US" w:eastAsia="zh-CN"/>
                    </w:rPr>
                    <w:t>生态环境</w:t>
                  </w:r>
                </w:p>
              </w:tc>
              <w:tc>
                <w:tcPr>
                  <w:tcW w:w="3401" w:type="pct"/>
                  <w:gridSpan w:val="5"/>
                  <w:tcBorders>
                    <w:tl2br w:val="nil"/>
                    <w:tr2bl w:val="nil"/>
                  </w:tcBorders>
                  <w:noWrap w:val="0"/>
                  <w:vAlign w:val="center"/>
                </w:tcPr>
                <w:p w14:paraId="4C39A970">
                  <w:pPr>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kern w:val="0"/>
                      <w:sz w:val="18"/>
                      <w:szCs w:val="18"/>
                      <w:highlight w:val="none"/>
                      <w:lang w:bidi="en-US"/>
                    </w:rPr>
                  </w:pPr>
                  <w:r>
                    <w:rPr>
                      <w:rFonts w:hint="default" w:ascii="Times New Roman" w:hAnsi="Times New Roman" w:eastAsia="宋体" w:cs="Times New Roman"/>
                      <w:color w:val="auto"/>
                      <w:kern w:val="0"/>
                      <w:sz w:val="18"/>
                      <w:szCs w:val="18"/>
                      <w:highlight w:val="none"/>
                      <w:lang w:bidi="en-US"/>
                    </w:rPr>
                    <w:t>用地范围内无生态环境保护目标</w:t>
                  </w:r>
                </w:p>
              </w:tc>
              <w:tc>
                <w:tcPr>
                  <w:tcW w:w="1067" w:type="pct"/>
                  <w:tcBorders>
                    <w:tl2br w:val="nil"/>
                    <w:tr2bl w:val="nil"/>
                  </w:tcBorders>
                  <w:noWrap w:val="0"/>
                  <w:vAlign w:val="center"/>
                </w:tcPr>
                <w:p w14:paraId="5E027A9F">
                  <w:pPr>
                    <w:keepNext w:val="0"/>
                    <w:keepLines w:val="0"/>
                    <w:suppressLineNumbers w:val="0"/>
                    <w:spacing w:before="0" w:beforeAutospacing="0" w:after="0" w:afterAutospacing="0" w:line="240" w:lineRule="auto"/>
                    <w:ind w:left="0" w:right="0" w:firstLine="0"/>
                    <w:jc w:val="center"/>
                    <w:rPr>
                      <w:rFonts w:hint="eastAsia" w:ascii="Times New Roman" w:hAnsi="Times New Roman" w:eastAsia="宋体" w:cs="Times New Roman"/>
                      <w:caps w:val="0"/>
                      <w:smallCaps w:val="0"/>
                      <w:color w:val="auto"/>
                      <w:sz w:val="18"/>
                      <w:szCs w:val="18"/>
                      <w:highlight w:val="none"/>
                      <w:lang w:val="en-US" w:eastAsia="zh-CN"/>
                    </w:rPr>
                  </w:pPr>
                  <w:r>
                    <w:rPr>
                      <w:rFonts w:hint="eastAsia" w:cs="Times New Roman"/>
                      <w:caps w:val="0"/>
                      <w:smallCaps w:val="0"/>
                      <w:color w:val="auto"/>
                      <w:sz w:val="18"/>
                      <w:szCs w:val="18"/>
                      <w:highlight w:val="none"/>
                      <w:lang w:val="en-US" w:eastAsia="zh-CN"/>
                    </w:rPr>
                    <w:t>/</w:t>
                  </w:r>
                </w:p>
              </w:tc>
            </w:tr>
          </w:tbl>
          <w:p w14:paraId="1758E026">
            <w:pPr>
              <w:pStyle w:val="166"/>
              <w:keepNext w:val="0"/>
              <w:keepLines w:val="0"/>
              <w:pageBreakBefore w:val="0"/>
              <w:widowControl w:val="0"/>
              <w:numPr>
                <w:ilvl w:val="0"/>
                <w:numId w:val="0"/>
              </w:numPr>
              <w:kinsoku/>
              <w:wordWrap/>
              <w:overflowPunct/>
              <w:topLinePunct w:val="0"/>
              <w:autoSpaceDE/>
              <w:autoSpaceDN/>
              <w:bidi w:val="0"/>
              <w:adjustRightInd w:val="0"/>
              <w:snapToGrid w:val="0"/>
              <w:ind w:leftChars="200" w:right="0" w:rightChars="0"/>
              <w:textAlignment w:val="baseline"/>
              <w:rPr>
                <w:rFonts w:hint="default" w:ascii="Times New Roman" w:hAnsi="Times New Roman" w:eastAsia="宋体" w:cs="Times New Roman"/>
                <w:color w:val="auto"/>
                <w:kern w:val="2"/>
                <w:sz w:val="21"/>
                <w:szCs w:val="21"/>
                <w:lang w:val="en-US" w:eastAsia="zh-CN" w:bidi="ar-SA"/>
              </w:rPr>
            </w:pPr>
          </w:p>
        </w:tc>
      </w:tr>
      <w:tr w14:paraId="14B703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7" w:type="dxa"/>
            <w:noWrap w:val="0"/>
            <w:vAlign w:val="center"/>
          </w:tcPr>
          <w:p w14:paraId="51704241">
            <w:pPr>
              <w:adjustRightInd w:val="0"/>
              <w:snapToGrid w:val="0"/>
              <w:jc w:val="center"/>
              <w:rPr>
                <w:rFonts w:hint="default"/>
                <w:color w:val="auto"/>
                <w:sz w:val="21"/>
                <w:szCs w:val="21"/>
                <w:lang w:val="en-US" w:eastAsia="zh-CN"/>
              </w:rPr>
            </w:pPr>
          </w:p>
          <w:p w14:paraId="7AE38B9D">
            <w:pPr>
              <w:adjustRightInd w:val="0"/>
              <w:snapToGrid w:val="0"/>
              <w:jc w:val="center"/>
              <w:rPr>
                <w:rFonts w:hint="default"/>
                <w:color w:val="auto"/>
                <w:sz w:val="21"/>
                <w:szCs w:val="21"/>
                <w:lang w:val="en-US" w:eastAsia="zh-CN"/>
              </w:rPr>
            </w:pPr>
          </w:p>
          <w:p w14:paraId="40714B5B">
            <w:pPr>
              <w:adjustRightInd w:val="0"/>
              <w:snapToGrid w:val="0"/>
              <w:jc w:val="center"/>
              <w:rPr>
                <w:rFonts w:hint="default"/>
                <w:color w:val="auto"/>
                <w:sz w:val="21"/>
                <w:szCs w:val="21"/>
                <w:lang w:val="en-US" w:eastAsia="zh-CN"/>
              </w:rPr>
            </w:pPr>
          </w:p>
          <w:p w14:paraId="7CAD847E">
            <w:pPr>
              <w:adjustRightInd w:val="0"/>
              <w:snapToGrid w:val="0"/>
              <w:jc w:val="center"/>
              <w:rPr>
                <w:rFonts w:hint="default"/>
                <w:color w:val="auto"/>
                <w:sz w:val="21"/>
                <w:szCs w:val="21"/>
                <w:lang w:val="en-US" w:eastAsia="zh-CN"/>
              </w:rPr>
            </w:pPr>
          </w:p>
          <w:p w14:paraId="7BAB205E">
            <w:pPr>
              <w:adjustRightInd w:val="0"/>
              <w:snapToGrid w:val="0"/>
              <w:jc w:val="center"/>
              <w:rPr>
                <w:rFonts w:hint="default"/>
                <w:color w:val="auto"/>
                <w:sz w:val="21"/>
                <w:szCs w:val="21"/>
                <w:lang w:val="en-US" w:eastAsia="zh-CN"/>
              </w:rPr>
            </w:pPr>
          </w:p>
          <w:p w14:paraId="51ABDB9E">
            <w:pPr>
              <w:adjustRightInd w:val="0"/>
              <w:snapToGrid w:val="0"/>
              <w:jc w:val="center"/>
              <w:rPr>
                <w:rFonts w:hint="default"/>
                <w:color w:val="auto"/>
                <w:sz w:val="21"/>
                <w:szCs w:val="21"/>
                <w:lang w:val="en-US" w:eastAsia="zh-CN"/>
              </w:rPr>
            </w:pPr>
          </w:p>
          <w:p w14:paraId="4EFBB49E">
            <w:pPr>
              <w:adjustRightInd w:val="0"/>
              <w:snapToGrid w:val="0"/>
              <w:jc w:val="center"/>
              <w:rPr>
                <w:rFonts w:hint="default"/>
                <w:color w:val="auto"/>
                <w:sz w:val="21"/>
                <w:szCs w:val="21"/>
                <w:lang w:val="en-US" w:eastAsia="zh-CN"/>
              </w:rPr>
            </w:pPr>
          </w:p>
          <w:p w14:paraId="5B17835A">
            <w:pPr>
              <w:adjustRightInd w:val="0"/>
              <w:snapToGrid w:val="0"/>
              <w:jc w:val="center"/>
              <w:rPr>
                <w:rFonts w:hint="default"/>
                <w:color w:val="auto"/>
                <w:sz w:val="21"/>
                <w:szCs w:val="21"/>
                <w:lang w:val="en-US" w:eastAsia="zh-CN"/>
              </w:rPr>
            </w:pPr>
            <w:r>
              <w:rPr>
                <w:rFonts w:hint="default"/>
                <w:color w:val="auto"/>
                <w:sz w:val="21"/>
                <w:szCs w:val="21"/>
                <w:lang w:val="en-US" w:eastAsia="zh-CN"/>
              </w:rPr>
              <w:t>污染</w:t>
            </w:r>
          </w:p>
          <w:p w14:paraId="3F6E012D">
            <w:pPr>
              <w:adjustRightInd w:val="0"/>
              <w:snapToGrid w:val="0"/>
              <w:jc w:val="center"/>
              <w:rPr>
                <w:rFonts w:hint="default"/>
                <w:color w:val="auto"/>
                <w:sz w:val="21"/>
                <w:szCs w:val="21"/>
                <w:lang w:val="en-US" w:eastAsia="zh-CN"/>
              </w:rPr>
            </w:pPr>
            <w:r>
              <w:rPr>
                <w:rFonts w:hint="default"/>
                <w:color w:val="auto"/>
                <w:sz w:val="21"/>
                <w:szCs w:val="21"/>
                <w:lang w:val="en-US" w:eastAsia="zh-CN"/>
              </w:rPr>
              <w:t>物排</w:t>
            </w:r>
          </w:p>
          <w:p w14:paraId="31595EAA">
            <w:pPr>
              <w:adjustRightInd w:val="0"/>
              <w:snapToGrid w:val="0"/>
              <w:jc w:val="center"/>
              <w:rPr>
                <w:rFonts w:hint="default"/>
                <w:color w:val="auto"/>
                <w:sz w:val="21"/>
                <w:szCs w:val="21"/>
                <w:lang w:val="en-US" w:eastAsia="zh-CN"/>
              </w:rPr>
            </w:pPr>
            <w:r>
              <w:rPr>
                <w:rFonts w:hint="default"/>
                <w:color w:val="auto"/>
                <w:sz w:val="21"/>
                <w:szCs w:val="21"/>
                <w:lang w:val="en-US" w:eastAsia="zh-CN"/>
              </w:rPr>
              <w:t>放控</w:t>
            </w:r>
          </w:p>
          <w:p w14:paraId="22B6BF97">
            <w:pPr>
              <w:adjustRightInd w:val="0"/>
              <w:snapToGrid w:val="0"/>
              <w:jc w:val="center"/>
              <w:rPr>
                <w:rFonts w:hint="default"/>
                <w:color w:val="auto"/>
                <w:sz w:val="21"/>
                <w:szCs w:val="21"/>
                <w:lang w:val="en-US" w:eastAsia="zh-CN"/>
              </w:rPr>
            </w:pPr>
            <w:r>
              <w:rPr>
                <w:rFonts w:hint="default"/>
                <w:color w:val="auto"/>
                <w:sz w:val="21"/>
                <w:szCs w:val="21"/>
                <w:lang w:val="en-US" w:eastAsia="zh-CN"/>
              </w:rPr>
              <w:t>制标</w:t>
            </w:r>
          </w:p>
          <w:p w14:paraId="3E9C012D">
            <w:pPr>
              <w:adjustRightInd w:val="0"/>
              <w:snapToGrid w:val="0"/>
              <w:jc w:val="center"/>
              <w:rPr>
                <w:rFonts w:hint="default"/>
                <w:color w:val="auto"/>
                <w:sz w:val="21"/>
                <w:szCs w:val="21"/>
                <w:lang w:val="en-US" w:eastAsia="zh-CN"/>
              </w:rPr>
            </w:pPr>
            <w:r>
              <w:rPr>
                <w:rFonts w:hint="default"/>
                <w:color w:val="auto"/>
                <w:sz w:val="21"/>
                <w:szCs w:val="21"/>
                <w:lang w:val="en-US" w:eastAsia="zh-CN"/>
              </w:rPr>
              <w:t>准</w:t>
            </w:r>
          </w:p>
          <w:p w14:paraId="039EE066">
            <w:pPr>
              <w:adjustRightInd w:val="0"/>
              <w:snapToGrid w:val="0"/>
              <w:jc w:val="center"/>
              <w:rPr>
                <w:rFonts w:hint="default"/>
                <w:color w:val="auto"/>
                <w:sz w:val="21"/>
                <w:szCs w:val="21"/>
                <w:lang w:val="en-US" w:eastAsia="zh-CN"/>
              </w:rPr>
            </w:pPr>
          </w:p>
          <w:p w14:paraId="16CD43FE">
            <w:pPr>
              <w:adjustRightInd w:val="0"/>
              <w:snapToGrid w:val="0"/>
              <w:jc w:val="center"/>
              <w:rPr>
                <w:rFonts w:hint="default"/>
                <w:color w:val="auto"/>
                <w:sz w:val="21"/>
                <w:szCs w:val="21"/>
                <w:lang w:val="en-US" w:eastAsia="zh-CN"/>
              </w:rPr>
            </w:pPr>
          </w:p>
          <w:p w14:paraId="444C0B28">
            <w:pPr>
              <w:adjustRightInd w:val="0"/>
              <w:snapToGrid w:val="0"/>
              <w:jc w:val="center"/>
              <w:rPr>
                <w:rFonts w:hint="default"/>
                <w:color w:val="auto"/>
                <w:sz w:val="21"/>
                <w:szCs w:val="21"/>
                <w:lang w:val="en-US" w:eastAsia="zh-CN"/>
              </w:rPr>
            </w:pPr>
          </w:p>
          <w:p w14:paraId="5B433482">
            <w:pPr>
              <w:adjustRightInd w:val="0"/>
              <w:snapToGrid w:val="0"/>
              <w:jc w:val="center"/>
              <w:rPr>
                <w:rFonts w:hint="default"/>
                <w:color w:val="auto"/>
                <w:sz w:val="21"/>
                <w:szCs w:val="21"/>
                <w:lang w:val="en-US" w:eastAsia="zh-CN"/>
              </w:rPr>
            </w:pPr>
          </w:p>
          <w:p w14:paraId="43483058">
            <w:pPr>
              <w:adjustRightInd w:val="0"/>
              <w:snapToGrid w:val="0"/>
              <w:jc w:val="center"/>
              <w:rPr>
                <w:rFonts w:hint="default"/>
                <w:color w:val="auto"/>
                <w:sz w:val="21"/>
                <w:szCs w:val="21"/>
                <w:lang w:val="en-US" w:eastAsia="zh-CN"/>
              </w:rPr>
            </w:pPr>
          </w:p>
          <w:p w14:paraId="2ECE0394">
            <w:pPr>
              <w:adjustRightInd w:val="0"/>
              <w:snapToGrid w:val="0"/>
              <w:jc w:val="center"/>
              <w:rPr>
                <w:rFonts w:hint="default"/>
                <w:color w:val="auto"/>
                <w:sz w:val="21"/>
                <w:szCs w:val="21"/>
                <w:lang w:val="en-US" w:eastAsia="zh-CN"/>
              </w:rPr>
            </w:pPr>
          </w:p>
          <w:p w14:paraId="45822DAB">
            <w:pPr>
              <w:adjustRightInd w:val="0"/>
              <w:snapToGrid w:val="0"/>
              <w:jc w:val="center"/>
              <w:rPr>
                <w:rFonts w:hint="default"/>
                <w:color w:val="auto"/>
                <w:sz w:val="21"/>
                <w:szCs w:val="21"/>
                <w:lang w:val="en-US" w:eastAsia="zh-CN"/>
              </w:rPr>
            </w:pPr>
          </w:p>
          <w:p w14:paraId="406AE753">
            <w:pPr>
              <w:adjustRightInd w:val="0"/>
              <w:snapToGrid w:val="0"/>
              <w:jc w:val="center"/>
              <w:rPr>
                <w:rFonts w:hint="default"/>
                <w:color w:val="auto"/>
                <w:sz w:val="21"/>
                <w:szCs w:val="21"/>
                <w:lang w:val="en-US" w:eastAsia="zh-CN"/>
              </w:rPr>
            </w:pPr>
          </w:p>
          <w:p w14:paraId="171C7AA7">
            <w:pPr>
              <w:adjustRightInd w:val="0"/>
              <w:snapToGrid w:val="0"/>
              <w:jc w:val="center"/>
              <w:rPr>
                <w:rFonts w:hint="default"/>
                <w:color w:val="auto"/>
                <w:sz w:val="21"/>
                <w:szCs w:val="21"/>
                <w:lang w:val="en-US" w:eastAsia="zh-CN"/>
              </w:rPr>
            </w:pPr>
          </w:p>
          <w:p w14:paraId="06FA8E2E">
            <w:pPr>
              <w:adjustRightInd w:val="0"/>
              <w:snapToGrid w:val="0"/>
              <w:jc w:val="center"/>
              <w:rPr>
                <w:rFonts w:hint="default"/>
                <w:color w:val="auto"/>
                <w:sz w:val="21"/>
                <w:szCs w:val="21"/>
                <w:lang w:val="en-US" w:eastAsia="zh-CN"/>
              </w:rPr>
            </w:pPr>
          </w:p>
          <w:p w14:paraId="013F4152">
            <w:pPr>
              <w:adjustRightInd w:val="0"/>
              <w:snapToGrid w:val="0"/>
              <w:jc w:val="center"/>
              <w:rPr>
                <w:rFonts w:hint="default"/>
                <w:color w:val="auto"/>
                <w:sz w:val="21"/>
                <w:szCs w:val="21"/>
                <w:lang w:val="en-US" w:eastAsia="zh-CN"/>
              </w:rPr>
            </w:pPr>
          </w:p>
          <w:p w14:paraId="73E1009A">
            <w:pPr>
              <w:adjustRightInd w:val="0"/>
              <w:snapToGrid w:val="0"/>
              <w:jc w:val="center"/>
              <w:rPr>
                <w:rFonts w:hint="default"/>
                <w:color w:val="auto"/>
                <w:sz w:val="21"/>
                <w:szCs w:val="21"/>
                <w:lang w:val="en-US" w:eastAsia="zh-CN"/>
              </w:rPr>
            </w:pPr>
          </w:p>
          <w:p w14:paraId="336988D3">
            <w:pPr>
              <w:adjustRightInd w:val="0"/>
              <w:snapToGrid w:val="0"/>
              <w:jc w:val="center"/>
              <w:rPr>
                <w:rFonts w:hint="default"/>
                <w:color w:val="auto"/>
                <w:sz w:val="21"/>
                <w:szCs w:val="21"/>
                <w:lang w:val="en-US" w:eastAsia="zh-CN"/>
              </w:rPr>
            </w:pPr>
          </w:p>
          <w:p w14:paraId="5A68FEEB">
            <w:pPr>
              <w:adjustRightInd w:val="0"/>
              <w:snapToGrid w:val="0"/>
              <w:jc w:val="center"/>
              <w:rPr>
                <w:rFonts w:hint="default"/>
                <w:color w:val="auto"/>
                <w:sz w:val="21"/>
                <w:szCs w:val="21"/>
                <w:lang w:val="en-US" w:eastAsia="zh-CN"/>
              </w:rPr>
            </w:pPr>
          </w:p>
          <w:p w14:paraId="51D3E283">
            <w:pPr>
              <w:adjustRightInd w:val="0"/>
              <w:snapToGrid w:val="0"/>
              <w:jc w:val="center"/>
              <w:rPr>
                <w:rFonts w:hint="default"/>
                <w:color w:val="auto"/>
                <w:sz w:val="21"/>
                <w:szCs w:val="21"/>
                <w:lang w:val="en-US" w:eastAsia="zh-CN"/>
              </w:rPr>
            </w:pPr>
          </w:p>
          <w:p w14:paraId="732BB2AC">
            <w:pPr>
              <w:adjustRightInd w:val="0"/>
              <w:snapToGrid w:val="0"/>
              <w:jc w:val="center"/>
              <w:rPr>
                <w:rFonts w:hint="default"/>
                <w:color w:val="auto"/>
                <w:sz w:val="21"/>
                <w:szCs w:val="21"/>
                <w:lang w:val="en-US" w:eastAsia="zh-CN"/>
              </w:rPr>
            </w:pPr>
          </w:p>
          <w:p w14:paraId="08368787">
            <w:pPr>
              <w:adjustRightInd w:val="0"/>
              <w:snapToGrid w:val="0"/>
              <w:jc w:val="center"/>
              <w:rPr>
                <w:rFonts w:hint="default"/>
                <w:color w:val="auto"/>
                <w:sz w:val="21"/>
                <w:szCs w:val="21"/>
                <w:lang w:val="en-US" w:eastAsia="zh-CN"/>
              </w:rPr>
            </w:pPr>
          </w:p>
          <w:p w14:paraId="626EFDDD">
            <w:pPr>
              <w:adjustRightInd w:val="0"/>
              <w:snapToGrid w:val="0"/>
              <w:jc w:val="center"/>
              <w:rPr>
                <w:rFonts w:hint="default"/>
                <w:color w:val="auto"/>
                <w:sz w:val="21"/>
                <w:szCs w:val="21"/>
                <w:lang w:val="en-US" w:eastAsia="zh-CN"/>
              </w:rPr>
            </w:pPr>
          </w:p>
          <w:p w14:paraId="0864F248">
            <w:pPr>
              <w:adjustRightInd w:val="0"/>
              <w:snapToGrid w:val="0"/>
              <w:jc w:val="center"/>
              <w:rPr>
                <w:rFonts w:hint="default"/>
                <w:color w:val="auto"/>
                <w:sz w:val="21"/>
                <w:szCs w:val="21"/>
                <w:lang w:val="en-US" w:eastAsia="zh-CN"/>
              </w:rPr>
            </w:pPr>
          </w:p>
          <w:p w14:paraId="775B077F">
            <w:pPr>
              <w:adjustRightInd w:val="0"/>
              <w:snapToGrid w:val="0"/>
              <w:jc w:val="center"/>
              <w:rPr>
                <w:rFonts w:hint="default"/>
                <w:color w:val="auto"/>
                <w:sz w:val="21"/>
                <w:szCs w:val="21"/>
                <w:lang w:val="en-US" w:eastAsia="zh-CN"/>
              </w:rPr>
            </w:pPr>
          </w:p>
          <w:p w14:paraId="0843DB6A">
            <w:pPr>
              <w:adjustRightInd w:val="0"/>
              <w:snapToGrid w:val="0"/>
              <w:jc w:val="center"/>
              <w:rPr>
                <w:rFonts w:hint="default"/>
                <w:color w:val="auto"/>
                <w:sz w:val="21"/>
                <w:szCs w:val="21"/>
                <w:lang w:val="en-US" w:eastAsia="zh-CN"/>
              </w:rPr>
            </w:pPr>
          </w:p>
          <w:p w14:paraId="7D707757">
            <w:pPr>
              <w:adjustRightInd w:val="0"/>
              <w:snapToGrid w:val="0"/>
              <w:jc w:val="center"/>
              <w:rPr>
                <w:rFonts w:hint="default"/>
                <w:color w:val="auto"/>
                <w:sz w:val="21"/>
                <w:szCs w:val="21"/>
                <w:lang w:val="en-US" w:eastAsia="zh-CN"/>
              </w:rPr>
            </w:pPr>
          </w:p>
          <w:p w14:paraId="0E8089A3">
            <w:pPr>
              <w:adjustRightInd w:val="0"/>
              <w:snapToGrid w:val="0"/>
              <w:jc w:val="center"/>
              <w:rPr>
                <w:rFonts w:hint="default"/>
                <w:color w:val="auto"/>
                <w:sz w:val="21"/>
                <w:szCs w:val="21"/>
                <w:lang w:val="en-US" w:eastAsia="zh-CN"/>
              </w:rPr>
            </w:pPr>
            <w:r>
              <w:rPr>
                <w:rFonts w:hint="default"/>
                <w:color w:val="auto"/>
                <w:sz w:val="21"/>
                <w:szCs w:val="21"/>
                <w:lang w:val="en-US" w:eastAsia="zh-CN"/>
              </w:rPr>
              <w:t>污染</w:t>
            </w:r>
          </w:p>
          <w:p w14:paraId="6D7FB2F3">
            <w:pPr>
              <w:adjustRightInd w:val="0"/>
              <w:snapToGrid w:val="0"/>
              <w:jc w:val="center"/>
              <w:rPr>
                <w:rFonts w:hint="default"/>
                <w:color w:val="auto"/>
                <w:sz w:val="21"/>
                <w:szCs w:val="21"/>
                <w:lang w:val="en-US" w:eastAsia="zh-CN"/>
              </w:rPr>
            </w:pPr>
            <w:r>
              <w:rPr>
                <w:rFonts w:hint="default"/>
                <w:color w:val="auto"/>
                <w:sz w:val="21"/>
                <w:szCs w:val="21"/>
                <w:lang w:val="en-US" w:eastAsia="zh-CN"/>
              </w:rPr>
              <w:t>物排</w:t>
            </w:r>
          </w:p>
          <w:p w14:paraId="4AFC53AC">
            <w:pPr>
              <w:adjustRightInd w:val="0"/>
              <w:snapToGrid w:val="0"/>
              <w:jc w:val="center"/>
              <w:rPr>
                <w:rFonts w:hint="default"/>
                <w:color w:val="auto"/>
                <w:sz w:val="21"/>
                <w:szCs w:val="21"/>
                <w:lang w:val="en-US" w:eastAsia="zh-CN"/>
              </w:rPr>
            </w:pPr>
            <w:r>
              <w:rPr>
                <w:rFonts w:hint="default"/>
                <w:color w:val="auto"/>
                <w:sz w:val="21"/>
                <w:szCs w:val="21"/>
                <w:lang w:val="en-US" w:eastAsia="zh-CN"/>
              </w:rPr>
              <w:t>放控</w:t>
            </w:r>
          </w:p>
          <w:p w14:paraId="641C6B7C">
            <w:pPr>
              <w:adjustRightInd w:val="0"/>
              <w:snapToGrid w:val="0"/>
              <w:jc w:val="center"/>
              <w:rPr>
                <w:rFonts w:hint="default"/>
                <w:color w:val="auto"/>
                <w:sz w:val="21"/>
                <w:szCs w:val="21"/>
                <w:lang w:val="en-US" w:eastAsia="zh-CN"/>
              </w:rPr>
            </w:pPr>
            <w:r>
              <w:rPr>
                <w:rFonts w:hint="default"/>
                <w:color w:val="auto"/>
                <w:sz w:val="21"/>
                <w:szCs w:val="21"/>
                <w:lang w:val="en-US" w:eastAsia="zh-CN"/>
              </w:rPr>
              <w:t>制标</w:t>
            </w:r>
          </w:p>
          <w:p w14:paraId="04A82C06">
            <w:pPr>
              <w:jc w:val="center"/>
              <w:rPr>
                <w:rFonts w:hint="eastAsia" w:eastAsia="宋体"/>
                <w:color w:val="auto"/>
                <w:sz w:val="21"/>
                <w:szCs w:val="21"/>
                <w:lang w:val="en-US" w:eastAsia="zh-CN"/>
              </w:rPr>
            </w:pPr>
            <w:r>
              <w:rPr>
                <w:rFonts w:hint="default"/>
                <w:color w:val="auto"/>
                <w:sz w:val="21"/>
                <w:szCs w:val="21"/>
                <w:lang w:val="en-US" w:eastAsia="zh-CN"/>
              </w:rPr>
              <w:t>准</w:t>
            </w:r>
          </w:p>
        </w:tc>
        <w:tc>
          <w:tcPr>
            <w:tcW w:w="8384" w:type="dxa"/>
            <w:noWrap w:val="0"/>
            <w:vAlign w:val="center"/>
          </w:tcPr>
          <w:p w14:paraId="1A72EE40">
            <w:pPr>
              <w:pStyle w:val="166"/>
              <w:keepNext w:val="0"/>
              <w:keepLines w:val="0"/>
              <w:pageBreakBefore w:val="0"/>
              <w:widowControl w:val="0"/>
              <w:kinsoku/>
              <w:wordWrap/>
              <w:overflowPunct/>
              <w:topLinePunct w:val="0"/>
              <w:autoSpaceDE/>
              <w:autoSpaceDN/>
              <w:bidi w:val="0"/>
              <w:adjustRightInd w:val="0"/>
              <w:snapToGrid w:val="0"/>
              <w:spacing w:before="157" w:beforeLines="50"/>
              <w:textAlignment w:val="baseline"/>
              <w:rPr>
                <w:rFonts w:hint="default" w:ascii="Times New Roman" w:hAnsi="Times New Roman" w:eastAsia="宋体" w:cs="Times New Roman"/>
                <w:b/>
                <w:bCs/>
                <w:color w:val="auto"/>
                <w:kern w:val="2"/>
                <w:sz w:val="21"/>
                <w:szCs w:val="21"/>
                <w:lang w:val="en-US" w:eastAsia="zh-CN" w:bidi="ar-SA"/>
              </w:rPr>
            </w:pPr>
            <w:r>
              <w:rPr>
                <w:rFonts w:hint="eastAsia" w:eastAsia="宋体" w:cs="Times New Roman"/>
                <w:b/>
                <w:bCs/>
                <w:color w:val="auto"/>
                <w:kern w:val="2"/>
                <w:sz w:val="21"/>
                <w:szCs w:val="21"/>
                <w:lang w:val="en-US" w:eastAsia="zh-CN" w:bidi="ar-SA"/>
              </w:rPr>
              <w:t>（1）</w:t>
            </w:r>
            <w:r>
              <w:rPr>
                <w:rFonts w:hint="default" w:ascii="Times New Roman" w:hAnsi="Times New Roman" w:eastAsia="宋体" w:cs="Times New Roman"/>
                <w:b/>
                <w:bCs/>
                <w:color w:val="auto"/>
                <w:kern w:val="2"/>
                <w:sz w:val="21"/>
                <w:szCs w:val="21"/>
                <w:lang w:val="en-US" w:eastAsia="zh-CN" w:bidi="ar-SA"/>
              </w:rPr>
              <w:t>废气排放标准</w:t>
            </w:r>
          </w:p>
          <w:p w14:paraId="34F54D85">
            <w:pPr>
              <w:pStyle w:val="166"/>
              <w:keepNext w:val="0"/>
              <w:keepLines w:val="0"/>
              <w:pageBreakBefore w:val="0"/>
              <w:widowControl w:val="0"/>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本项目废气排放标准具</w:t>
            </w:r>
            <w:r>
              <w:rPr>
                <w:rFonts w:hint="default" w:ascii="Times New Roman" w:hAnsi="Times New Roman" w:eastAsia="宋体" w:cs="Times New Roman"/>
                <w:color w:val="auto"/>
                <w:kern w:val="2"/>
                <w:sz w:val="21"/>
                <w:szCs w:val="21"/>
                <w:highlight w:val="none"/>
                <w:lang w:val="en-US" w:eastAsia="zh-CN" w:bidi="ar-SA"/>
              </w:rPr>
              <w:t>体</w:t>
            </w:r>
            <w:r>
              <w:rPr>
                <w:rFonts w:hint="eastAsia" w:ascii="Times New Roman" w:hAnsi="Times New Roman" w:eastAsia="宋体" w:cs="Times New Roman"/>
                <w:color w:val="auto"/>
                <w:kern w:val="2"/>
                <w:sz w:val="21"/>
                <w:szCs w:val="21"/>
                <w:highlight w:val="none"/>
                <w:lang w:val="en-US" w:eastAsia="zh-CN" w:bidi="ar"/>
              </w:rPr>
              <w:t>见下表</w:t>
            </w:r>
            <w:r>
              <w:rPr>
                <w:rFonts w:hint="default" w:ascii="Times New Roman" w:hAnsi="Times New Roman" w:eastAsia="宋体" w:cs="Times New Roman"/>
                <w:color w:val="auto"/>
                <w:kern w:val="2"/>
                <w:sz w:val="21"/>
                <w:szCs w:val="21"/>
                <w:highlight w:val="none"/>
                <w:lang w:val="en-US" w:eastAsia="zh-CN" w:bidi="ar-SA"/>
              </w:rPr>
              <w:t>。</w:t>
            </w:r>
          </w:p>
          <w:p w14:paraId="6EE98CB1">
            <w:pPr>
              <w:pageBreakBefore w:val="0"/>
              <w:kinsoku/>
              <w:wordWrap/>
              <w:bidi w:val="0"/>
              <w:adjustRightInd w:val="0"/>
              <w:snapToGrid w:val="0"/>
              <w:spacing w:line="240" w:lineRule="auto"/>
              <w:jc w:val="center"/>
              <w:rPr>
                <w:rFonts w:hint="default" w:ascii="Times New Roman" w:hAnsi="Times New Roman" w:eastAsia="黑体" w:cs="Times New Roman"/>
                <w:b w:val="0"/>
                <w:bCs/>
                <w:color w:val="auto"/>
                <w:sz w:val="21"/>
                <w:szCs w:val="21"/>
                <w:highlight w:val="none"/>
                <w:lang w:val="en-US" w:eastAsia="zh-CN"/>
              </w:rPr>
            </w:pPr>
            <w:r>
              <w:rPr>
                <w:rFonts w:hint="default" w:ascii="Times New Roman" w:hAnsi="Times New Roman" w:eastAsia="黑体" w:cs="Times New Roman"/>
                <w:b w:val="0"/>
                <w:bCs/>
                <w:color w:val="auto"/>
                <w:sz w:val="21"/>
                <w:szCs w:val="21"/>
                <w:highlight w:val="none"/>
                <w:lang w:val="en-US" w:eastAsia="zh-CN"/>
              </w:rPr>
              <w:t>表3-</w:t>
            </w:r>
            <w:r>
              <w:rPr>
                <w:rFonts w:hint="eastAsia" w:eastAsia="黑体" w:cs="Times New Roman"/>
                <w:b w:val="0"/>
                <w:bCs/>
                <w:color w:val="auto"/>
                <w:sz w:val="21"/>
                <w:szCs w:val="21"/>
                <w:highlight w:val="none"/>
                <w:lang w:val="en-US" w:eastAsia="zh-CN"/>
              </w:rPr>
              <w:t>4本项目</w:t>
            </w:r>
            <w:r>
              <w:rPr>
                <w:rFonts w:hint="default" w:ascii="Times New Roman" w:hAnsi="Times New Roman" w:eastAsia="黑体" w:cs="Times New Roman"/>
                <w:b w:val="0"/>
                <w:bCs/>
                <w:color w:val="auto"/>
                <w:sz w:val="21"/>
                <w:szCs w:val="21"/>
                <w:highlight w:val="none"/>
                <w:lang w:val="en-US" w:eastAsia="zh-CN"/>
              </w:rPr>
              <w:t>大气污染物排放标准</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42"/>
              <w:gridCol w:w="1172"/>
              <w:gridCol w:w="1523"/>
              <w:gridCol w:w="1605"/>
              <w:gridCol w:w="3395"/>
            </w:tblGrid>
            <w:tr w14:paraId="3B3748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1040" w:type="pct"/>
                  <w:gridSpan w:val="2"/>
                  <w:tcBorders>
                    <w:tl2br w:val="nil"/>
                    <w:tr2bl w:val="nil"/>
                  </w:tcBorders>
                  <w:noWrap w:val="0"/>
                  <w:vAlign w:val="center"/>
                </w:tcPr>
                <w:p w14:paraId="6C466D58">
                  <w:pPr>
                    <w:keepNext w:val="0"/>
                    <w:keepLines w:val="0"/>
                    <w:widowControl/>
                    <w:suppressLineNumbers w:val="0"/>
                    <w:spacing w:line="240" w:lineRule="auto"/>
                    <w:ind w:firstLine="0" w:firstLineChars="0"/>
                    <w:jc w:val="center"/>
                    <w:rPr>
                      <w:rFonts w:hint="eastAsia" w:cs="Times New Roman"/>
                      <w:b w:val="0"/>
                      <w:bCs w:val="0"/>
                      <w:color w:val="auto"/>
                      <w:kern w:val="0"/>
                      <w:sz w:val="18"/>
                      <w:szCs w:val="18"/>
                      <w:lang w:val="en-US" w:eastAsia="zh-CN" w:bidi="ar"/>
                    </w:rPr>
                  </w:pPr>
                  <w:r>
                    <w:rPr>
                      <w:rFonts w:hint="eastAsia" w:cs="Times New Roman"/>
                      <w:b w:val="0"/>
                      <w:bCs w:val="0"/>
                      <w:color w:val="auto"/>
                      <w:kern w:val="0"/>
                      <w:sz w:val="18"/>
                      <w:szCs w:val="18"/>
                      <w:lang w:val="en-US" w:eastAsia="zh-CN" w:bidi="ar"/>
                    </w:rPr>
                    <w:t>污染源</w:t>
                  </w:r>
                </w:p>
              </w:tc>
              <w:tc>
                <w:tcPr>
                  <w:tcW w:w="924" w:type="pct"/>
                  <w:tcBorders>
                    <w:tl2br w:val="nil"/>
                    <w:tr2bl w:val="nil"/>
                  </w:tcBorders>
                  <w:noWrap w:val="0"/>
                  <w:vAlign w:val="center"/>
                </w:tcPr>
                <w:p w14:paraId="1FD06A23">
                  <w:pPr>
                    <w:keepNext w:val="0"/>
                    <w:keepLines w:val="0"/>
                    <w:widowControl/>
                    <w:suppressLineNumbers w:val="0"/>
                    <w:spacing w:line="240" w:lineRule="auto"/>
                    <w:ind w:firstLine="0" w:firstLineChars="0"/>
                    <w:jc w:val="center"/>
                    <w:rPr>
                      <w:rFonts w:hint="default" w:ascii="Times New Roman" w:hAnsi="Times New Roman" w:eastAsia="宋体" w:cs="Times New Roman"/>
                      <w:b w:val="0"/>
                      <w:bCs w:val="0"/>
                      <w:color w:val="auto"/>
                      <w:kern w:val="0"/>
                      <w:sz w:val="18"/>
                      <w:szCs w:val="18"/>
                      <w:lang w:val="en-US" w:eastAsia="zh-CN" w:bidi="ar"/>
                    </w:rPr>
                  </w:pPr>
                  <w:r>
                    <w:rPr>
                      <w:rFonts w:hint="default" w:ascii="Times New Roman" w:hAnsi="Times New Roman" w:eastAsia="宋体" w:cs="Times New Roman"/>
                      <w:b w:val="0"/>
                      <w:bCs w:val="0"/>
                      <w:color w:val="auto"/>
                      <w:kern w:val="0"/>
                      <w:sz w:val="18"/>
                      <w:szCs w:val="18"/>
                      <w:lang w:val="en-US" w:eastAsia="zh-CN" w:bidi="ar"/>
                    </w:rPr>
                    <w:t>污染因子</w:t>
                  </w:r>
                </w:p>
              </w:tc>
              <w:tc>
                <w:tcPr>
                  <w:tcW w:w="974" w:type="pct"/>
                  <w:tcBorders>
                    <w:tl2br w:val="nil"/>
                    <w:tr2bl w:val="nil"/>
                  </w:tcBorders>
                  <w:noWrap w:val="0"/>
                  <w:vAlign w:val="center"/>
                </w:tcPr>
                <w:p w14:paraId="6A4927CB">
                  <w:pPr>
                    <w:pageBreakBefore w:val="0"/>
                    <w:kinsoku/>
                    <w:wordWrap/>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
                    </w:rPr>
                  </w:pPr>
                  <w:r>
                    <w:rPr>
                      <w:rFonts w:hint="default" w:ascii="Times New Roman" w:hAnsi="Times New Roman" w:eastAsia="宋体" w:cs="Times New Roman"/>
                      <w:color w:val="auto"/>
                      <w:kern w:val="0"/>
                      <w:sz w:val="18"/>
                      <w:szCs w:val="18"/>
                      <w:lang w:val="en-US" w:eastAsia="zh-CN" w:bidi="ar"/>
                    </w:rPr>
                    <w:t>排放</w:t>
                  </w:r>
                  <w:r>
                    <w:rPr>
                      <w:rFonts w:hint="eastAsia" w:cs="Times New Roman"/>
                      <w:color w:val="auto"/>
                      <w:kern w:val="0"/>
                      <w:sz w:val="18"/>
                      <w:szCs w:val="18"/>
                      <w:lang w:val="en-US" w:eastAsia="zh-CN" w:bidi="ar"/>
                    </w:rPr>
                    <w:t>浓度</w:t>
                  </w:r>
                  <w:r>
                    <w:rPr>
                      <w:rFonts w:hint="default" w:ascii="Times New Roman" w:hAnsi="Times New Roman" w:eastAsia="宋体" w:cs="Times New Roman"/>
                      <w:color w:val="auto"/>
                      <w:kern w:val="0"/>
                      <w:sz w:val="18"/>
                      <w:szCs w:val="18"/>
                      <w:lang w:val="en-US" w:eastAsia="zh-CN" w:bidi="ar"/>
                    </w:rPr>
                    <w:t>要求</w:t>
                  </w:r>
                  <w:r>
                    <w:rPr>
                      <w:rFonts w:hint="eastAsia" w:ascii="Times New Roman" w:hAnsi="Times New Roman" w:eastAsia="黑体" w:cs="Times New Roman"/>
                      <w:b w:val="0"/>
                      <w:bCs/>
                      <w:color w:val="auto"/>
                      <w:sz w:val="21"/>
                      <w:szCs w:val="21"/>
                      <w:highlight w:val="none"/>
                      <w:lang w:val="en-US" w:eastAsia="zh-CN"/>
                    </w:rPr>
                    <w:t>mg/m</w:t>
                  </w:r>
                  <w:r>
                    <w:rPr>
                      <w:rFonts w:hint="eastAsia" w:ascii="Times New Roman" w:hAnsi="Times New Roman" w:eastAsia="黑体" w:cs="Times New Roman"/>
                      <w:b w:val="0"/>
                      <w:bCs/>
                      <w:color w:val="auto"/>
                      <w:sz w:val="21"/>
                      <w:szCs w:val="21"/>
                      <w:highlight w:val="none"/>
                      <w:vertAlign w:val="superscript"/>
                      <w:lang w:val="en-US" w:eastAsia="zh-CN"/>
                    </w:rPr>
                    <w:t>3</w:t>
                  </w:r>
                </w:p>
              </w:tc>
              <w:tc>
                <w:tcPr>
                  <w:tcW w:w="2060" w:type="pct"/>
                  <w:tcBorders>
                    <w:tl2br w:val="nil"/>
                    <w:tr2bl w:val="nil"/>
                  </w:tcBorders>
                  <w:noWrap w:val="0"/>
                  <w:vAlign w:val="center"/>
                </w:tcPr>
                <w:p w14:paraId="741672DF">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lang w:val="en-US" w:eastAsia="zh-CN" w:bidi="ar"/>
                    </w:rPr>
                  </w:pPr>
                  <w:r>
                    <w:rPr>
                      <w:rFonts w:hint="default" w:ascii="Times New Roman" w:hAnsi="Times New Roman" w:eastAsia="宋体" w:cs="Times New Roman"/>
                      <w:color w:val="auto"/>
                      <w:kern w:val="0"/>
                      <w:sz w:val="18"/>
                      <w:szCs w:val="18"/>
                      <w:lang w:val="en-US" w:eastAsia="zh-CN" w:bidi="ar"/>
                    </w:rPr>
                    <w:t>标准来源</w:t>
                  </w:r>
                </w:p>
              </w:tc>
            </w:tr>
            <w:tr w14:paraId="0B55A8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329" w:type="pct"/>
                  <w:vMerge w:val="restart"/>
                  <w:tcBorders>
                    <w:tl2br w:val="nil"/>
                    <w:tr2bl w:val="nil"/>
                  </w:tcBorders>
                  <w:noWrap w:val="0"/>
                  <w:vAlign w:val="center"/>
                </w:tcPr>
                <w:p w14:paraId="0E85BABF">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lang w:val="en-US" w:eastAsia="zh-CN" w:bidi="ar"/>
                    </w:rPr>
                  </w:pPr>
                  <w:r>
                    <w:rPr>
                      <w:rFonts w:hint="eastAsia" w:cs="Times New Roman"/>
                      <w:color w:val="auto"/>
                      <w:kern w:val="0"/>
                      <w:sz w:val="18"/>
                      <w:szCs w:val="18"/>
                      <w:lang w:val="en-US" w:eastAsia="zh-CN" w:bidi="ar"/>
                    </w:rPr>
                    <w:t>有组织废气</w:t>
                  </w:r>
                </w:p>
              </w:tc>
              <w:tc>
                <w:tcPr>
                  <w:tcW w:w="711" w:type="pct"/>
                  <w:vMerge w:val="restart"/>
                  <w:tcBorders>
                    <w:tl2br w:val="nil"/>
                    <w:tr2bl w:val="nil"/>
                  </w:tcBorders>
                  <w:shd w:val="clear" w:color="auto" w:fill="auto"/>
                  <w:noWrap w:val="0"/>
                  <w:vAlign w:val="center"/>
                </w:tcPr>
                <w:p w14:paraId="28680448">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r>
                    <w:rPr>
                      <w:rFonts w:hint="eastAsia" w:cs="Times New Roman"/>
                      <w:color w:val="auto"/>
                      <w:kern w:val="0"/>
                      <w:sz w:val="18"/>
                      <w:szCs w:val="18"/>
                      <w:lang w:val="en-US" w:eastAsia="zh-CN" w:bidi="ar"/>
                    </w:rPr>
                    <w:t>退火炉、加热炉等废气</w:t>
                  </w:r>
                </w:p>
                <w:p w14:paraId="69969045">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r>
                    <w:rPr>
                      <w:rFonts w:hint="eastAsia" w:cs="Times New Roman"/>
                      <w:color w:val="auto"/>
                      <w:kern w:val="0"/>
                      <w:sz w:val="18"/>
                      <w:szCs w:val="18"/>
                      <w:lang w:val="en-US" w:eastAsia="zh-CN" w:bidi="ar"/>
                    </w:rPr>
                    <w:t>DA001</w:t>
                  </w:r>
                </w:p>
                <w:p w14:paraId="1F94AD9A">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r>
                    <w:rPr>
                      <w:rFonts w:hint="eastAsia" w:cs="Times New Roman"/>
                      <w:color w:val="auto"/>
                      <w:kern w:val="0"/>
                      <w:sz w:val="18"/>
                      <w:szCs w:val="18"/>
                      <w:lang w:val="en-US" w:eastAsia="zh-CN" w:bidi="ar"/>
                    </w:rPr>
                    <w:t>DA002</w:t>
                  </w:r>
                </w:p>
                <w:p w14:paraId="7FBD4F4E">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r>
                    <w:rPr>
                      <w:rFonts w:hint="eastAsia" w:cs="Times New Roman"/>
                      <w:color w:val="auto"/>
                      <w:kern w:val="0"/>
                      <w:sz w:val="18"/>
                      <w:szCs w:val="18"/>
                      <w:lang w:val="en-US" w:eastAsia="zh-CN" w:bidi="ar"/>
                    </w:rPr>
                    <w:t>DA007</w:t>
                  </w:r>
                </w:p>
                <w:p w14:paraId="44A16DF9">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DA008</w:t>
                  </w:r>
                </w:p>
                <w:p w14:paraId="5FD70AC4">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DA011</w:t>
                  </w:r>
                </w:p>
              </w:tc>
              <w:tc>
                <w:tcPr>
                  <w:tcW w:w="924" w:type="pct"/>
                  <w:tcBorders>
                    <w:tl2br w:val="nil"/>
                    <w:tr2bl w:val="nil"/>
                  </w:tcBorders>
                  <w:noWrap w:val="0"/>
                  <w:vAlign w:val="center"/>
                </w:tcPr>
                <w:p w14:paraId="03CCBE38">
                  <w:pPr>
                    <w:keepNext w:val="0"/>
                    <w:keepLines w:val="0"/>
                    <w:widowControl/>
                    <w:suppressLineNumbers w:val="0"/>
                    <w:spacing w:line="240" w:lineRule="auto"/>
                    <w:ind w:firstLine="0" w:firstLineChars="0"/>
                    <w:jc w:val="center"/>
                    <w:rPr>
                      <w:rFonts w:hint="default" w:ascii="Times New Roman" w:hAnsi="Times New Roman" w:eastAsia="宋体" w:cs="Times New Roman"/>
                      <w:b w:val="0"/>
                      <w:bCs w:val="0"/>
                      <w:color w:val="auto"/>
                      <w:kern w:val="0"/>
                      <w:sz w:val="18"/>
                      <w:szCs w:val="18"/>
                      <w:lang w:val="en-US" w:eastAsia="zh-CN" w:bidi="ar"/>
                    </w:rPr>
                  </w:pPr>
                  <w:r>
                    <w:rPr>
                      <w:rFonts w:hint="eastAsia" w:cs="Times New Roman"/>
                      <w:b w:val="0"/>
                      <w:bCs w:val="0"/>
                      <w:color w:val="auto"/>
                      <w:kern w:val="0"/>
                      <w:sz w:val="18"/>
                      <w:szCs w:val="18"/>
                      <w:lang w:val="en-US" w:eastAsia="zh-CN" w:bidi="ar"/>
                    </w:rPr>
                    <w:t>颗粒物</w:t>
                  </w:r>
                </w:p>
              </w:tc>
              <w:tc>
                <w:tcPr>
                  <w:tcW w:w="974" w:type="pct"/>
                  <w:tcBorders>
                    <w:tl2br w:val="nil"/>
                    <w:tr2bl w:val="nil"/>
                  </w:tcBorders>
                  <w:noWrap w:val="0"/>
                  <w:vAlign w:val="center"/>
                </w:tcPr>
                <w:p w14:paraId="705BF50A">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lang w:val="en-US" w:eastAsia="zh-CN" w:bidi="ar"/>
                    </w:rPr>
                  </w:pPr>
                  <w:r>
                    <w:rPr>
                      <w:rFonts w:hint="eastAsia" w:cs="Times New Roman"/>
                      <w:color w:val="auto"/>
                      <w:kern w:val="0"/>
                      <w:sz w:val="18"/>
                      <w:szCs w:val="18"/>
                      <w:lang w:val="en-US" w:eastAsia="zh-CN" w:bidi="ar"/>
                    </w:rPr>
                    <w:t>10</w:t>
                  </w:r>
                </w:p>
              </w:tc>
              <w:tc>
                <w:tcPr>
                  <w:tcW w:w="2060" w:type="pct"/>
                  <w:vMerge w:val="restart"/>
                  <w:tcBorders>
                    <w:tl2br w:val="nil"/>
                    <w:tr2bl w:val="nil"/>
                  </w:tcBorders>
                  <w:noWrap w:val="0"/>
                  <w:vAlign w:val="center"/>
                </w:tcPr>
                <w:p w14:paraId="7A5C06EB">
                  <w:pPr>
                    <w:keepNext w:val="0"/>
                    <w:keepLines w:val="0"/>
                    <w:widowControl/>
                    <w:suppressLineNumbers w:val="0"/>
                    <w:jc w:val="both"/>
                    <w:rPr>
                      <w:rFonts w:hint="default" w:ascii="Times New Roman" w:hAnsi="Times New Roman" w:eastAsia="宋体" w:cs="Times New Roman"/>
                      <w:color w:val="auto"/>
                      <w:kern w:val="0"/>
                      <w:sz w:val="18"/>
                      <w:szCs w:val="18"/>
                      <w:lang w:val="en-US" w:eastAsia="zh-CN" w:bidi="ar"/>
                    </w:rPr>
                  </w:pPr>
                  <w:r>
                    <w:rPr>
                      <w:rFonts w:hint="eastAsia" w:eastAsia="宋体" w:cs="Times New Roman"/>
                      <w:color w:val="auto"/>
                      <w:kern w:val="2"/>
                      <w:sz w:val="18"/>
                      <w:szCs w:val="18"/>
                      <w:lang w:val="en-US" w:eastAsia="zh-CN" w:bidi="ar-SA"/>
                    </w:rPr>
                    <w:t>《</w:t>
                  </w:r>
                  <w:r>
                    <w:rPr>
                      <w:rFonts w:hint="eastAsia" w:cs="Times New Roman"/>
                      <w:color w:val="auto"/>
                      <w:kern w:val="2"/>
                      <w:sz w:val="18"/>
                      <w:szCs w:val="18"/>
                      <w:lang w:val="en-US" w:eastAsia="zh-CN" w:bidi="ar-SA"/>
                    </w:rPr>
                    <w:t>轧钢</w:t>
                  </w:r>
                  <w:r>
                    <w:rPr>
                      <w:rFonts w:hint="eastAsia" w:eastAsia="宋体" w:cs="Times New Roman"/>
                      <w:color w:val="auto"/>
                      <w:kern w:val="2"/>
                      <w:sz w:val="18"/>
                      <w:szCs w:val="18"/>
                      <w:lang w:val="en-US" w:eastAsia="zh-CN" w:bidi="ar-SA"/>
                    </w:rPr>
                    <w:t>工业大气污染物排放标准》（GB2866</w:t>
                  </w:r>
                  <w:r>
                    <w:rPr>
                      <w:rFonts w:hint="eastAsia" w:cs="Times New Roman"/>
                      <w:color w:val="auto"/>
                      <w:kern w:val="2"/>
                      <w:sz w:val="18"/>
                      <w:szCs w:val="18"/>
                      <w:lang w:val="en-US" w:eastAsia="zh-CN" w:bidi="ar-SA"/>
                    </w:rPr>
                    <w:t>5</w:t>
                  </w:r>
                  <w:r>
                    <w:rPr>
                      <w:rFonts w:hint="eastAsia" w:eastAsia="宋体" w:cs="Times New Roman"/>
                      <w:color w:val="auto"/>
                      <w:kern w:val="2"/>
                      <w:sz w:val="18"/>
                      <w:szCs w:val="18"/>
                      <w:lang w:val="en-US" w:eastAsia="zh-CN" w:bidi="ar-SA"/>
                    </w:rPr>
                    <w:t>-2012）</w:t>
                  </w:r>
                  <w:r>
                    <w:rPr>
                      <w:rFonts w:hint="eastAsia" w:cs="Times New Roman"/>
                      <w:color w:val="auto"/>
                      <w:kern w:val="2"/>
                      <w:sz w:val="18"/>
                      <w:szCs w:val="18"/>
                      <w:lang w:val="en-US" w:eastAsia="zh-CN" w:bidi="ar-SA"/>
                    </w:rPr>
                    <w:t>及其修改单</w:t>
                  </w:r>
                  <w:r>
                    <w:rPr>
                      <w:rFonts w:hint="eastAsia" w:eastAsia="宋体" w:cs="Times New Roman"/>
                      <w:color w:val="auto"/>
                      <w:kern w:val="2"/>
                      <w:sz w:val="18"/>
                      <w:szCs w:val="18"/>
                      <w:lang w:val="en-US" w:eastAsia="zh-CN" w:bidi="ar-SA"/>
                    </w:rPr>
                    <w:t>表3</w:t>
                  </w:r>
                  <w:r>
                    <w:rPr>
                      <w:rFonts w:hint="eastAsia" w:cs="Times New Roman"/>
                      <w:color w:val="auto"/>
                      <w:kern w:val="2"/>
                      <w:sz w:val="18"/>
                      <w:szCs w:val="18"/>
                      <w:lang w:val="en-US" w:eastAsia="zh-CN" w:bidi="ar-SA"/>
                    </w:rPr>
                    <w:t>及《</w:t>
                  </w:r>
                  <w:r>
                    <w:rPr>
                      <w:rFonts w:hint="eastAsia" w:ascii="Times New Roman" w:hAnsi="Times New Roman" w:eastAsia="宋体" w:cs="Times New Roman"/>
                      <w:color w:val="auto"/>
                      <w:kern w:val="2"/>
                      <w:sz w:val="18"/>
                      <w:szCs w:val="18"/>
                      <w:lang w:val="en-US" w:eastAsia="zh-CN" w:bidi="ar-SA"/>
                    </w:rPr>
                    <w:t>关于推进实施钢铁行业超低排放的意见》（环大气[2019]35号）相关标准要求；基准氧含量8%</w:t>
                  </w:r>
                </w:p>
              </w:tc>
            </w:tr>
            <w:tr w14:paraId="6E72CD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329" w:type="pct"/>
                  <w:vMerge w:val="continue"/>
                  <w:tcBorders>
                    <w:tl2br w:val="nil"/>
                    <w:tr2bl w:val="nil"/>
                  </w:tcBorders>
                  <w:noWrap w:val="0"/>
                  <w:vAlign w:val="center"/>
                </w:tcPr>
                <w:p w14:paraId="4A23A680">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p>
              </w:tc>
              <w:tc>
                <w:tcPr>
                  <w:tcW w:w="711" w:type="pct"/>
                  <w:vMerge w:val="continue"/>
                  <w:tcBorders>
                    <w:tl2br w:val="nil"/>
                    <w:tr2bl w:val="nil"/>
                  </w:tcBorders>
                  <w:shd w:val="clear" w:color="auto" w:fill="auto"/>
                  <w:noWrap w:val="0"/>
                  <w:vAlign w:val="center"/>
                </w:tcPr>
                <w:p w14:paraId="4F2C3800">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p>
              </w:tc>
              <w:tc>
                <w:tcPr>
                  <w:tcW w:w="924" w:type="pct"/>
                  <w:tcBorders>
                    <w:tl2br w:val="nil"/>
                    <w:tr2bl w:val="nil"/>
                  </w:tcBorders>
                  <w:noWrap w:val="0"/>
                  <w:vAlign w:val="center"/>
                </w:tcPr>
                <w:p w14:paraId="326D2212">
                  <w:pPr>
                    <w:keepNext w:val="0"/>
                    <w:keepLines w:val="0"/>
                    <w:widowControl/>
                    <w:suppressLineNumbers w:val="0"/>
                    <w:spacing w:line="240" w:lineRule="auto"/>
                    <w:ind w:firstLine="0" w:firstLineChars="0"/>
                    <w:jc w:val="center"/>
                    <w:rPr>
                      <w:rFonts w:hint="default" w:cs="Times New Roman"/>
                      <w:b w:val="0"/>
                      <w:bCs w:val="0"/>
                      <w:color w:val="auto"/>
                      <w:kern w:val="0"/>
                      <w:sz w:val="18"/>
                      <w:szCs w:val="18"/>
                      <w:lang w:val="en-US" w:eastAsia="zh-CN" w:bidi="ar"/>
                    </w:rPr>
                  </w:pPr>
                  <w:r>
                    <w:rPr>
                      <w:rFonts w:hint="eastAsia" w:cs="Times New Roman"/>
                      <w:b w:val="0"/>
                      <w:bCs w:val="0"/>
                      <w:color w:val="auto"/>
                      <w:kern w:val="0"/>
                      <w:sz w:val="18"/>
                      <w:szCs w:val="18"/>
                      <w:lang w:val="en-US" w:eastAsia="zh-CN" w:bidi="ar"/>
                    </w:rPr>
                    <w:t>二氧化硫</w:t>
                  </w:r>
                </w:p>
              </w:tc>
              <w:tc>
                <w:tcPr>
                  <w:tcW w:w="974" w:type="pct"/>
                  <w:tcBorders>
                    <w:tl2br w:val="nil"/>
                    <w:tr2bl w:val="nil"/>
                  </w:tcBorders>
                  <w:noWrap w:val="0"/>
                  <w:vAlign w:val="center"/>
                </w:tcPr>
                <w:p w14:paraId="0FB4BFE8">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50</w:t>
                  </w:r>
                </w:p>
              </w:tc>
              <w:tc>
                <w:tcPr>
                  <w:tcW w:w="2060" w:type="pct"/>
                  <w:vMerge w:val="continue"/>
                  <w:tcBorders>
                    <w:tl2br w:val="nil"/>
                    <w:tr2bl w:val="nil"/>
                  </w:tcBorders>
                  <w:noWrap w:val="0"/>
                  <w:vAlign w:val="center"/>
                </w:tcPr>
                <w:p w14:paraId="6BD7B160">
                  <w:pPr>
                    <w:keepNext w:val="0"/>
                    <w:keepLines w:val="0"/>
                    <w:widowControl/>
                    <w:suppressLineNumbers w:val="0"/>
                    <w:spacing w:line="240" w:lineRule="auto"/>
                    <w:ind w:firstLine="0" w:firstLineChars="0"/>
                    <w:jc w:val="center"/>
                    <w:rPr>
                      <w:rFonts w:hint="eastAsia" w:eastAsia="宋体" w:cs="Times New Roman"/>
                      <w:color w:val="auto"/>
                      <w:kern w:val="2"/>
                      <w:sz w:val="18"/>
                      <w:szCs w:val="18"/>
                      <w:lang w:val="en-US" w:eastAsia="zh-CN" w:bidi="ar-SA"/>
                    </w:rPr>
                  </w:pPr>
                </w:p>
              </w:tc>
            </w:tr>
            <w:tr w14:paraId="43D21A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329" w:type="pct"/>
                  <w:vMerge w:val="continue"/>
                  <w:tcBorders>
                    <w:tl2br w:val="nil"/>
                    <w:tr2bl w:val="nil"/>
                  </w:tcBorders>
                  <w:noWrap w:val="0"/>
                  <w:vAlign w:val="center"/>
                </w:tcPr>
                <w:p w14:paraId="7A8827AF">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p>
              </w:tc>
              <w:tc>
                <w:tcPr>
                  <w:tcW w:w="711" w:type="pct"/>
                  <w:vMerge w:val="continue"/>
                  <w:tcBorders>
                    <w:tl2br w:val="nil"/>
                    <w:tr2bl w:val="nil"/>
                  </w:tcBorders>
                  <w:shd w:val="clear" w:color="auto" w:fill="auto"/>
                  <w:noWrap w:val="0"/>
                  <w:vAlign w:val="center"/>
                </w:tcPr>
                <w:p w14:paraId="6CF02869">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p>
              </w:tc>
              <w:tc>
                <w:tcPr>
                  <w:tcW w:w="924" w:type="pct"/>
                  <w:tcBorders>
                    <w:tl2br w:val="nil"/>
                    <w:tr2bl w:val="nil"/>
                  </w:tcBorders>
                  <w:noWrap w:val="0"/>
                  <w:vAlign w:val="center"/>
                </w:tcPr>
                <w:p w14:paraId="5DEC0226">
                  <w:pPr>
                    <w:keepNext w:val="0"/>
                    <w:keepLines w:val="0"/>
                    <w:widowControl/>
                    <w:suppressLineNumbers w:val="0"/>
                    <w:spacing w:line="240" w:lineRule="auto"/>
                    <w:ind w:firstLine="0" w:firstLineChars="0"/>
                    <w:jc w:val="center"/>
                    <w:rPr>
                      <w:rFonts w:hint="default" w:cs="Times New Roman"/>
                      <w:b w:val="0"/>
                      <w:bCs w:val="0"/>
                      <w:color w:val="auto"/>
                      <w:kern w:val="0"/>
                      <w:sz w:val="18"/>
                      <w:szCs w:val="18"/>
                      <w:lang w:val="en-US" w:eastAsia="zh-CN" w:bidi="ar"/>
                    </w:rPr>
                  </w:pPr>
                  <w:r>
                    <w:rPr>
                      <w:rFonts w:hint="eastAsia" w:cs="Times New Roman"/>
                      <w:b w:val="0"/>
                      <w:bCs w:val="0"/>
                      <w:color w:val="auto"/>
                      <w:kern w:val="0"/>
                      <w:sz w:val="18"/>
                      <w:szCs w:val="18"/>
                      <w:lang w:val="en-US" w:eastAsia="zh-CN" w:bidi="ar"/>
                    </w:rPr>
                    <w:t>氮氧化物</w:t>
                  </w:r>
                </w:p>
              </w:tc>
              <w:tc>
                <w:tcPr>
                  <w:tcW w:w="974" w:type="pct"/>
                  <w:tcBorders>
                    <w:tl2br w:val="nil"/>
                    <w:tr2bl w:val="nil"/>
                  </w:tcBorders>
                  <w:noWrap w:val="0"/>
                  <w:vAlign w:val="center"/>
                </w:tcPr>
                <w:p w14:paraId="5458D285">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200</w:t>
                  </w:r>
                </w:p>
              </w:tc>
              <w:tc>
                <w:tcPr>
                  <w:tcW w:w="2060" w:type="pct"/>
                  <w:vMerge w:val="continue"/>
                  <w:tcBorders>
                    <w:tl2br w:val="nil"/>
                    <w:tr2bl w:val="nil"/>
                  </w:tcBorders>
                  <w:noWrap w:val="0"/>
                  <w:vAlign w:val="center"/>
                </w:tcPr>
                <w:p w14:paraId="6B0851C6">
                  <w:pPr>
                    <w:keepNext w:val="0"/>
                    <w:keepLines w:val="0"/>
                    <w:widowControl/>
                    <w:suppressLineNumbers w:val="0"/>
                    <w:spacing w:line="240" w:lineRule="auto"/>
                    <w:ind w:firstLine="0" w:firstLineChars="0"/>
                    <w:jc w:val="center"/>
                    <w:rPr>
                      <w:rFonts w:hint="eastAsia" w:eastAsia="宋体" w:cs="Times New Roman"/>
                      <w:color w:val="auto"/>
                      <w:kern w:val="2"/>
                      <w:sz w:val="18"/>
                      <w:szCs w:val="18"/>
                      <w:lang w:val="en-US" w:eastAsia="zh-CN" w:bidi="ar-SA"/>
                    </w:rPr>
                  </w:pPr>
                </w:p>
              </w:tc>
            </w:tr>
            <w:tr w14:paraId="2E6446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329" w:type="pct"/>
                  <w:vMerge w:val="continue"/>
                  <w:tcBorders>
                    <w:tl2br w:val="nil"/>
                    <w:tr2bl w:val="nil"/>
                  </w:tcBorders>
                  <w:noWrap w:val="0"/>
                  <w:vAlign w:val="center"/>
                </w:tcPr>
                <w:p w14:paraId="71A40764">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p>
              </w:tc>
              <w:tc>
                <w:tcPr>
                  <w:tcW w:w="711" w:type="pct"/>
                  <w:tcBorders>
                    <w:tl2br w:val="nil"/>
                    <w:tr2bl w:val="nil"/>
                  </w:tcBorders>
                  <w:shd w:val="clear" w:color="auto" w:fill="auto"/>
                  <w:noWrap w:val="0"/>
                  <w:vAlign w:val="center"/>
                </w:tcPr>
                <w:p w14:paraId="5D18889D">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r>
                    <w:rPr>
                      <w:rFonts w:hint="eastAsia" w:cs="Times New Roman"/>
                      <w:color w:val="auto"/>
                      <w:kern w:val="0"/>
                      <w:sz w:val="18"/>
                      <w:szCs w:val="18"/>
                      <w:lang w:val="en-US" w:eastAsia="zh-CN" w:bidi="ar"/>
                    </w:rPr>
                    <w:t>抛丸、MgO粉尘、激光刻痕等废气</w:t>
                  </w:r>
                </w:p>
                <w:p w14:paraId="62A3C8D0">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r>
                    <w:rPr>
                      <w:rFonts w:hint="eastAsia" w:cs="Times New Roman"/>
                      <w:color w:val="auto"/>
                      <w:kern w:val="0"/>
                      <w:sz w:val="18"/>
                      <w:szCs w:val="18"/>
                      <w:lang w:val="en-US" w:eastAsia="zh-CN" w:bidi="ar"/>
                    </w:rPr>
                    <w:t>DA003</w:t>
                  </w:r>
                </w:p>
                <w:p w14:paraId="05180E12">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DA010</w:t>
                  </w:r>
                </w:p>
                <w:p w14:paraId="3804DB83">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DA012</w:t>
                  </w:r>
                </w:p>
              </w:tc>
              <w:tc>
                <w:tcPr>
                  <w:tcW w:w="924" w:type="pct"/>
                  <w:tcBorders>
                    <w:tl2br w:val="nil"/>
                    <w:tr2bl w:val="nil"/>
                  </w:tcBorders>
                  <w:noWrap w:val="0"/>
                  <w:vAlign w:val="center"/>
                </w:tcPr>
                <w:p w14:paraId="4FAE2518">
                  <w:pPr>
                    <w:keepNext w:val="0"/>
                    <w:keepLines w:val="0"/>
                    <w:widowControl/>
                    <w:suppressLineNumbers w:val="0"/>
                    <w:spacing w:line="240" w:lineRule="auto"/>
                    <w:ind w:firstLine="0" w:firstLineChars="0"/>
                    <w:jc w:val="center"/>
                    <w:rPr>
                      <w:rFonts w:hint="eastAsia" w:cs="Times New Roman"/>
                      <w:b w:val="0"/>
                      <w:bCs w:val="0"/>
                      <w:color w:val="auto"/>
                      <w:kern w:val="0"/>
                      <w:sz w:val="18"/>
                      <w:szCs w:val="18"/>
                      <w:lang w:val="en-US" w:eastAsia="zh-CN" w:bidi="ar"/>
                    </w:rPr>
                  </w:pPr>
                  <w:r>
                    <w:rPr>
                      <w:rFonts w:hint="eastAsia" w:cs="Times New Roman"/>
                      <w:b w:val="0"/>
                      <w:bCs w:val="0"/>
                      <w:color w:val="auto"/>
                      <w:kern w:val="0"/>
                      <w:sz w:val="18"/>
                      <w:szCs w:val="18"/>
                      <w:lang w:val="en-US" w:eastAsia="zh-CN" w:bidi="ar"/>
                    </w:rPr>
                    <w:t>颗粒物</w:t>
                  </w:r>
                </w:p>
              </w:tc>
              <w:tc>
                <w:tcPr>
                  <w:tcW w:w="974" w:type="pct"/>
                  <w:tcBorders>
                    <w:tl2br w:val="nil"/>
                    <w:tr2bl w:val="nil"/>
                  </w:tcBorders>
                  <w:noWrap w:val="0"/>
                  <w:vAlign w:val="center"/>
                </w:tcPr>
                <w:p w14:paraId="65351ED0">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15</w:t>
                  </w:r>
                </w:p>
              </w:tc>
              <w:tc>
                <w:tcPr>
                  <w:tcW w:w="2060" w:type="pct"/>
                  <w:vMerge w:val="restart"/>
                  <w:tcBorders>
                    <w:tl2br w:val="nil"/>
                    <w:tr2bl w:val="nil"/>
                  </w:tcBorders>
                  <w:noWrap w:val="0"/>
                  <w:vAlign w:val="center"/>
                </w:tcPr>
                <w:p w14:paraId="554BC8EA">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lang w:val="en-US" w:eastAsia="zh-CN" w:bidi="ar"/>
                    </w:rPr>
                  </w:pPr>
                  <w:r>
                    <w:rPr>
                      <w:rFonts w:hint="eastAsia" w:eastAsia="宋体" w:cs="Times New Roman"/>
                      <w:color w:val="auto"/>
                      <w:kern w:val="2"/>
                      <w:sz w:val="18"/>
                      <w:szCs w:val="18"/>
                      <w:lang w:val="en-US" w:eastAsia="zh-CN" w:bidi="ar-SA"/>
                    </w:rPr>
                    <w:t>《</w:t>
                  </w:r>
                  <w:r>
                    <w:rPr>
                      <w:rFonts w:hint="eastAsia" w:cs="Times New Roman"/>
                      <w:color w:val="auto"/>
                      <w:kern w:val="2"/>
                      <w:sz w:val="18"/>
                      <w:szCs w:val="18"/>
                      <w:lang w:val="en-US" w:eastAsia="zh-CN" w:bidi="ar-SA"/>
                    </w:rPr>
                    <w:t>轧钢</w:t>
                  </w:r>
                  <w:r>
                    <w:rPr>
                      <w:rFonts w:hint="eastAsia" w:eastAsia="宋体" w:cs="Times New Roman"/>
                      <w:color w:val="auto"/>
                      <w:kern w:val="2"/>
                      <w:sz w:val="18"/>
                      <w:szCs w:val="18"/>
                      <w:lang w:val="en-US" w:eastAsia="zh-CN" w:bidi="ar-SA"/>
                    </w:rPr>
                    <w:t>工业大气污染物排放标准》（GB2866</w:t>
                  </w:r>
                  <w:r>
                    <w:rPr>
                      <w:rFonts w:hint="eastAsia" w:cs="Times New Roman"/>
                      <w:color w:val="auto"/>
                      <w:kern w:val="2"/>
                      <w:sz w:val="18"/>
                      <w:szCs w:val="18"/>
                      <w:lang w:val="en-US" w:eastAsia="zh-CN" w:bidi="ar-SA"/>
                    </w:rPr>
                    <w:t>5</w:t>
                  </w:r>
                  <w:r>
                    <w:rPr>
                      <w:rFonts w:hint="eastAsia" w:eastAsia="宋体" w:cs="Times New Roman"/>
                      <w:color w:val="auto"/>
                      <w:kern w:val="2"/>
                      <w:sz w:val="18"/>
                      <w:szCs w:val="18"/>
                      <w:lang w:val="en-US" w:eastAsia="zh-CN" w:bidi="ar-SA"/>
                    </w:rPr>
                    <w:t>-2012）</w:t>
                  </w:r>
                  <w:r>
                    <w:rPr>
                      <w:rFonts w:hint="eastAsia" w:cs="Times New Roman"/>
                      <w:color w:val="auto"/>
                      <w:kern w:val="2"/>
                      <w:sz w:val="18"/>
                      <w:szCs w:val="18"/>
                      <w:lang w:val="en-US" w:eastAsia="zh-CN" w:bidi="ar-SA"/>
                    </w:rPr>
                    <w:t>及其修改单</w:t>
                  </w:r>
                  <w:r>
                    <w:rPr>
                      <w:rFonts w:hint="eastAsia" w:eastAsia="宋体" w:cs="Times New Roman"/>
                      <w:color w:val="auto"/>
                      <w:kern w:val="2"/>
                      <w:sz w:val="18"/>
                      <w:szCs w:val="18"/>
                      <w:lang w:val="en-US" w:eastAsia="zh-CN" w:bidi="ar-SA"/>
                    </w:rPr>
                    <w:t>表3</w:t>
                  </w:r>
                </w:p>
              </w:tc>
            </w:tr>
            <w:tr w14:paraId="198A91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329" w:type="pct"/>
                  <w:vMerge w:val="continue"/>
                  <w:tcBorders>
                    <w:tl2br w:val="nil"/>
                    <w:tr2bl w:val="nil"/>
                  </w:tcBorders>
                  <w:noWrap w:val="0"/>
                  <w:vAlign w:val="center"/>
                </w:tcPr>
                <w:p w14:paraId="6ECCB947">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p>
              </w:tc>
              <w:tc>
                <w:tcPr>
                  <w:tcW w:w="711" w:type="pct"/>
                  <w:tcBorders>
                    <w:tl2br w:val="nil"/>
                    <w:tr2bl w:val="nil"/>
                  </w:tcBorders>
                  <w:shd w:val="clear" w:color="auto" w:fill="auto"/>
                  <w:noWrap w:val="0"/>
                  <w:vAlign w:val="center"/>
                </w:tcPr>
                <w:p w14:paraId="78F5B97B">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r>
                    <w:rPr>
                      <w:rFonts w:hint="eastAsia" w:cs="Times New Roman"/>
                      <w:color w:val="auto"/>
                      <w:kern w:val="0"/>
                      <w:sz w:val="18"/>
                      <w:szCs w:val="18"/>
                      <w:lang w:val="en-US" w:eastAsia="zh-CN" w:bidi="ar"/>
                    </w:rPr>
                    <w:t>盐酸酸洗及盐酸储罐废气</w:t>
                  </w:r>
                </w:p>
                <w:p w14:paraId="44B31A07">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DA004</w:t>
                  </w:r>
                </w:p>
              </w:tc>
              <w:tc>
                <w:tcPr>
                  <w:tcW w:w="924" w:type="pct"/>
                  <w:tcBorders>
                    <w:tl2br w:val="nil"/>
                    <w:tr2bl w:val="nil"/>
                  </w:tcBorders>
                  <w:noWrap w:val="0"/>
                  <w:vAlign w:val="center"/>
                </w:tcPr>
                <w:p w14:paraId="4CBB3B2E">
                  <w:pPr>
                    <w:keepNext w:val="0"/>
                    <w:keepLines w:val="0"/>
                    <w:widowControl/>
                    <w:suppressLineNumbers w:val="0"/>
                    <w:spacing w:line="240" w:lineRule="auto"/>
                    <w:ind w:firstLine="0" w:firstLineChars="0"/>
                    <w:jc w:val="center"/>
                    <w:rPr>
                      <w:rFonts w:hint="default" w:cs="Times New Roman"/>
                      <w:b w:val="0"/>
                      <w:bCs w:val="0"/>
                      <w:color w:val="auto"/>
                      <w:kern w:val="0"/>
                      <w:sz w:val="18"/>
                      <w:szCs w:val="18"/>
                      <w:lang w:val="en-US" w:eastAsia="zh-CN" w:bidi="ar"/>
                    </w:rPr>
                  </w:pPr>
                  <w:r>
                    <w:rPr>
                      <w:rFonts w:hint="eastAsia" w:cs="Times New Roman"/>
                      <w:b w:val="0"/>
                      <w:bCs w:val="0"/>
                      <w:color w:val="auto"/>
                      <w:kern w:val="0"/>
                      <w:sz w:val="18"/>
                      <w:szCs w:val="18"/>
                      <w:lang w:val="en-US" w:eastAsia="zh-CN" w:bidi="ar"/>
                    </w:rPr>
                    <w:t>氯化氢</w:t>
                  </w:r>
                </w:p>
              </w:tc>
              <w:tc>
                <w:tcPr>
                  <w:tcW w:w="974" w:type="pct"/>
                  <w:tcBorders>
                    <w:tl2br w:val="nil"/>
                    <w:tr2bl w:val="nil"/>
                  </w:tcBorders>
                  <w:noWrap w:val="0"/>
                  <w:vAlign w:val="center"/>
                </w:tcPr>
                <w:p w14:paraId="5AECD81B">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15</w:t>
                  </w:r>
                </w:p>
              </w:tc>
              <w:tc>
                <w:tcPr>
                  <w:tcW w:w="2060" w:type="pct"/>
                  <w:vMerge w:val="continue"/>
                  <w:tcBorders>
                    <w:tl2br w:val="nil"/>
                    <w:tr2bl w:val="nil"/>
                  </w:tcBorders>
                  <w:noWrap w:val="0"/>
                  <w:vAlign w:val="center"/>
                </w:tcPr>
                <w:p w14:paraId="5692E8B6">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lang w:val="en-US" w:eastAsia="zh-CN" w:bidi="ar"/>
                    </w:rPr>
                  </w:pPr>
                </w:p>
              </w:tc>
            </w:tr>
            <w:tr w14:paraId="2D52B6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329" w:type="pct"/>
                  <w:vMerge w:val="continue"/>
                  <w:tcBorders>
                    <w:tl2br w:val="nil"/>
                    <w:tr2bl w:val="nil"/>
                  </w:tcBorders>
                  <w:noWrap w:val="0"/>
                  <w:vAlign w:val="center"/>
                </w:tcPr>
                <w:p w14:paraId="3B910AE8">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p>
              </w:tc>
              <w:tc>
                <w:tcPr>
                  <w:tcW w:w="711" w:type="pct"/>
                  <w:tcBorders>
                    <w:tl2br w:val="nil"/>
                    <w:tr2bl w:val="nil"/>
                  </w:tcBorders>
                  <w:shd w:val="clear" w:color="auto" w:fill="auto"/>
                  <w:noWrap w:val="0"/>
                  <w:vAlign w:val="center"/>
                </w:tcPr>
                <w:p w14:paraId="74BA5379">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冷轧废气DA005</w:t>
                  </w:r>
                </w:p>
              </w:tc>
              <w:tc>
                <w:tcPr>
                  <w:tcW w:w="924" w:type="pct"/>
                  <w:tcBorders>
                    <w:tl2br w:val="nil"/>
                    <w:tr2bl w:val="nil"/>
                  </w:tcBorders>
                  <w:noWrap w:val="0"/>
                  <w:vAlign w:val="center"/>
                </w:tcPr>
                <w:p w14:paraId="36F7211B">
                  <w:pPr>
                    <w:keepNext w:val="0"/>
                    <w:keepLines w:val="0"/>
                    <w:widowControl/>
                    <w:suppressLineNumbers w:val="0"/>
                    <w:spacing w:line="240" w:lineRule="auto"/>
                    <w:ind w:firstLine="0" w:firstLineChars="0"/>
                    <w:jc w:val="center"/>
                    <w:rPr>
                      <w:rFonts w:hint="default" w:cs="Times New Roman"/>
                      <w:b w:val="0"/>
                      <w:bCs w:val="0"/>
                      <w:color w:val="auto"/>
                      <w:kern w:val="0"/>
                      <w:sz w:val="18"/>
                      <w:szCs w:val="18"/>
                      <w:lang w:val="en-US" w:eastAsia="zh-CN" w:bidi="ar"/>
                    </w:rPr>
                  </w:pPr>
                  <w:r>
                    <w:rPr>
                      <w:rFonts w:hint="eastAsia" w:cs="Times New Roman"/>
                      <w:b w:val="0"/>
                      <w:bCs w:val="0"/>
                      <w:color w:val="auto"/>
                      <w:kern w:val="0"/>
                      <w:sz w:val="18"/>
                      <w:szCs w:val="18"/>
                      <w:lang w:val="en-US" w:eastAsia="zh-CN" w:bidi="ar"/>
                    </w:rPr>
                    <w:t>油雾</w:t>
                  </w:r>
                </w:p>
              </w:tc>
              <w:tc>
                <w:tcPr>
                  <w:tcW w:w="974" w:type="pct"/>
                  <w:tcBorders>
                    <w:tl2br w:val="nil"/>
                    <w:tr2bl w:val="nil"/>
                  </w:tcBorders>
                  <w:noWrap w:val="0"/>
                  <w:vAlign w:val="center"/>
                </w:tcPr>
                <w:p w14:paraId="09C33E24">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20</w:t>
                  </w:r>
                </w:p>
              </w:tc>
              <w:tc>
                <w:tcPr>
                  <w:tcW w:w="2060" w:type="pct"/>
                  <w:vMerge w:val="continue"/>
                  <w:tcBorders>
                    <w:tl2br w:val="nil"/>
                    <w:tr2bl w:val="nil"/>
                  </w:tcBorders>
                  <w:noWrap w:val="0"/>
                  <w:vAlign w:val="center"/>
                </w:tcPr>
                <w:p w14:paraId="22D6903C">
                  <w:pPr>
                    <w:keepNext w:val="0"/>
                    <w:keepLines w:val="0"/>
                    <w:widowControl/>
                    <w:suppressLineNumbers w:val="0"/>
                    <w:spacing w:line="240" w:lineRule="auto"/>
                    <w:ind w:firstLine="0" w:firstLineChars="0"/>
                    <w:jc w:val="center"/>
                    <w:rPr>
                      <w:rFonts w:hint="eastAsia" w:eastAsia="宋体" w:cs="Times New Roman"/>
                      <w:color w:val="auto"/>
                      <w:kern w:val="2"/>
                      <w:sz w:val="18"/>
                      <w:szCs w:val="18"/>
                      <w:lang w:val="en-US" w:eastAsia="zh-CN" w:bidi="ar-SA"/>
                    </w:rPr>
                  </w:pPr>
                </w:p>
              </w:tc>
            </w:tr>
            <w:tr w14:paraId="489BA8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329" w:type="pct"/>
                  <w:vMerge w:val="continue"/>
                  <w:tcBorders>
                    <w:tl2br w:val="nil"/>
                    <w:tr2bl w:val="nil"/>
                  </w:tcBorders>
                  <w:noWrap w:val="0"/>
                  <w:vAlign w:val="center"/>
                </w:tcPr>
                <w:p w14:paraId="01F72D7C">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p>
              </w:tc>
              <w:tc>
                <w:tcPr>
                  <w:tcW w:w="711" w:type="pct"/>
                  <w:tcBorders>
                    <w:tl2br w:val="nil"/>
                    <w:tr2bl w:val="nil"/>
                  </w:tcBorders>
                  <w:shd w:val="clear" w:color="auto" w:fill="auto"/>
                  <w:noWrap w:val="0"/>
                  <w:vAlign w:val="center"/>
                </w:tcPr>
                <w:p w14:paraId="1456151B">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碱洗及碱洗后水洗废气DA006</w:t>
                  </w:r>
                </w:p>
              </w:tc>
              <w:tc>
                <w:tcPr>
                  <w:tcW w:w="924" w:type="pct"/>
                  <w:tcBorders>
                    <w:tl2br w:val="nil"/>
                    <w:tr2bl w:val="nil"/>
                  </w:tcBorders>
                  <w:noWrap w:val="0"/>
                  <w:vAlign w:val="center"/>
                </w:tcPr>
                <w:p w14:paraId="05EBE5FB">
                  <w:pPr>
                    <w:keepNext w:val="0"/>
                    <w:keepLines w:val="0"/>
                    <w:widowControl/>
                    <w:suppressLineNumbers w:val="0"/>
                    <w:spacing w:line="240" w:lineRule="auto"/>
                    <w:ind w:firstLine="0" w:firstLineChars="0"/>
                    <w:jc w:val="center"/>
                    <w:rPr>
                      <w:rFonts w:hint="default" w:cs="Times New Roman"/>
                      <w:b w:val="0"/>
                      <w:bCs w:val="0"/>
                      <w:color w:val="auto"/>
                      <w:kern w:val="0"/>
                      <w:sz w:val="18"/>
                      <w:szCs w:val="18"/>
                      <w:lang w:val="en-US" w:eastAsia="zh-CN" w:bidi="ar"/>
                    </w:rPr>
                  </w:pPr>
                  <w:r>
                    <w:rPr>
                      <w:rFonts w:hint="eastAsia" w:cs="Times New Roman"/>
                      <w:b w:val="0"/>
                      <w:bCs w:val="0"/>
                      <w:color w:val="auto"/>
                      <w:kern w:val="0"/>
                      <w:sz w:val="18"/>
                      <w:szCs w:val="18"/>
                      <w:lang w:val="en-US" w:eastAsia="zh-CN" w:bidi="ar"/>
                    </w:rPr>
                    <w:t>碱雾</w:t>
                  </w:r>
                </w:p>
              </w:tc>
              <w:tc>
                <w:tcPr>
                  <w:tcW w:w="974" w:type="pct"/>
                  <w:tcBorders>
                    <w:tl2br w:val="nil"/>
                    <w:tr2bl w:val="nil"/>
                  </w:tcBorders>
                  <w:noWrap w:val="0"/>
                  <w:vAlign w:val="center"/>
                </w:tcPr>
                <w:p w14:paraId="3A36C913">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10</w:t>
                  </w:r>
                </w:p>
              </w:tc>
              <w:tc>
                <w:tcPr>
                  <w:tcW w:w="2060" w:type="pct"/>
                  <w:vMerge w:val="continue"/>
                  <w:tcBorders>
                    <w:tl2br w:val="nil"/>
                    <w:tr2bl w:val="nil"/>
                  </w:tcBorders>
                  <w:noWrap w:val="0"/>
                  <w:vAlign w:val="center"/>
                </w:tcPr>
                <w:p w14:paraId="4816707A">
                  <w:pPr>
                    <w:keepNext w:val="0"/>
                    <w:keepLines w:val="0"/>
                    <w:widowControl/>
                    <w:suppressLineNumbers w:val="0"/>
                    <w:spacing w:line="240" w:lineRule="auto"/>
                    <w:ind w:firstLine="0" w:firstLineChars="0"/>
                    <w:jc w:val="center"/>
                    <w:rPr>
                      <w:rFonts w:hint="eastAsia" w:eastAsia="宋体" w:cs="Times New Roman"/>
                      <w:color w:val="auto"/>
                      <w:kern w:val="2"/>
                      <w:sz w:val="18"/>
                      <w:szCs w:val="18"/>
                      <w:lang w:val="en-US" w:eastAsia="zh-CN" w:bidi="ar-SA"/>
                    </w:rPr>
                  </w:pPr>
                </w:p>
              </w:tc>
            </w:tr>
            <w:tr w14:paraId="300127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329" w:type="pct"/>
                  <w:vMerge w:val="continue"/>
                  <w:tcBorders>
                    <w:tl2br w:val="nil"/>
                    <w:tr2bl w:val="nil"/>
                  </w:tcBorders>
                  <w:noWrap w:val="0"/>
                  <w:vAlign w:val="center"/>
                </w:tcPr>
                <w:p w14:paraId="212631DE">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p>
              </w:tc>
              <w:tc>
                <w:tcPr>
                  <w:tcW w:w="711" w:type="pct"/>
                  <w:tcBorders>
                    <w:tl2br w:val="nil"/>
                    <w:tr2bl w:val="nil"/>
                  </w:tcBorders>
                  <w:shd w:val="clear" w:color="auto" w:fill="auto"/>
                  <w:noWrap w:val="0"/>
                  <w:vAlign w:val="center"/>
                </w:tcPr>
                <w:p w14:paraId="06D9DDCC">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r>
                    <w:rPr>
                      <w:rFonts w:hint="eastAsia" w:cs="Times New Roman"/>
                      <w:color w:val="auto"/>
                      <w:kern w:val="0"/>
                      <w:sz w:val="18"/>
                      <w:szCs w:val="18"/>
                      <w:lang w:val="en-US" w:eastAsia="zh-CN" w:bidi="ar"/>
                    </w:rPr>
                    <w:t>硫酸酸洗及硫酸储罐废气</w:t>
                  </w:r>
                </w:p>
                <w:p w14:paraId="31461CEA">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DA009</w:t>
                  </w:r>
                </w:p>
              </w:tc>
              <w:tc>
                <w:tcPr>
                  <w:tcW w:w="924" w:type="pct"/>
                  <w:tcBorders>
                    <w:tl2br w:val="nil"/>
                    <w:tr2bl w:val="nil"/>
                  </w:tcBorders>
                  <w:noWrap w:val="0"/>
                  <w:vAlign w:val="center"/>
                </w:tcPr>
                <w:p w14:paraId="771C1B36">
                  <w:pPr>
                    <w:keepNext w:val="0"/>
                    <w:keepLines w:val="0"/>
                    <w:widowControl/>
                    <w:suppressLineNumbers w:val="0"/>
                    <w:spacing w:line="240" w:lineRule="auto"/>
                    <w:ind w:firstLine="0" w:firstLineChars="0"/>
                    <w:jc w:val="center"/>
                    <w:rPr>
                      <w:rFonts w:hint="default" w:cs="Times New Roman"/>
                      <w:b w:val="0"/>
                      <w:bCs w:val="0"/>
                      <w:color w:val="auto"/>
                      <w:kern w:val="0"/>
                      <w:sz w:val="18"/>
                      <w:szCs w:val="18"/>
                      <w:lang w:val="en-US" w:eastAsia="zh-CN" w:bidi="ar"/>
                    </w:rPr>
                  </w:pPr>
                  <w:r>
                    <w:rPr>
                      <w:rFonts w:hint="eastAsia" w:cs="Times New Roman"/>
                      <w:b w:val="0"/>
                      <w:bCs w:val="0"/>
                      <w:color w:val="auto"/>
                      <w:kern w:val="0"/>
                      <w:sz w:val="18"/>
                      <w:szCs w:val="18"/>
                      <w:lang w:val="en-US" w:eastAsia="zh-CN" w:bidi="ar"/>
                    </w:rPr>
                    <w:t>硫酸雾</w:t>
                  </w:r>
                </w:p>
              </w:tc>
              <w:tc>
                <w:tcPr>
                  <w:tcW w:w="974" w:type="pct"/>
                  <w:tcBorders>
                    <w:tl2br w:val="nil"/>
                    <w:tr2bl w:val="nil"/>
                  </w:tcBorders>
                  <w:noWrap w:val="0"/>
                  <w:vAlign w:val="center"/>
                </w:tcPr>
                <w:p w14:paraId="4D34D4F5">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10</w:t>
                  </w:r>
                </w:p>
              </w:tc>
              <w:tc>
                <w:tcPr>
                  <w:tcW w:w="2060" w:type="pct"/>
                  <w:vMerge w:val="continue"/>
                  <w:tcBorders>
                    <w:tl2br w:val="nil"/>
                    <w:tr2bl w:val="nil"/>
                  </w:tcBorders>
                  <w:noWrap w:val="0"/>
                  <w:vAlign w:val="center"/>
                </w:tcPr>
                <w:p w14:paraId="15189970">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lang w:val="en-US" w:eastAsia="zh-CN" w:bidi="ar"/>
                    </w:rPr>
                  </w:pPr>
                </w:p>
              </w:tc>
            </w:tr>
            <w:tr w14:paraId="5B3B18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329" w:type="pct"/>
                  <w:vMerge w:val="continue"/>
                  <w:tcBorders>
                    <w:tl2br w:val="nil"/>
                    <w:tr2bl w:val="nil"/>
                  </w:tcBorders>
                  <w:noWrap w:val="0"/>
                  <w:vAlign w:val="center"/>
                </w:tcPr>
                <w:p w14:paraId="3FE3CBEB">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p>
              </w:tc>
              <w:tc>
                <w:tcPr>
                  <w:tcW w:w="711" w:type="pct"/>
                  <w:tcBorders>
                    <w:tl2br w:val="nil"/>
                    <w:tr2bl w:val="nil"/>
                  </w:tcBorders>
                  <w:shd w:val="clear" w:color="auto" w:fill="auto"/>
                  <w:noWrap w:val="0"/>
                  <w:vAlign w:val="center"/>
                </w:tcPr>
                <w:p w14:paraId="3D06F339">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废酸再生氧化铁粉仓废气DA014</w:t>
                  </w:r>
                </w:p>
              </w:tc>
              <w:tc>
                <w:tcPr>
                  <w:tcW w:w="924" w:type="pct"/>
                  <w:tcBorders>
                    <w:tl2br w:val="nil"/>
                    <w:tr2bl w:val="nil"/>
                  </w:tcBorders>
                  <w:shd w:val="clear" w:color="auto" w:fill="auto"/>
                  <w:noWrap w:val="0"/>
                  <w:vAlign w:val="center"/>
                </w:tcPr>
                <w:p w14:paraId="048715C4">
                  <w:pPr>
                    <w:keepNext w:val="0"/>
                    <w:keepLines w:val="0"/>
                    <w:widowControl/>
                    <w:suppressLineNumbers w:val="0"/>
                    <w:spacing w:line="240" w:lineRule="auto"/>
                    <w:ind w:firstLine="0" w:firstLineChars="0"/>
                    <w:jc w:val="center"/>
                    <w:rPr>
                      <w:rFonts w:hint="eastAsia" w:ascii="Times New Roman" w:hAnsi="Times New Roman" w:eastAsia="宋体" w:cs="Times New Roman"/>
                      <w:b w:val="0"/>
                      <w:bCs w:val="0"/>
                      <w:color w:val="auto"/>
                      <w:kern w:val="0"/>
                      <w:sz w:val="18"/>
                      <w:szCs w:val="18"/>
                      <w:lang w:val="en-US" w:eastAsia="zh-CN" w:bidi="ar"/>
                    </w:rPr>
                  </w:pPr>
                  <w:r>
                    <w:rPr>
                      <w:rFonts w:hint="eastAsia" w:cs="Times New Roman"/>
                      <w:b w:val="0"/>
                      <w:bCs w:val="0"/>
                      <w:color w:val="auto"/>
                      <w:kern w:val="0"/>
                      <w:sz w:val="18"/>
                      <w:szCs w:val="18"/>
                      <w:lang w:val="en-US" w:eastAsia="zh-CN" w:bidi="ar"/>
                    </w:rPr>
                    <w:t>颗粒物</w:t>
                  </w:r>
                </w:p>
              </w:tc>
              <w:tc>
                <w:tcPr>
                  <w:tcW w:w="974" w:type="pct"/>
                  <w:tcBorders>
                    <w:tl2br w:val="nil"/>
                    <w:tr2bl w:val="nil"/>
                  </w:tcBorders>
                  <w:shd w:val="clear" w:color="auto" w:fill="auto"/>
                  <w:noWrap w:val="0"/>
                  <w:vAlign w:val="center"/>
                </w:tcPr>
                <w:p w14:paraId="3522A61D">
                  <w:pPr>
                    <w:keepNext w:val="0"/>
                    <w:keepLines w:val="0"/>
                    <w:widowControl/>
                    <w:suppressLineNumbers w:val="0"/>
                    <w:spacing w:line="240" w:lineRule="auto"/>
                    <w:ind w:firstLine="0" w:firstLineChars="0"/>
                    <w:jc w:val="center"/>
                    <w:rPr>
                      <w:rFonts w:hint="eastAsia" w:ascii="Times New Roman" w:hAnsi="Times New Roman" w:eastAsia="宋体" w:cs="Times New Roman"/>
                      <w:color w:val="auto"/>
                      <w:kern w:val="0"/>
                      <w:sz w:val="18"/>
                      <w:szCs w:val="18"/>
                      <w:lang w:val="en-US" w:eastAsia="zh-CN" w:bidi="ar"/>
                    </w:rPr>
                  </w:pPr>
                  <w:r>
                    <w:rPr>
                      <w:rFonts w:hint="eastAsia" w:cs="Times New Roman"/>
                      <w:color w:val="auto"/>
                      <w:kern w:val="0"/>
                      <w:sz w:val="18"/>
                      <w:szCs w:val="18"/>
                      <w:lang w:val="en-US" w:eastAsia="zh-CN" w:bidi="ar"/>
                    </w:rPr>
                    <w:t>30</w:t>
                  </w:r>
                </w:p>
              </w:tc>
              <w:tc>
                <w:tcPr>
                  <w:tcW w:w="2060" w:type="pct"/>
                  <w:vMerge w:val="continue"/>
                  <w:tcBorders>
                    <w:tl2br w:val="nil"/>
                    <w:tr2bl w:val="nil"/>
                  </w:tcBorders>
                  <w:noWrap w:val="0"/>
                  <w:vAlign w:val="center"/>
                </w:tcPr>
                <w:p w14:paraId="1539E7FB">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lang w:val="en-US" w:eastAsia="zh-CN" w:bidi="ar"/>
                    </w:rPr>
                  </w:pPr>
                </w:p>
              </w:tc>
            </w:tr>
            <w:tr w14:paraId="13D70B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329" w:type="pct"/>
                  <w:vMerge w:val="continue"/>
                  <w:tcBorders>
                    <w:tl2br w:val="nil"/>
                    <w:tr2bl w:val="nil"/>
                  </w:tcBorders>
                  <w:noWrap w:val="0"/>
                  <w:vAlign w:val="center"/>
                </w:tcPr>
                <w:p w14:paraId="44D38534">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p>
              </w:tc>
              <w:tc>
                <w:tcPr>
                  <w:tcW w:w="711" w:type="pct"/>
                  <w:vMerge w:val="restart"/>
                  <w:tcBorders>
                    <w:tl2br w:val="nil"/>
                    <w:tr2bl w:val="nil"/>
                  </w:tcBorders>
                  <w:shd w:val="clear" w:color="auto" w:fill="auto"/>
                  <w:noWrap w:val="0"/>
                  <w:vAlign w:val="center"/>
                </w:tcPr>
                <w:p w14:paraId="51872027">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r>
                    <w:rPr>
                      <w:rFonts w:hint="eastAsia" w:cs="Times New Roman"/>
                      <w:color w:val="auto"/>
                      <w:kern w:val="0"/>
                      <w:sz w:val="18"/>
                      <w:szCs w:val="18"/>
                      <w:lang w:val="en-US" w:eastAsia="zh-CN" w:bidi="ar"/>
                    </w:rPr>
                    <w:t>废酸再生焙烧炉废气</w:t>
                  </w:r>
                </w:p>
                <w:p w14:paraId="27A74354">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DA013</w:t>
                  </w:r>
                </w:p>
              </w:tc>
              <w:tc>
                <w:tcPr>
                  <w:tcW w:w="924" w:type="pct"/>
                  <w:tcBorders>
                    <w:tl2br w:val="nil"/>
                    <w:tr2bl w:val="nil"/>
                  </w:tcBorders>
                  <w:shd w:val="clear" w:color="auto" w:fill="auto"/>
                  <w:noWrap w:val="0"/>
                  <w:vAlign w:val="center"/>
                </w:tcPr>
                <w:p w14:paraId="2FCFA772">
                  <w:pPr>
                    <w:keepNext w:val="0"/>
                    <w:keepLines w:val="0"/>
                    <w:widowControl/>
                    <w:suppressLineNumbers w:val="0"/>
                    <w:spacing w:line="240" w:lineRule="auto"/>
                    <w:ind w:firstLine="0" w:firstLineChars="0"/>
                    <w:jc w:val="center"/>
                    <w:rPr>
                      <w:rFonts w:hint="eastAsia" w:ascii="Times New Roman" w:hAnsi="Times New Roman" w:eastAsia="宋体" w:cs="Times New Roman"/>
                      <w:b w:val="0"/>
                      <w:bCs w:val="0"/>
                      <w:color w:val="auto"/>
                      <w:kern w:val="0"/>
                      <w:sz w:val="18"/>
                      <w:szCs w:val="18"/>
                      <w:lang w:val="en-US" w:eastAsia="zh-CN" w:bidi="ar"/>
                    </w:rPr>
                  </w:pPr>
                  <w:r>
                    <w:rPr>
                      <w:rFonts w:hint="eastAsia" w:cs="Times New Roman"/>
                      <w:b w:val="0"/>
                      <w:bCs w:val="0"/>
                      <w:color w:val="auto"/>
                      <w:kern w:val="0"/>
                      <w:sz w:val="18"/>
                      <w:szCs w:val="18"/>
                      <w:lang w:val="en-US" w:eastAsia="zh-CN" w:bidi="ar"/>
                    </w:rPr>
                    <w:t>氯化氢</w:t>
                  </w:r>
                </w:p>
              </w:tc>
              <w:tc>
                <w:tcPr>
                  <w:tcW w:w="974" w:type="pct"/>
                  <w:tcBorders>
                    <w:tl2br w:val="nil"/>
                    <w:tr2bl w:val="nil"/>
                  </w:tcBorders>
                  <w:noWrap w:val="0"/>
                  <w:vAlign w:val="center"/>
                </w:tcPr>
                <w:p w14:paraId="592FEF50">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30</w:t>
                  </w:r>
                </w:p>
              </w:tc>
              <w:tc>
                <w:tcPr>
                  <w:tcW w:w="2060" w:type="pct"/>
                  <w:vMerge w:val="continue"/>
                  <w:tcBorders>
                    <w:tl2br w:val="nil"/>
                    <w:tr2bl w:val="nil"/>
                  </w:tcBorders>
                  <w:noWrap w:val="0"/>
                  <w:vAlign w:val="center"/>
                </w:tcPr>
                <w:p w14:paraId="5DAA2DDF">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lang w:val="en-US" w:eastAsia="zh-CN" w:bidi="ar"/>
                    </w:rPr>
                  </w:pPr>
                </w:p>
              </w:tc>
            </w:tr>
            <w:tr w14:paraId="144578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329" w:type="pct"/>
                  <w:vMerge w:val="continue"/>
                  <w:tcBorders>
                    <w:tl2br w:val="nil"/>
                    <w:tr2bl w:val="nil"/>
                  </w:tcBorders>
                  <w:noWrap w:val="0"/>
                  <w:vAlign w:val="center"/>
                </w:tcPr>
                <w:p w14:paraId="3F2F8189">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p>
              </w:tc>
              <w:tc>
                <w:tcPr>
                  <w:tcW w:w="711" w:type="pct"/>
                  <w:vMerge w:val="continue"/>
                  <w:tcBorders>
                    <w:tl2br w:val="nil"/>
                    <w:tr2bl w:val="nil"/>
                  </w:tcBorders>
                  <w:shd w:val="clear" w:color="auto" w:fill="auto"/>
                  <w:noWrap w:val="0"/>
                  <w:vAlign w:val="center"/>
                </w:tcPr>
                <w:p w14:paraId="41FFE2A7">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p>
              </w:tc>
              <w:tc>
                <w:tcPr>
                  <w:tcW w:w="924" w:type="pct"/>
                  <w:tcBorders>
                    <w:tl2br w:val="nil"/>
                    <w:tr2bl w:val="nil"/>
                  </w:tcBorders>
                  <w:shd w:val="clear" w:color="auto" w:fill="auto"/>
                  <w:noWrap w:val="0"/>
                  <w:vAlign w:val="center"/>
                </w:tcPr>
                <w:p w14:paraId="1F28C431">
                  <w:pPr>
                    <w:keepNext w:val="0"/>
                    <w:keepLines w:val="0"/>
                    <w:widowControl/>
                    <w:suppressLineNumbers w:val="0"/>
                    <w:spacing w:line="240" w:lineRule="auto"/>
                    <w:ind w:firstLine="0" w:firstLineChars="0"/>
                    <w:jc w:val="center"/>
                    <w:rPr>
                      <w:rFonts w:hint="default" w:cs="Times New Roman"/>
                      <w:b w:val="0"/>
                      <w:bCs w:val="0"/>
                      <w:color w:val="auto"/>
                      <w:kern w:val="0"/>
                      <w:sz w:val="18"/>
                      <w:szCs w:val="18"/>
                      <w:lang w:val="en-US" w:eastAsia="zh-CN" w:bidi="ar"/>
                    </w:rPr>
                  </w:pPr>
                  <w:r>
                    <w:rPr>
                      <w:rFonts w:hint="eastAsia" w:cs="Times New Roman"/>
                      <w:b w:val="0"/>
                      <w:bCs w:val="0"/>
                      <w:color w:val="auto"/>
                      <w:kern w:val="0"/>
                      <w:sz w:val="18"/>
                      <w:szCs w:val="18"/>
                      <w:lang w:val="en-US" w:eastAsia="zh-CN" w:bidi="ar"/>
                    </w:rPr>
                    <w:t>颗粒物</w:t>
                  </w:r>
                </w:p>
              </w:tc>
              <w:tc>
                <w:tcPr>
                  <w:tcW w:w="974" w:type="pct"/>
                  <w:tcBorders>
                    <w:tl2br w:val="nil"/>
                    <w:tr2bl w:val="nil"/>
                  </w:tcBorders>
                  <w:noWrap w:val="0"/>
                  <w:vAlign w:val="center"/>
                </w:tcPr>
                <w:p w14:paraId="10DB718B">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30</w:t>
                  </w:r>
                </w:p>
              </w:tc>
              <w:tc>
                <w:tcPr>
                  <w:tcW w:w="2060" w:type="pct"/>
                  <w:vMerge w:val="restart"/>
                  <w:tcBorders>
                    <w:tl2br w:val="nil"/>
                    <w:tr2bl w:val="nil"/>
                  </w:tcBorders>
                  <w:noWrap w:val="0"/>
                  <w:vAlign w:val="center"/>
                </w:tcPr>
                <w:p w14:paraId="5DFB5B8E">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lang w:val="en-US" w:eastAsia="zh-CN" w:bidi="ar"/>
                    </w:rPr>
                  </w:pPr>
                  <w:r>
                    <w:rPr>
                      <w:rFonts w:hint="eastAsia" w:cs="Times New Roman"/>
                      <w:color w:val="auto"/>
                      <w:kern w:val="0"/>
                      <w:sz w:val="18"/>
                      <w:szCs w:val="18"/>
                      <w:lang w:val="en-US" w:eastAsia="zh-CN" w:bidi="ar"/>
                    </w:rPr>
                    <w:t>《工业炉窑大气污染物排放标准》（GB9078-1996）表2及</w:t>
                  </w:r>
                  <w:r>
                    <w:rPr>
                      <w:rFonts w:hint="default" w:ascii="Times New Roman" w:hAnsi="Times New Roman" w:eastAsia="宋体" w:cs="Times New Roman"/>
                      <w:color w:val="auto"/>
                      <w:kern w:val="0"/>
                      <w:sz w:val="18"/>
                      <w:szCs w:val="18"/>
                      <w:lang w:val="en-US" w:eastAsia="zh-CN" w:bidi="ar"/>
                    </w:rPr>
                    <w:t>《新疆维吾尔自治区工业炉窑大气污染综合治理实施方案》</w:t>
                  </w:r>
                  <w:r>
                    <w:rPr>
                      <w:rFonts w:hint="eastAsia" w:cs="Times New Roman"/>
                      <w:color w:val="auto"/>
                      <w:kern w:val="0"/>
                      <w:sz w:val="18"/>
                      <w:szCs w:val="18"/>
                      <w:lang w:val="en-US" w:eastAsia="zh-CN" w:bidi="ar"/>
                    </w:rPr>
                    <w:t>（新大气发[2019]127号）重点区域排放限值</w:t>
                  </w:r>
                </w:p>
              </w:tc>
            </w:tr>
            <w:tr w14:paraId="44D32D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9" w:type="pct"/>
                  <w:vMerge w:val="continue"/>
                  <w:tcBorders>
                    <w:tl2br w:val="nil"/>
                    <w:tr2bl w:val="nil"/>
                  </w:tcBorders>
                  <w:noWrap w:val="0"/>
                  <w:vAlign w:val="center"/>
                </w:tcPr>
                <w:p w14:paraId="23F71AA3">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p>
              </w:tc>
              <w:tc>
                <w:tcPr>
                  <w:tcW w:w="711" w:type="pct"/>
                  <w:vMerge w:val="continue"/>
                  <w:tcBorders>
                    <w:tl2br w:val="nil"/>
                    <w:tr2bl w:val="nil"/>
                  </w:tcBorders>
                  <w:shd w:val="clear" w:color="auto" w:fill="auto"/>
                  <w:noWrap w:val="0"/>
                  <w:vAlign w:val="center"/>
                </w:tcPr>
                <w:p w14:paraId="6115E7B5">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p>
              </w:tc>
              <w:tc>
                <w:tcPr>
                  <w:tcW w:w="924" w:type="pct"/>
                  <w:tcBorders>
                    <w:tl2br w:val="nil"/>
                    <w:tr2bl w:val="nil"/>
                  </w:tcBorders>
                  <w:shd w:val="clear" w:color="auto" w:fill="auto"/>
                  <w:noWrap w:val="0"/>
                  <w:vAlign w:val="center"/>
                </w:tcPr>
                <w:p w14:paraId="126755CF">
                  <w:pPr>
                    <w:keepNext w:val="0"/>
                    <w:keepLines w:val="0"/>
                    <w:widowControl/>
                    <w:suppressLineNumbers w:val="0"/>
                    <w:spacing w:line="240" w:lineRule="auto"/>
                    <w:ind w:firstLine="0" w:firstLineChars="0"/>
                    <w:jc w:val="center"/>
                    <w:rPr>
                      <w:rFonts w:hint="eastAsia" w:ascii="Times New Roman" w:hAnsi="Times New Roman" w:eastAsia="宋体" w:cs="Times New Roman"/>
                      <w:b w:val="0"/>
                      <w:bCs w:val="0"/>
                      <w:color w:val="auto"/>
                      <w:kern w:val="0"/>
                      <w:sz w:val="18"/>
                      <w:szCs w:val="18"/>
                      <w:lang w:val="en-US" w:eastAsia="zh-CN" w:bidi="ar"/>
                    </w:rPr>
                  </w:pPr>
                  <w:r>
                    <w:rPr>
                      <w:rFonts w:hint="eastAsia" w:cs="Times New Roman"/>
                      <w:b w:val="0"/>
                      <w:bCs w:val="0"/>
                      <w:color w:val="auto"/>
                      <w:kern w:val="0"/>
                      <w:sz w:val="18"/>
                      <w:szCs w:val="18"/>
                      <w:lang w:val="en-US" w:eastAsia="zh-CN" w:bidi="ar"/>
                    </w:rPr>
                    <w:t>二氧化硫</w:t>
                  </w:r>
                </w:p>
              </w:tc>
              <w:tc>
                <w:tcPr>
                  <w:tcW w:w="974" w:type="pct"/>
                  <w:tcBorders>
                    <w:tl2br w:val="nil"/>
                    <w:tr2bl w:val="nil"/>
                  </w:tcBorders>
                  <w:noWrap w:val="0"/>
                  <w:vAlign w:val="center"/>
                </w:tcPr>
                <w:p w14:paraId="74C3C18E">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200</w:t>
                  </w:r>
                </w:p>
              </w:tc>
              <w:tc>
                <w:tcPr>
                  <w:tcW w:w="2060" w:type="pct"/>
                  <w:vMerge w:val="continue"/>
                  <w:tcBorders>
                    <w:tl2br w:val="nil"/>
                    <w:tr2bl w:val="nil"/>
                  </w:tcBorders>
                  <w:noWrap w:val="0"/>
                  <w:vAlign w:val="center"/>
                </w:tcPr>
                <w:p w14:paraId="018994E5">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lang w:val="en-US" w:eastAsia="zh-CN" w:bidi="ar"/>
                    </w:rPr>
                  </w:pPr>
                </w:p>
              </w:tc>
            </w:tr>
            <w:tr w14:paraId="6F28FD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329" w:type="pct"/>
                  <w:vMerge w:val="continue"/>
                  <w:tcBorders>
                    <w:tl2br w:val="nil"/>
                    <w:tr2bl w:val="nil"/>
                  </w:tcBorders>
                  <w:noWrap w:val="0"/>
                  <w:vAlign w:val="center"/>
                </w:tcPr>
                <w:p w14:paraId="1A95E7BA">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p>
              </w:tc>
              <w:tc>
                <w:tcPr>
                  <w:tcW w:w="711" w:type="pct"/>
                  <w:vMerge w:val="continue"/>
                  <w:tcBorders>
                    <w:tl2br w:val="nil"/>
                    <w:tr2bl w:val="nil"/>
                  </w:tcBorders>
                  <w:shd w:val="clear" w:color="auto" w:fill="auto"/>
                  <w:noWrap w:val="0"/>
                  <w:vAlign w:val="center"/>
                </w:tcPr>
                <w:p w14:paraId="64537360">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p>
              </w:tc>
              <w:tc>
                <w:tcPr>
                  <w:tcW w:w="924" w:type="pct"/>
                  <w:tcBorders>
                    <w:tl2br w:val="nil"/>
                    <w:tr2bl w:val="nil"/>
                  </w:tcBorders>
                  <w:shd w:val="clear" w:color="auto" w:fill="auto"/>
                  <w:noWrap w:val="0"/>
                  <w:vAlign w:val="center"/>
                </w:tcPr>
                <w:p w14:paraId="08B03F66">
                  <w:pPr>
                    <w:keepNext w:val="0"/>
                    <w:keepLines w:val="0"/>
                    <w:widowControl/>
                    <w:suppressLineNumbers w:val="0"/>
                    <w:spacing w:line="240" w:lineRule="auto"/>
                    <w:ind w:firstLine="0" w:firstLineChars="0"/>
                    <w:jc w:val="center"/>
                    <w:rPr>
                      <w:rFonts w:hint="eastAsia" w:ascii="Times New Roman" w:hAnsi="Times New Roman" w:eastAsia="宋体" w:cs="Times New Roman"/>
                      <w:b w:val="0"/>
                      <w:bCs w:val="0"/>
                      <w:color w:val="auto"/>
                      <w:kern w:val="0"/>
                      <w:sz w:val="18"/>
                      <w:szCs w:val="18"/>
                      <w:lang w:val="en-US" w:eastAsia="zh-CN" w:bidi="ar"/>
                    </w:rPr>
                  </w:pPr>
                  <w:r>
                    <w:rPr>
                      <w:rFonts w:hint="eastAsia" w:cs="Times New Roman"/>
                      <w:b w:val="0"/>
                      <w:bCs w:val="0"/>
                      <w:color w:val="auto"/>
                      <w:kern w:val="0"/>
                      <w:sz w:val="18"/>
                      <w:szCs w:val="18"/>
                      <w:lang w:val="en-US" w:eastAsia="zh-CN" w:bidi="ar"/>
                    </w:rPr>
                    <w:t>氮氧化物</w:t>
                  </w:r>
                </w:p>
              </w:tc>
              <w:tc>
                <w:tcPr>
                  <w:tcW w:w="974" w:type="pct"/>
                  <w:tcBorders>
                    <w:tl2br w:val="nil"/>
                    <w:tr2bl w:val="nil"/>
                  </w:tcBorders>
                  <w:noWrap w:val="0"/>
                  <w:vAlign w:val="center"/>
                </w:tcPr>
                <w:p w14:paraId="36D47BB4">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300</w:t>
                  </w:r>
                </w:p>
              </w:tc>
              <w:tc>
                <w:tcPr>
                  <w:tcW w:w="2060" w:type="pct"/>
                  <w:vMerge w:val="continue"/>
                  <w:tcBorders>
                    <w:tl2br w:val="nil"/>
                    <w:tr2bl w:val="nil"/>
                  </w:tcBorders>
                  <w:noWrap w:val="0"/>
                  <w:vAlign w:val="center"/>
                </w:tcPr>
                <w:p w14:paraId="2E22FD2B">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lang w:val="en-US" w:eastAsia="zh-CN" w:bidi="ar"/>
                    </w:rPr>
                  </w:pPr>
                </w:p>
              </w:tc>
            </w:tr>
            <w:tr w14:paraId="7B337E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329" w:type="pct"/>
                  <w:vMerge w:val="restart"/>
                  <w:tcBorders>
                    <w:tl2br w:val="nil"/>
                    <w:tr2bl w:val="nil"/>
                  </w:tcBorders>
                  <w:noWrap w:val="0"/>
                  <w:vAlign w:val="center"/>
                </w:tcPr>
                <w:p w14:paraId="156AE65B">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r>
                    <w:rPr>
                      <w:rFonts w:hint="eastAsia" w:cs="Times New Roman"/>
                      <w:color w:val="auto"/>
                      <w:kern w:val="0"/>
                      <w:sz w:val="18"/>
                      <w:szCs w:val="18"/>
                      <w:lang w:val="en-US" w:eastAsia="zh-CN" w:bidi="ar"/>
                    </w:rPr>
                    <w:t>无组织废气</w:t>
                  </w:r>
                </w:p>
              </w:tc>
              <w:tc>
                <w:tcPr>
                  <w:tcW w:w="711" w:type="pct"/>
                  <w:vMerge w:val="restart"/>
                  <w:tcBorders>
                    <w:tl2br w:val="nil"/>
                    <w:tr2bl w:val="nil"/>
                  </w:tcBorders>
                  <w:noWrap w:val="0"/>
                  <w:vAlign w:val="center"/>
                </w:tcPr>
                <w:p w14:paraId="5B42B556">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生产车间</w:t>
                  </w:r>
                </w:p>
              </w:tc>
              <w:tc>
                <w:tcPr>
                  <w:tcW w:w="924" w:type="pct"/>
                  <w:tcBorders>
                    <w:tl2br w:val="nil"/>
                    <w:tr2bl w:val="nil"/>
                  </w:tcBorders>
                  <w:noWrap w:val="0"/>
                  <w:vAlign w:val="center"/>
                </w:tcPr>
                <w:p w14:paraId="19A015E5">
                  <w:pPr>
                    <w:keepNext w:val="0"/>
                    <w:keepLines w:val="0"/>
                    <w:widowControl/>
                    <w:suppressLineNumbers w:val="0"/>
                    <w:spacing w:line="240" w:lineRule="auto"/>
                    <w:ind w:firstLine="0" w:firstLineChars="0"/>
                    <w:jc w:val="center"/>
                    <w:rPr>
                      <w:rFonts w:hint="default" w:cs="Times New Roman"/>
                      <w:b w:val="0"/>
                      <w:bCs w:val="0"/>
                      <w:color w:val="auto"/>
                      <w:kern w:val="0"/>
                      <w:sz w:val="18"/>
                      <w:szCs w:val="18"/>
                      <w:lang w:val="en-US" w:eastAsia="zh-CN" w:bidi="ar"/>
                    </w:rPr>
                  </w:pPr>
                  <w:r>
                    <w:rPr>
                      <w:rFonts w:hint="eastAsia" w:cs="Times New Roman"/>
                      <w:b w:val="0"/>
                      <w:bCs w:val="0"/>
                      <w:color w:val="auto"/>
                      <w:kern w:val="0"/>
                      <w:sz w:val="18"/>
                      <w:szCs w:val="18"/>
                      <w:lang w:val="en-US" w:eastAsia="zh-CN" w:bidi="ar"/>
                    </w:rPr>
                    <w:t>颗粒物</w:t>
                  </w:r>
                </w:p>
              </w:tc>
              <w:tc>
                <w:tcPr>
                  <w:tcW w:w="974" w:type="pct"/>
                  <w:tcBorders>
                    <w:tl2br w:val="nil"/>
                    <w:tr2bl w:val="nil"/>
                  </w:tcBorders>
                  <w:noWrap w:val="0"/>
                  <w:vAlign w:val="center"/>
                </w:tcPr>
                <w:p w14:paraId="58525037">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5</w:t>
                  </w:r>
                </w:p>
              </w:tc>
              <w:tc>
                <w:tcPr>
                  <w:tcW w:w="2060" w:type="pct"/>
                  <w:vMerge w:val="restart"/>
                  <w:tcBorders>
                    <w:tl2br w:val="nil"/>
                    <w:tr2bl w:val="nil"/>
                  </w:tcBorders>
                  <w:noWrap w:val="0"/>
                  <w:vAlign w:val="center"/>
                </w:tcPr>
                <w:p w14:paraId="7550BEC7">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lang w:val="en-US" w:eastAsia="zh-CN" w:bidi="ar"/>
                    </w:rPr>
                  </w:pPr>
                  <w:r>
                    <w:rPr>
                      <w:rFonts w:hint="eastAsia" w:eastAsia="宋体" w:cs="Times New Roman"/>
                      <w:color w:val="auto"/>
                      <w:kern w:val="2"/>
                      <w:sz w:val="18"/>
                      <w:szCs w:val="18"/>
                      <w:lang w:val="en-US" w:eastAsia="zh-CN" w:bidi="ar-SA"/>
                    </w:rPr>
                    <w:t>《</w:t>
                  </w:r>
                  <w:r>
                    <w:rPr>
                      <w:rFonts w:hint="eastAsia" w:cs="Times New Roman"/>
                      <w:color w:val="auto"/>
                      <w:kern w:val="2"/>
                      <w:sz w:val="18"/>
                      <w:szCs w:val="18"/>
                      <w:lang w:val="en-US" w:eastAsia="zh-CN" w:bidi="ar-SA"/>
                    </w:rPr>
                    <w:t>轧钢</w:t>
                  </w:r>
                  <w:r>
                    <w:rPr>
                      <w:rFonts w:hint="eastAsia" w:eastAsia="宋体" w:cs="Times New Roman"/>
                      <w:color w:val="auto"/>
                      <w:kern w:val="2"/>
                      <w:sz w:val="18"/>
                      <w:szCs w:val="18"/>
                      <w:lang w:val="en-US" w:eastAsia="zh-CN" w:bidi="ar-SA"/>
                    </w:rPr>
                    <w:t>工业大气污染物排放标准》（GB2866</w:t>
                  </w:r>
                  <w:r>
                    <w:rPr>
                      <w:rFonts w:hint="eastAsia" w:cs="Times New Roman"/>
                      <w:color w:val="auto"/>
                      <w:kern w:val="2"/>
                      <w:sz w:val="18"/>
                      <w:szCs w:val="18"/>
                      <w:lang w:val="en-US" w:eastAsia="zh-CN" w:bidi="ar-SA"/>
                    </w:rPr>
                    <w:t>5</w:t>
                  </w:r>
                  <w:r>
                    <w:rPr>
                      <w:rFonts w:hint="eastAsia" w:eastAsia="宋体" w:cs="Times New Roman"/>
                      <w:color w:val="auto"/>
                      <w:kern w:val="2"/>
                      <w:sz w:val="18"/>
                      <w:szCs w:val="18"/>
                      <w:lang w:val="en-US" w:eastAsia="zh-CN" w:bidi="ar-SA"/>
                    </w:rPr>
                    <w:t>-2012）</w:t>
                  </w:r>
                  <w:r>
                    <w:rPr>
                      <w:rFonts w:hint="eastAsia" w:cs="Times New Roman"/>
                      <w:color w:val="auto"/>
                      <w:kern w:val="2"/>
                      <w:sz w:val="18"/>
                      <w:szCs w:val="18"/>
                      <w:lang w:val="en-US" w:eastAsia="zh-CN" w:bidi="ar-SA"/>
                    </w:rPr>
                    <w:t>及其修改单</w:t>
                  </w:r>
                  <w:r>
                    <w:rPr>
                      <w:rFonts w:hint="eastAsia" w:eastAsia="宋体" w:cs="Times New Roman"/>
                      <w:color w:val="auto"/>
                      <w:kern w:val="2"/>
                      <w:sz w:val="18"/>
                      <w:szCs w:val="18"/>
                      <w:lang w:val="en-US" w:eastAsia="zh-CN" w:bidi="ar-SA"/>
                    </w:rPr>
                    <w:t>表</w:t>
                  </w:r>
                  <w:r>
                    <w:rPr>
                      <w:rFonts w:hint="eastAsia" w:cs="Times New Roman"/>
                      <w:color w:val="auto"/>
                      <w:kern w:val="2"/>
                      <w:sz w:val="18"/>
                      <w:szCs w:val="18"/>
                      <w:lang w:val="en-US" w:eastAsia="zh-CN" w:bidi="ar-SA"/>
                    </w:rPr>
                    <w:t>4</w:t>
                  </w:r>
                </w:p>
              </w:tc>
            </w:tr>
            <w:tr w14:paraId="0589D7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329" w:type="pct"/>
                  <w:vMerge w:val="continue"/>
                  <w:tcBorders>
                    <w:tl2br w:val="nil"/>
                    <w:tr2bl w:val="nil"/>
                  </w:tcBorders>
                  <w:noWrap w:val="0"/>
                  <w:vAlign w:val="center"/>
                </w:tcPr>
                <w:p w14:paraId="52E14405">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p>
              </w:tc>
              <w:tc>
                <w:tcPr>
                  <w:tcW w:w="711" w:type="pct"/>
                  <w:vMerge w:val="continue"/>
                  <w:tcBorders>
                    <w:tl2br w:val="nil"/>
                    <w:tr2bl w:val="nil"/>
                  </w:tcBorders>
                  <w:noWrap w:val="0"/>
                  <w:vAlign w:val="center"/>
                </w:tcPr>
                <w:p w14:paraId="64DB7107">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p>
              </w:tc>
              <w:tc>
                <w:tcPr>
                  <w:tcW w:w="924" w:type="pct"/>
                  <w:tcBorders>
                    <w:tl2br w:val="nil"/>
                    <w:tr2bl w:val="nil"/>
                  </w:tcBorders>
                  <w:shd w:val="clear" w:color="auto" w:fill="auto"/>
                  <w:noWrap w:val="0"/>
                  <w:vAlign w:val="center"/>
                </w:tcPr>
                <w:p w14:paraId="6CD01316">
                  <w:pPr>
                    <w:keepNext w:val="0"/>
                    <w:keepLines w:val="0"/>
                    <w:widowControl/>
                    <w:suppressLineNumbers w:val="0"/>
                    <w:spacing w:line="240" w:lineRule="auto"/>
                    <w:ind w:firstLine="0" w:firstLineChars="0"/>
                    <w:jc w:val="center"/>
                    <w:rPr>
                      <w:rFonts w:hint="default" w:ascii="Times New Roman" w:hAnsi="Times New Roman" w:eastAsia="宋体" w:cs="Times New Roman"/>
                      <w:b w:val="0"/>
                      <w:bCs w:val="0"/>
                      <w:color w:val="auto"/>
                      <w:kern w:val="0"/>
                      <w:sz w:val="18"/>
                      <w:szCs w:val="18"/>
                      <w:lang w:val="en-US" w:eastAsia="zh-CN" w:bidi="ar"/>
                    </w:rPr>
                  </w:pPr>
                  <w:r>
                    <w:rPr>
                      <w:rFonts w:hint="eastAsia" w:cs="Times New Roman"/>
                      <w:b w:val="0"/>
                      <w:bCs w:val="0"/>
                      <w:color w:val="auto"/>
                      <w:kern w:val="0"/>
                      <w:sz w:val="18"/>
                      <w:szCs w:val="18"/>
                      <w:lang w:val="en-US" w:eastAsia="zh-CN" w:bidi="ar"/>
                    </w:rPr>
                    <w:t>氯化氢</w:t>
                  </w:r>
                </w:p>
              </w:tc>
              <w:tc>
                <w:tcPr>
                  <w:tcW w:w="974" w:type="pct"/>
                  <w:tcBorders>
                    <w:tl2br w:val="nil"/>
                    <w:tr2bl w:val="nil"/>
                  </w:tcBorders>
                  <w:noWrap w:val="0"/>
                  <w:vAlign w:val="center"/>
                </w:tcPr>
                <w:p w14:paraId="03F8CAC5">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0.2</w:t>
                  </w:r>
                </w:p>
              </w:tc>
              <w:tc>
                <w:tcPr>
                  <w:tcW w:w="2060" w:type="pct"/>
                  <w:vMerge w:val="continue"/>
                  <w:tcBorders>
                    <w:tl2br w:val="nil"/>
                    <w:tr2bl w:val="nil"/>
                  </w:tcBorders>
                  <w:noWrap w:val="0"/>
                  <w:vAlign w:val="center"/>
                </w:tcPr>
                <w:p w14:paraId="2AC2DE72">
                  <w:pPr>
                    <w:keepNext w:val="0"/>
                    <w:keepLines w:val="0"/>
                    <w:widowControl/>
                    <w:suppressLineNumbers w:val="0"/>
                    <w:spacing w:line="240" w:lineRule="auto"/>
                    <w:ind w:firstLine="0" w:firstLineChars="0"/>
                    <w:jc w:val="center"/>
                    <w:rPr>
                      <w:rFonts w:hint="eastAsia" w:eastAsia="宋体" w:cs="Times New Roman"/>
                      <w:color w:val="auto"/>
                      <w:kern w:val="2"/>
                      <w:sz w:val="18"/>
                      <w:szCs w:val="18"/>
                      <w:lang w:val="en-US" w:eastAsia="zh-CN" w:bidi="ar-SA"/>
                    </w:rPr>
                  </w:pPr>
                </w:p>
              </w:tc>
            </w:tr>
            <w:tr w14:paraId="59BF1E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329" w:type="pct"/>
                  <w:vMerge w:val="continue"/>
                  <w:tcBorders>
                    <w:tl2br w:val="nil"/>
                    <w:tr2bl w:val="nil"/>
                  </w:tcBorders>
                  <w:noWrap w:val="0"/>
                  <w:vAlign w:val="center"/>
                </w:tcPr>
                <w:p w14:paraId="3795DB33">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p>
              </w:tc>
              <w:tc>
                <w:tcPr>
                  <w:tcW w:w="711" w:type="pct"/>
                  <w:vMerge w:val="continue"/>
                  <w:tcBorders>
                    <w:tl2br w:val="nil"/>
                    <w:tr2bl w:val="nil"/>
                  </w:tcBorders>
                  <w:noWrap w:val="0"/>
                  <w:vAlign w:val="center"/>
                </w:tcPr>
                <w:p w14:paraId="68E99991">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p>
              </w:tc>
              <w:tc>
                <w:tcPr>
                  <w:tcW w:w="924" w:type="pct"/>
                  <w:tcBorders>
                    <w:tl2br w:val="nil"/>
                    <w:tr2bl w:val="nil"/>
                  </w:tcBorders>
                  <w:shd w:val="clear" w:color="auto" w:fill="auto"/>
                  <w:noWrap w:val="0"/>
                  <w:vAlign w:val="center"/>
                </w:tcPr>
                <w:p w14:paraId="2CF7E80B">
                  <w:pPr>
                    <w:keepNext w:val="0"/>
                    <w:keepLines w:val="0"/>
                    <w:widowControl/>
                    <w:suppressLineNumbers w:val="0"/>
                    <w:spacing w:line="240" w:lineRule="auto"/>
                    <w:ind w:firstLine="0" w:firstLineChars="0"/>
                    <w:jc w:val="center"/>
                    <w:rPr>
                      <w:rFonts w:hint="default" w:ascii="Times New Roman" w:hAnsi="Times New Roman" w:eastAsia="宋体" w:cs="Times New Roman"/>
                      <w:b w:val="0"/>
                      <w:bCs w:val="0"/>
                      <w:color w:val="auto"/>
                      <w:kern w:val="0"/>
                      <w:sz w:val="18"/>
                      <w:szCs w:val="18"/>
                      <w:lang w:val="en-US" w:eastAsia="zh-CN" w:bidi="ar"/>
                    </w:rPr>
                  </w:pPr>
                  <w:r>
                    <w:rPr>
                      <w:rFonts w:hint="eastAsia" w:cs="Times New Roman"/>
                      <w:b w:val="0"/>
                      <w:bCs w:val="0"/>
                      <w:color w:val="auto"/>
                      <w:kern w:val="0"/>
                      <w:sz w:val="18"/>
                      <w:szCs w:val="18"/>
                      <w:lang w:val="en-US" w:eastAsia="zh-CN" w:bidi="ar"/>
                    </w:rPr>
                    <w:t>硫酸雾</w:t>
                  </w:r>
                </w:p>
              </w:tc>
              <w:tc>
                <w:tcPr>
                  <w:tcW w:w="974" w:type="pct"/>
                  <w:tcBorders>
                    <w:tl2br w:val="nil"/>
                    <w:tr2bl w:val="nil"/>
                  </w:tcBorders>
                  <w:noWrap w:val="0"/>
                  <w:vAlign w:val="center"/>
                </w:tcPr>
                <w:p w14:paraId="3E3F796D">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1.2</w:t>
                  </w:r>
                </w:p>
              </w:tc>
              <w:tc>
                <w:tcPr>
                  <w:tcW w:w="2060" w:type="pct"/>
                  <w:vMerge w:val="continue"/>
                  <w:tcBorders>
                    <w:tl2br w:val="nil"/>
                    <w:tr2bl w:val="nil"/>
                  </w:tcBorders>
                  <w:noWrap w:val="0"/>
                  <w:vAlign w:val="center"/>
                </w:tcPr>
                <w:p w14:paraId="28C8E616">
                  <w:pPr>
                    <w:keepNext w:val="0"/>
                    <w:keepLines w:val="0"/>
                    <w:widowControl/>
                    <w:suppressLineNumbers w:val="0"/>
                    <w:spacing w:line="240" w:lineRule="auto"/>
                    <w:ind w:firstLine="0" w:firstLineChars="0"/>
                    <w:jc w:val="center"/>
                    <w:rPr>
                      <w:rFonts w:hint="eastAsia" w:eastAsia="宋体" w:cs="Times New Roman"/>
                      <w:color w:val="auto"/>
                      <w:kern w:val="2"/>
                      <w:sz w:val="18"/>
                      <w:szCs w:val="18"/>
                      <w:lang w:val="en-US" w:eastAsia="zh-CN" w:bidi="ar-SA"/>
                    </w:rPr>
                  </w:pPr>
                </w:p>
              </w:tc>
            </w:tr>
            <w:tr w14:paraId="1DC0BF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329" w:type="pct"/>
                  <w:vMerge w:val="continue"/>
                  <w:tcBorders>
                    <w:tl2br w:val="nil"/>
                    <w:tr2bl w:val="nil"/>
                  </w:tcBorders>
                  <w:noWrap w:val="0"/>
                  <w:vAlign w:val="center"/>
                </w:tcPr>
                <w:p w14:paraId="3E37C68F">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p>
              </w:tc>
              <w:tc>
                <w:tcPr>
                  <w:tcW w:w="711" w:type="pct"/>
                  <w:vMerge w:val="continue"/>
                  <w:tcBorders>
                    <w:tl2br w:val="nil"/>
                    <w:tr2bl w:val="nil"/>
                  </w:tcBorders>
                  <w:noWrap w:val="0"/>
                  <w:vAlign w:val="center"/>
                </w:tcPr>
                <w:p w14:paraId="3C5DEC11">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p>
              </w:tc>
              <w:tc>
                <w:tcPr>
                  <w:tcW w:w="924" w:type="pct"/>
                  <w:tcBorders>
                    <w:tl2br w:val="nil"/>
                    <w:tr2bl w:val="nil"/>
                  </w:tcBorders>
                  <w:shd w:val="clear" w:color="auto" w:fill="auto"/>
                  <w:noWrap w:val="0"/>
                  <w:vAlign w:val="center"/>
                </w:tcPr>
                <w:p w14:paraId="6E1ADD46">
                  <w:pPr>
                    <w:keepNext w:val="0"/>
                    <w:keepLines w:val="0"/>
                    <w:widowControl/>
                    <w:suppressLineNumbers w:val="0"/>
                    <w:spacing w:line="240" w:lineRule="auto"/>
                    <w:ind w:firstLine="0" w:firstLineChars="0"/>
                    <w:jc w:val="center"/>
                    <w:rPr>
                      <w:rFonts w:hint="default" w:cs="Times New Roman"/>
                      <w:b w:val="0"/>
                      <w:bCs w:val="0"/>
                      <w:color w:val="auto"/>
                      <w:kern w:val="0"/>
                      <w:sz w:val="18"/>
                      <w:szCs w:val="18"/>
                      <w:lang w:val="en-US" w:eastAsia="zh-CN" w:bidi="ar"/>
                    </w:rPr>
                  </w:pPr>
                  <w:r>
                    <w:rPr>
                      <w:rFonts w:hint="eastAsia" w:cs="Times New Roman"/>
                      <w:b w:val="0"/>
                      <w:bCs w:val="0"/>
                      <w:color w:val="auto"/>
                      <w:kern w:val="0"/>
                      <w:sz w:val="18"/>
                      <w:szCs w:val="18"/>
                      <w:lang w:val="en-US" w:eastAsia="zh-CN" w:bidi="ar"/>
                    </w:rPr>
                    <w:t>氨</w:t>
                  </w:r>
                </w:p>
              </w:tc>
              <w:tc>
                <w:tcPr>
                  <w:tcW w:w="974" w:type="pct"/>
                  <w:tcBorders>
                    <w:tl2br w:val="nil"/>
                    <w:tr2bl w:val="nil"/>
                  </w:tcBorders>
                  <w:noWrap w:val="0"/>
                  <w:vAlign w:val="center"/>
                </w:tcPr>
                <w:p w14:paraId="0EDC70D4">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1.5</w:t>
                  </w:r>
                </w:p>
              </w:tc>
              <w:tc>
                <w:tcPr>
                  <w:tcW w:w="2060" w:type="pct"/>
                  <w:vMerge w:val="restart"/>
                  <w:tcBorders>
                    <w:tl2br w:val="nil"/>
                    <w:tr2bl w:val="nil"/>
                  </w:tcBorders>
                  <w:noWrap w:val="0"/>
                  <w:vAlign w:val="center"/>
                </w:tcPr>
                <w:p w14:paraId="05486C8E">
                  <w:pPr>
                    <w:keepNext w:val="0"/>
                    <w:keepLines w:val="0"/>
                    <w:widowControl/>
                    <w:suppressLineNumbers w:val="0"/>
                    <w:spacing w:line="240" w:lineRule="auto"/>
                    <w:ind w:firstLine="0" w:firstLineChars="0"/>
                    <w:jc w:val="center"/>
                    <w:rPr>
                      <w:rFonts w:hint="eastAsia"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《恶臭污染物排放标准》（GB14554-93）</w:t>
                  </w:r>
                </w:p>
              </w:tc>
            </w:tr>
            <w:tr w14:paraId="6183FF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329" w:type="pct"/>
                  <w:vMerge w:val="continue"/>
                  <w:tcBorders>
                    <w:tl2br w:val="nil"/>
                    <w:tr2bl w:val="nil"/>
                  </w:tcBorders>
                  <w:noWrap w:val="0"/>
                  <w:vAlign w:val="center"/>
                </w:tcPr>
                <w:p w14:paraId="129278B4">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p>
              </w:tc>
              <w:tc>
                <w:tcPr>
                  <w:tcW w:w="711" w:type="pct"/>
                  <w:vMerge w:val="continue"/>
                  <w:tcBorders>
                    <w:tl2br w:val="nil"/>
                    <w:tr2bl w:val="nil"/>
                  </w:tcBorders>
                  <w:noWrap w:val="0"/>
                  <w:vAlign w:val="center"/>
                </w:tcPr>
                <w:p w14:paraId="38C507D6">
                  <w:pPr>
                    <w:keepNext w:val="0"/>
                    <w:keepLines w:val="0"/>
                    <w:widowControl/>
                    <w:suppressLineNumbers w:val="0"/>
                    <w:spacing w:line="240" w:lineRule="auto"/>
                    <w:ind w:firstLine="0" w:firstLineChars="0"/>
                    <w:jc w:val="center"/>
                    <w:rPr>
                      <w:rFonts w:hint="eastAsia" w:cs="Times New Roman"/>
                      <w:color w:val="auto"/>
                      <w:kern w:val="0"/>
                      <w:sz w:val="18"/>
                      <w:szCs w:val="18"/>
                      <w:lang w:val="en-US" w:eastAsia="zh-CN" w:bidi="ar"/>
                    </w:rPr>
                  </w:pPr>
                </w:p>
              </w:tc>
              <w:tc>
                <w:tcPr>
                  <w:tcW w:w="924" w:type="pct"/>
                  <w:tcBorders>
                    <w:tl2br w:val="nil"/>
                    <w:tr2bl w:val="nil"/>
                  </w:tcBorders>
                  <w:shd w:val="clear" w:color="auto" w:fill="auto"/>
                  <w:noWrap w:val="0"/>
                  <w:vAlign w:val="center"/>
                </w:tcPr>
                <w:p w14:paraId="03F4ADAE">
                  <w:pPr>
                    <w:keepNext w:val="0"/>
                    <w:keepLines w:val="0"/>
                    <w:widowControl/>
                    <w:suppressLineNumbers w:val="0"/>
                    <w:spacing w:line="240" w:lineRule="auto"/>
                    <w:ind w:firstLine="0" w:firstLineChars="0"/>
                    <w:jc w:val="center"/>
                    <w:rPr>
                      <w:rFonts w:hint="default" w:cs="Times New Roman"/>
                      <w:b w:val="0"/>
                      <w:bCs w:val="0"/>
                      <w:color w:val="auto"/>
                      <w:kern w:val="0"/>
                      <w:sz w:val="18"/>
                      <w:szCs w:val="18"/>
                      <w:lang w:val="en-US" w:eastAsia="zh-CN" w:bidi="ar"/>
                    </w:rPr>
                  </w:pPr>
                  <w:r>
                    <w:rPr>
                      <w:rFonts w:hint="eastAsia" w:cs="Times New Roman"/>
                      <w:b w:val="0"/>
                      <w:bCs w:val="0"/>
                      <w:color w:val="auto"/>
                      <w:kern w:val="0"/>
                      <w:sz w:val="18"/>
                      <w:szCs w:val="18"/>
                      <w:lang w:val="en-US" w:eastAsia="zh-CN" w:bidi="ar"/>
                    </w:rPr>
                    <w:t>臭气浓度</w:t>
                  </w:r>
                </w:p>
              </w:tc>
              <w:tc>
                <w:tcPr>
                  <w:tcW w:w="974" w:type="pct"/>
                  <w:tcBorders>
                    <w:tl2br w:val="nil"/>
                    <w:tr2bl w:val="nil"/>
                  </w:tcBorders>
                  <w:noWrap w:val="0"/>
                  <w:vAlign w:val="center"/>
                </w:tcPr>
                <w:p w14:paraId="3C124B23">
                  <w:pPr>
                    <w:keepNext w:val="0"/>
                    <w:keepLines w:val="0"/>
                    <w:widowControl/>
                    <w:suppressLineNumbers w:val="0"/>
                    <w:spacing w:line="240" w:lineRule="auto"/>
                    <w:ind w:firstLine="0" w:firstLineChars="0"/>
                    <w:jc w:val="center"/>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20</w:t>
                  </w:r>
                </w:p>
              </w:tc>
              <w:tc>
                <w:tcPr>
                  <w:tcW w:w="2060" w:type="pct"/>
                  <w:vMerge w:val="continue"/>
                  <w:tcBorders>
                    <w:tl2br w:val="nil"/>
                    <w:tr2bl w:val="nil"/>
                  </w:tcBorders>
                  <w:noWrap w:val="0"/>
                  <w:vAlign w:val="center"/>
                </w:tcPr>
                <w:p w14:paraId="6B3FC3A9">
                  <w:pPr>
                    <w:keepNext w:val="0"/>
                    <w:keepLines w:val="0"/>
                    <w:widowControl/>
                    <w:suppressLineNumbers w:val="0"/>
                    <w:spacing w:line="240" w:lineRule="auto"/>
                    <w:ind w:firstLine="0" w:firstLineChars="0"/>
                    <w:jc w:val="center"/>
                    <w:rPr>
                      <w:rFonts w:hint="eastAsia" w:cs="Times New Roman"/>
                      <w:color w:val="auto"/>
                      <w:kern w:val="2"/>
                      <w:sz w:val="18"/>
                      <w:szCs w:val="18"/>
                      <w:lang w:val="en-US" w:eastAsia="zh-CN" w:bidi="ar-SA"/>
                    </w:rPr>
                  </w:pPr>
                </w:p>
              </w:tc>
            </w:tr>
          </w:tbl>
          <w:p w14:paraId="459A93B9">
            <w:pPr>
              <w:pStyle w:val="166"/>
              <w:keepNext w:val="0"/>
              <w:keepLines w:val="0"/>
              <w:pageBreakBefore w:val="0"/>
              <w:widowControl w:val="0"/>
              <w:kinsoku/>
              <w:wordWrap/>
              <w:overflowPunct/>
              <w:topLinePunct w:val="0"/>
              <w:autoSpaceDE/>
              <w:autoSpaceDN/>
              <w:bidi w:val="0"/>
              <w:adjustRightInd w:val="0"/>
              <w:snapToGrid w:val="0"/>
              <w:spacing w:before="157" w:beforeLines="50"/>
              <w:textAlignment w:val="baseline"/>
              <w:rPr>
                <w:rFonts w:hint="default" w:ascii="Times New Roman" w:hAnsi="Times New Roman" w:eastAsia="宋体" w:cs="Times New Roman"/>
                <w:b/>
                <w:bCs/>
                <w:color w:val="auto"/>
                <w:kern w:val="2"/>
                <w:sz w:val="21"/>
                <w:szCs w:val="21"/>
                <w:lang w:val="en-US" w:eastAsia="zh-CN" w:bidi="ar-SA"/>
              </w:rPr>
            </w:pPr>
            <w:r>
              <w:rPr>
                <w:rFonts w:hint="eastAsia" w:eastAsia="宋体" w:cs="Times New Roman"/>
                <w:b/>
                <w:bCs/>
                <w:color w:val="auto"/>
                <w:kern w:val="2"/>
                <w:sz w:val="21"/>
                <w:szCs w:val="21"/>
                <w:lang w:val="en-US" w:eastAsia="zh-CN" w:bidi="ar-SA"/>
              </w:rPr>
              <w:t>（2）</w:t>
            </w:r>
            <w:r>
              <w:rPr>
                <w:rFonts w:hint="default" w:ascii="Times New Roman" w:hAnsi="Times New Roman" w:eastAsia="宋体" w:cs="Times New Roman"/>
                <w:b/>
                <w:bCs/>
                <w:color w:val="auto"/>
                <w:kern w:val="2"/>
                <w:sz w:val="21"/>
                <w:szCs w:val="21"/>
                <w:lang w:val="en-US" w:eastAsia="zh-CN" w:bidi="ar-SA"/>
              </w:rPr>
              <w:t>噪声排放标准</w:t>
            </w:r>
          </w:p>
          <w:p w14:paraId="5289E490">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b/>
                <w:color w:val="auto"/>
                <w:sz w:val="21"/>
                <w:szCs w:val="21"/>
              </w:rPr>
            </w:pPr>
            <w:r>
              <w:rPr>
                <w:rFonts w:hint="eastAsia" w:eastAsia="宋体" w:cs="Times New Roman"/>
                <w:color w:val="auto"/>
                <w:kern w:val="2"/>
                <w:sz w:val="21"/>
                <w:szCs w:val="21"/>
                <w:lang w:val="en-US" w:eastAsia="zh-CN" w:bidi="ar-SA"/>
              </w:rPr>
              <w:t>本项目施工期及</w:t>
            </w:r>
            <w:r>
              <w:rPr>
                <w:rFonts w:hint="default" w:ascii="Times New Roman" w:hAnsi="Times New Roman" w:eastAsia="宋体" w:cs="Times New Roman"/>
                <w:color w:val="auto"/>
                <w:kern w:val="2"/>
                <w:sz w:val="21"/>
                <w:szCs w:val="21"/>
                <w:lang w:val="en-US" w:eastAsia="zh-CN" w:bidi="ar-SA"/>
              </w:rPr>
              <w:t>运营期厂界噪声</w:t>
            </w:r>
            <w:r>
              <w:rPr>
                <w:rFonts w:hint="eastAsia" w:eastAsia="宋体" w:cs="Times New Roman"/>
                <w:color w:val="auto"/>
                <w:kern w:val="2"/>
                <w:sz w:val="21"/>
                <w:szCs w:val="21"/>
                <w:lang w:val="en-US" w:eastAsia="zh-CN" w:bidi="ar-SA"/>
              </w:rPr>
              <w:t>执行标准</w:t>
            </w:r>
            <w:r>
              <w:rPr>
                <w:rFonts w:hint="default" w:ascii="Times New Roman" w:hAnsi="Times New Roman" w:eastAsia="宋体" w:cs="Times New Roman"/>
                <w:color w:val="auto"/>
                <w:kern w:val="2"/>
                <w:sz w:val="21"/>
                <w:szCs w:val="21"/>
                <w:lang w:val="en-US" w:eastAsia="zh-CN" w:bidi="ar-SA"/>
              </w:rPr>
              <w:t>具体</w:t>
            </w:r>
            <w:r>
              <w:rPr>
                <w:rFonts w:hint="eastAsia" w:ascii="Times New Roman" w:hAnsi="Times New Roman" w:eastAsia="宋体" w:cs="Times New Roman"/>
                <w:color w:val="auto"/>
                <w:kern w:val="2"/>
                <w:sz w:val="21"/>
                <w:szCs w:val="21"/>
                <w:lang w:val="en-US" w:eastAsia="zh-CN" w:bidi="ar"/>
              </w:rPr>
              <w:t>见下表</w:t>
            </w:r>
            <w:r>
              <w:rPr>
                <w:rFonts w:hint="default" w:ascii="Times New Roman" w:hAnsi="Times New Roman" w:eastAsia="宋体" w:cs="Times New Roman"/>
                <w:color w:val="auto"/>
                <w:kern w:val="2"/>
                <w:sz w:val="21"/>
                <w:szCs w:val="21"/>
                <w:lang w:val="en-US" w:eastAsia="zh-CN" w:bidi="ar-SA"/>
              </w:rPr>
              <w:t>。</w:t>
            </w:r>
          </w:p>
          <w:p w14:paraId="3EC46A64">
            <w:pPr>
              <w:pageBreakBefore w:val="0"/>
              <w:kinsoku/>
              <w:wordWrap/>
              <w:bidi w:val="0"/>
              <w:adjustRightInd w:val="0"/>
              <w:snapToGrid w:val="0"/>
              <w:spacing w:line="240" w:lineRule="auto"/>
              <w:jc w:val="center"/>
              <w:rPr>
                <w:rFonts w:hint="eastAsia" w:ascii="Times New Roman" w:hAnsi="Times New Roman" w:eastAsia="黑体" w:cs="Times New Roman"/>
                <w:b w:val="0"/>
                <w:bCs/>
                <w:color w:val="auto"/>
                <w:sz w:val="21"/>
                <w:szCs w:val="21"/>
                <w:highlight w:val="none"/>
                <w:lang w:val="en-US" w:eastAsia="zh-CN"/>
              </w:rPr>
            </w:pPr>
            <w:r>
              <w:rPr>
                <w:rFonts w:hint="eastAsia" w:ascii="Times New Roman" w:hAnsi="Times New Roman" w:eastAsia="黑体" w:cs="Times New Roman"/>
                <w:b w:val="0"/>
                <w:bCs/>
                <w:color w:val="auto"/>
                <w:sz w:val="21"/>
                <w:szCs w:val="21"/>
                <w:highlight w:val="none"/>
                <w:lang w:val="en-US" w:eastAsia="zh-CN"/>
              </w:rPr>
              <w:t>表3-</w:t>
            </w:r>
            <w:r>
              <w:rPr>
                <w:rFonts w:hint="eastAsia" w:eastAsia="黑体" w:cs="Times New Roman"/>
                <w:b w:val="0"/>
                <w:bCs/>
                <w:color w:val="auto"/>
                <w:sz w:val="21"/>
                <w:szCs w:val="21"/>
                <w:highlight w:val="none"/>
                <w:lang w:val="en-US" w:eastAsia="zh-CN"/>
              </w:rPr>
              <w:t xml:space="preserve">5  </w:t>
            </w:r>
            <w:r>
              <w:rPr>
                <w:rFonts w:hint="eastAsia" w:ascii="Times New Roman" w:hAnsi="Times New Roman" w:eastAsia="黑体" w:cs="Times New Roman"/>
                <w:b w:val="0"/>
                <w:bCs/>
                <w:color w:val="auto"/>
                <w:sz w:val="21"/>
                <w:szCs w:val="21"/>
                <w:highlight w:val="none"/>
                <w:lang w:val="en-US" w:eastAsia="zh-CN"/>
              </w:rPr>
              <w:t>工业企业厂界环境噪声排放标准单位：dB（A）</w:t>
            </w:r>
          </w:p>
          <w:tbl>
            <w:tblPr>
              <w:tblStyle w:val="33"/>
              <w:tblW w:w="822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11"/>
              <w:gridCol w:w="1104"/>
              <w:gridCol w:w="1226"/>
              <w:gridCol w:w="902"/>
              <w:gridCol w:w="1039"/>
              <w:gridCol w:w="3138"/>
            </w:tblGrid>
            <w:tr w14:paraId="0E7505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11" w:type="dxa"/>
                  <w:vMerge w:val="restart"/>
                  <w:tcBorders>
                    <w:tl2br w:val="nil"/>
                    <w:tr2bl w:val="nil"/>
                  </w:tcBorders>
                  <w:noWrap w:val="0"/>
                  <w:vAlign w:val="center"/>
                </w:tcPr>
                <w:p w14:paraId="20F540C8">
                  <w:pPr>
                    <w:spacing w:line="0" w:lineRule="atLeast"/>
                    <w:jc w:val="center"/>
                    <w:rPr>
                      <w:rFonts w:hint="eastAsia"/>
                      <w:color w:val="auto"/>
                      <w:sz w:val="18"/>
                      <w:szCs w:val="18"/>
                      <w:lang w:val="en-US" w:eastAsia="zh-CN"/>
                    </w:rPr>
                  </w:pPr>
                  <w:r>
                    <w:rPr>
                      <w:rFonts w:hint="eastAsia"/>
                      <w:color w:val="auto"/>
                      <w:sz w:val="18"/>
                      <w:szCs w:val="18"/>
                      <w:lang w:val="en-US" w:eastAsia="zh-CN"/>
                    </w:rPr>
                    <w:t>评价</w:t>
                  </w:r>
                </w:p>
                <w:p w14:paraId="0E38E448">
                  <w:pPr>
                    <w:spacing w:line="0" w:lineRule="atLeast"/>
                    <w:jc w:val="center"/>
                    <w:rPr>
                      <w:rFonts w:hint="default" w:eastAsia="宋体"/>
                      <w:color w:val="auto"/>
                      <w:sz w:val="18"/>
                      <w:szCs w:val="18"/>
                      <w:lang w:val="en-US" w:eastAsia="zh-CN"/>
                    </w:rPr>
                  </w:pPr>
                  <w:r>
                    <w:rPr>
                      <w:rFonts w:hint="eastAsia"/>
                      <w:color w:val="auto"/>
                      <w:sz w:val="18"/>
                      <w:szCs w:val="18"/>
                      <w:lang w:val="en-US" w:eastAsia="zh-CN"/>
                    </w:rPr>
                    <w:t>时段</w:t>
                  </w:r>
                </w:p>
              </w:tc>
              <w:tc>
                <w:tcPr>
                  <w:tcW w:w="1104" w:type="dxa"/>
                  <w:vMerge w:val="restart"/>
                  <w:tcBorders>
                    <w:tl2br w:val="nil"/>
                    <w:tr2bl w:val="nil"/>
                  </w:tcBorders>
                  <w:noWrap w:val="0"/>
                  <w:vAlign w:val="center"/>
                </w:tcPr>
                <w:p w14:paraId="0D14C918">
                  <w:pPr>
                    <w:spacing w:line="0" w:lineRule="atLeast"/>
                    <w:jc w:val="center"/>
                    <w:rPr>
                      <w:rFonts w:hint="eastAsia"/>
                      <w:color w:val="auto"/>
                      <w:sz w:val="18"/>
                      <w:szCs w:val="18"/>
                      <w:lang w:eastAsia="zh-CN"/>
                    </w:rPr>
                  </w:pPr>
                  <w:r>
                    <w:rPr>
                      <w:rFonts w:hint="eastAsia"/>
                      <w:color w:val="auto"/>
                      <w:sz w:val="18"/>
                      <w:szCs w:val="18"/>
                      <w:lang w:eastAsia="zh-CN"/>
                    </w:rPr>
                    <w:t>评价</w:t>
                  </w:r>
                </w:p>
                <w:p w14:paraId="4D8D4199">
                  <w:pPr>
                    <w:spacing w:line="0" w:lineRule="atLeast"/>
                    <w:jc w:val="center"/>
                    <w:rPr>
                      <w:rFonts w:hint="eastAsia" w:eastAsia="宋体"/>
                      <w:color w:val="auto"/>
                      <w:sz w:val="18"/>
                      <w:szCs w:val="18"/>
                      <w:lang w:eastAsia="zh-CN"/>
                    </w:rPr>
                  </w:pPr>
                  <w:r>
                    <w:rPr>
                      <w:rFonts w:hint="eastAsia"/>
                      <w:color w:val="auto"/>
                      <w:sz w:val="18"/>
                      <w:szCs w:val="18"/>
                      <w:lang w:eastAsia="zh-CN"/>
                    </w:rPr>
                    <w:t>对象</w:t>
                  </w:r>
                </w:p>
              </w:tc>
              <w:tc>
                <w:tcPr>
                  <w:tcW w:w="1226" w:type="dxa"/>
                  <w:vMerge w:val="restart"/>
                  <w:tcBorders>
                    <w:tl2br w:val="nil"/>
                    <w:tr2bl w:val="nil"/>
                  </w:tcBorders>
                  <w:noWrap w:val="0"/>
                  <w:vAlign w:val="center"/>
                </w:tcPr>
                <w:p w14:paraId="1C5159CE">
                  <w:pPr>
                    <w:spacing w:line="0" w:lineRule="atLeast"/>
                    <w:jc w:val="center"/>
                    <w:rPr>
                      <w:color w:val="auto"/>
                      <w:sz w:val="18"/>
                      <w:szCs w:val="18"/>
                    </w:rPr>
                  </w:pPr>
                  <w:r>
                    <w:rPr>
                      <w:color w:val="auto"/>
                      <w:sz w:val="18"/>
                      <w:szCs w:val="18"/>
                    </w:rPr>
                    <w:t>声环境功能区类别</w:t>
                  </w:r>
                </w:p>
              </w:tc>
              <w:tc>
                <w:tcPr>
                  <w:tcW w:w="1941" w:type="dxa"/>
                  <w:gridSpan w:val="2"/>
                  <w:tcBorders>
                    <w:tl2br w:val="nil"/>
                    <w:tr2bl w:val="nil"/>
                  </w:tcBorders>
                  <w:noWrap w:val="0"/>
                  <w:vAlign w:val="center"/>
                </w:tcPr>
                <w:p w14:paraId="03DE53BA">
                  <w:pPr>
                    <w:spacing w:line="0" w:lineRule="atLeast"/>
                    <w:jc w:val="center"/>
                    <w:rPr>
                      <w:rFonts w:hint="eastAsia" w:eastAsia="宋体"/>
                      <w:color w:val="auto"/>
                      <w:sz w:val="18"/>
                      <w:szCs w:val="18"/>
                      <w:lang w:eastAsia="zh-CN"/>
                    </w:rPr>
                  </w:pPr>
                  <w:r>
                    <w:rPr>
                      <w:rFonts w:hint="eastAsia"/>
                      <w:color w:val="auto"/>
                      <w:sz w:val="18"/>
                      <w:szCs w:val="18"/>
                      <w:lang w:eastAsia="zh-CN"/>
                    </w:rPr>
                    <w:t>标准限值</w:t>
                  </w:r>
                </w:p>
              </w:tc>
              <w:tc>
                <w:tcPr>
                  <w:tcW w:w="3138" w:type="dxa"/>
                  <w:vMerge w:val="restart"/>
                  <w:tcBorders>
                    <w:tl2br w:val="nil"/>
                    <w:tr2bl w:val="nil"/>
                  </w:tcBorders>
                  <w:noWrap w:val="0"/>
                  <w:vAlign w:val="center"/>
                </w:tcPr>
                <w:p w14:paraId="7B7BB3E2">
                  <w:pPr>
                    <w:spacing w:line="0" w:lineRule="atLeast"/>
                    <w:jc w:val="center"/>
                    <w:rPr>
                      <w:rFonts w:hint="eastAsia"/>
                      <w:color w:val="auto"/>
                      <w:sz w:val="18"/>
                      <w:szCs w:val="18"/>
                    </w:rPr>
                  </w:pPr>
                  <w:r>
                    <w:rPr>
                      <w:rFonts w:hint="eastAsia"/>
                      <w:color w:val="auto"/>
                      <w:sz w:val="18"/>
                      <w:szCs w:val="18"/>
                    </w:rPr>
                    <w:t>标准名称</w:t>
                  </w:r>
                </w:p>
              </w:tc>
            </w:tr>
            <w:tr w14:paraId="224937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1" w:type="dxa"/>
                  <w:vMerge w:val="continue"/>
                  <w:tcBorders>
                    <w:tl2br w:val="nil"/>
                    <w:tr2bl w:val="nil"/>
                  </w:tcBorders>
                  <w:noWrap w:val="0"/>
                  <w:vAlign w:val="center"/>
                </w:tcPr>
                <w:p w14:paraId="5F0EC881">
                  <w:pPr>
                    <w:spacing w:line="0" w:lineRule="atLeast"/>
                    <w:jc w:val="center"/>
                    <w:rPr>
                      <w:rFonts w:hint="eastAsia" w:eastAsia="宋体"/>
                      <w:color w:val="auto"/>
                      <w:sz w:val="18"/>
                      <w:szCs w:val="18"/>
                      <w:lang w:eastAsia="zh-CN"/>
                    </w:rPr>
                  </w:pPr>
                </w:p>
              </w:tc>
              <w:tc>
                <w:tcPr>
                  <w:tcW w:w="1104" w:type="dxa"/>
                  <w:vMerge w:val="continue"/>
                  <w:tcBorders>
                    <w:tl2br w:val="nil"/>
                    <w:tr2bl w:val="nil"/>
                  </w:tcBorders>
                  <w:noWrap w:val="0"/>
                  <w:vAlign w:val="center"/>
                </w:tcPr>
                <w:p w14:paraId="05921828">
                  <w:pPr>
                    <w:spacing w:line="0" w:lineRule="atLeast"/>
                    <w:jc w:val="center"/>
                    <w:rPr>
                      <w:rFonts w:hint="eastAsia" w:eastAsia="宋体"/>
                      <w:color w:val="auto"/>
                      <w:sz w:val="18"/>
                      <w:szCs w:val="18"/>
                      <w:lang w:eastAsia="zh-CN"/>
                    </w:rPr>
                  </w:pPr>
                </w:p>
              </w:tc>
              <w:tc>
                <w:tcPr>
                  <w:tcW w:w="1226" w:type="dxa"/>
                  <w:vMerge w:val="continue"/>
                  <w:tcBorders>
                    <w:tl2br w:val="nil"/>
                    <w:tr2bl w:val="nil"/>
                  </w:tcBorders>
                  <w:noWrap w:val="0"/>
                  <w:vAlign w:val="center"/>
                </w:tcPr>
                <w:p w14:paraId="6C56DD7D">
                  <w:pPr>
                    <w:spacing w:line="0" w:lineRule="atLeast"/>
                    <w:jc w:val="center"/>
                    <w:rPr>
                      <w:color w:val="auto"/>
                      <w:sz w:val="18"/>
                      <w:szCs w:val="18"/>
                    </w:rPr>
                  </w:pPr>
                </w:p>
              </w:tc>
              <w:tc>
                <w:tcPr>
                  <w:tcW w:w="902" w:type="dxa"/>
                  <w:tcBorders>
                    <w:tl2br w:val="nil"/>
                    <w:tr2bl w:val="nil"/>
                  </w:tcBorders>
                  <w:noWrap w:val="0"/>
                  <w:vAlign w:val="center"/>
                </w:tcPr>
                <w:p w14:paraId="62A7E892">
                  <w:pPr>
                    <w:spacing w:line="0" w:lineRule="atLeast"/>
                    <w:jc w:val="center"/>
                    <w:rPr>
                      <w:color w:val="auto"/>
                      <w:sz w:val="18"/>
                      <w:szCs w:val="18"/>
                    </w:rPr>
                  </w:pPr>
                  <w:r>
                    <w:rPr>
                      <w:color w:val="auto"/>
                      <w:sz w:val="18"/>
                      <w:szCs w:val="18"/>
                    </w:rPr>
                    <w:t>昼间</w:t>
                  </w:r>
                </w:p>
              </w:tc>
              <w:tc>
                <w:tcPr>
                  <w:tcW w:w="1039" w:type="dxa"/>
                  <w:tcBorders>
                    <w:tl2br w:val="nil"/>
                    <w:tr2bl w:val="nil"/>
                  </w:tcBorders>
                  <w:noWrap w:val="0"/>
                  <w:vAlign w:val="center"/>
                </w:tcPr>
                <w:p w14:paraId="5F9F05C9">
                  <w:pPr>
                    <w:spacing w:line="0" w:lineRule="atLeast"/>
                    <w:jc w:val="center"/>
                    <w:rPr>
                      <w:rFonts w:hint="eastAsia"/>
                      <w:color w:val="auto"/>
                      <w:sz w:val="18"/>
                      <w:szCs w:val="18"/>
                    </w:rPr>
                  </w:pPr>
                  <w:r>
                    <w:rPr>
                      <w:color w:val="auto"/>
                      <w:sz w:val="18"/>
                      <w:szCs w:val="18"/>
                    </w:rPr>
                    <w:t>夜间</w:t>
                  </w:r>
                </w:p>
              </w:tc>
              <w:tc>
                <w:tcPr>
                  <w:tcW w:w="3138" w:type="dxa"/>
                  <w:vMerge w:val="continue"/>
                  <w:tcBorders>
                    <w:tl2br w:val="nil"/>
                    <w:tr2bl w:val="nil"/>
                  </w:tcBorders>
                  <w:noWrap w:val="0"/>
                  <w:vAlign w:val="center"/>
                </w:tcPr>
                <w:p w14:paraId="6F8ED8BE">
                  <w:pPr>
                    <w:spacing w:line="0" w:lineRule="atLeast"/>
                    <w:jc w:val="center"/>
                    <w:rPr>
                      <w:rFonts w:hint="eastAsia"/>
                      <w:color w:val="auto"/>
                      <w:sz w:val="18"/>
                      <w:szCs w:val="18"/>
                    </w:rPr>
                  </w:pPr>
                </w:p>
              </w:tc>
            </w:tr>
            <w:tr w14:paraId="073572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1" w:type="dxa"/>
                  <w:tcBorders>
                    <w:tl2br w:val="nil"/>
                    <w:tr2bl w:val="nil"/>
                  </w:tcBorders>
                  <w:noWrap w:val="0"/>
                  <w:vAlign w:val="center"/>
                </w:tcPr>
                <w:p w14:paraId="1344CFA7">
                  <w:pPr>
                    <w:spacing w:line="0" w:lineRule="atLeast"/>
                    <w:jc w:val="center"/>
                    <w:rPr>
                      <w:rFonts w:hint="default" w:eastAsia="宋体"/>
                      <w:color w:val="auto"/>
                      <w:sz w:val="18"/>
                      <w:szCs w:val="18"/>
                      <w:lang w:val="en-US" w:eastAsia="zh-CN"/>
                    </w:rPr>
                  </w:pPr>
                  <w:r>
                    <w:rPr>
                      <w:rFonts w:hint="eastAsia"/>
                      <w:color w:val="auto"/>
                      <w:sz w:val="18"/>
                      <w:szCs w:val="18"/>
                      <w:lang w:val="en-US" w:eastAsia="zh-CN"/>
                    </w:rPr>
                    <w:t>建设期</w:t>
                  </w:r>
                </w:p>
              </w:tc>
              <w:tc>
                <w:tcPr>
                  <w:tcW w:w="1104" w:type="dxa"/>
                  <w:tcBorders>
                    <w:tl2br w:val="nil"/>
                    <w:tr2bl w:val="nil"/>
                  </w:tcBorders>
                  <w:noWrap w:val="0"/>
                  <w:vAlign w:val="center"/>
                </w:tcPr>
                <w:p w14:paraId="72FB5C87">
                  <w:pPr>
                    <w:spacing w:line="0" w:lineRule="atLeast"/>
                    <w:jc w:val="center"/>
                    <w:rPr>
                      <w:rFonts w:hint="default" w:eastAsia="宋体"/>
                      <w:color w:val="auto"/>
                      <w:sz w:val="18"/>
                      <w:szCs w:val="18"/>
                      <w:lang w:val="en-US" w:eastAsia="zh-CN"/>
                    </w:rPr>
                  </w:pPr>
                  <w:r>
                    <w:rPr>
                      <w:rFonts w:hint="eastAsia"/>
                      <w:color w:val="auto"/>
                      <w:sz w:val="18"/>
                      <w:szCs w:val="18"/>
                      <w:lang w:val="en-US" w:eastAsia="zh-CN"/>
                    </w:rPr>
                    <w:t>/</w:t>
                  </w:r>
                </w:p>
              </w:tc>
              <w:tc>
                <w:tcPr>
                  <w:tcW w:w="1226" w:type="dxa"/>
                  <w:tcBorders>
                    <w:tl2br w:val="nil"/>
                    <w:tr2bl w:val="nil"/>
                  </w:tcBorders>
                  <w:noWrap w:val="0"/>
                  <w:vAlign w:val="center"/>
                </w:tcPr>
                <w:p w14:paraId="7BF46206">
                  <w:pPr>
                    <w:spacing w:line="0" w:lineRule="atLeast"/>
                    <w:jc w:val="center"/>
                    <w:rPr>
                      <w:rFonts w:hint="eastAsia" w:eastAsia="宋体"/>
                      <w:color w:val="auto"/>
                      <w:sz w:val="18"/>
                      <w:szCs w:val="18"/>
                      <w:lang w:val="en-US" w:eastAsia="zh-CN"/>
                    </w:rPr>
                  </w:pPr>
                  <w:r>
                    <w:rPr>
                      <w:rFonts w:hint="eastAsia"/>
                      <w:color w:val="auto"/>
                      <w:sz w:val="18"/>
                      <w:szCs w:val="18"/>
                      <w:lang w:val="en-US" w:eastAsia="zh-CN"/>
                    </w:rPr>
                    <w:t>/</w:t>
                  </w:r>
                </w:p>
              </w:tc>
              <w:tc>
                <w:tcPr>
                  <w:tcW w:w="902" w:type="dxa"/>
                  <w:tcBorders>
                    <w:tl2br w:val="nil"/>
                    <w:tr2bl w:val="nil"/>
                  </w:tcBorders>
                  <w:noWrap w:val="0"/>
                  <w:vAlign w:val="center"/>
                </w:tcPr>
                <w:p w14:paraId="23119A15">
                  <w:pPr>
                    <w:spacing w:line="0" w:lineRule="atLeast"/>
                    <w:jc w:val="center"/>
                    <w:rPr>
                      <w:rFonts w:hint="default" w:eastAsia="宋体"/>
                      <w:color w:val="auto"/>
                      <w:sz w:val="18"/>
                      <w:szCs w:val="18"/>
                      <w:lang w:val="en-US" w:eastAsia="zh-CN"/>
                    </w:rPr>
                  </w:pPr>
                  <w:r>
                    <w:rPr>
                      <w:rFonts w:hint="eastAsia"/>
                      <w:color w:val="auto"/>
                      <w:sz w:val="18"/>
                      <w:szCs w:val="18"/>
                      <w:lang w:val="en-US" w:eastAsia="zh-CN"/>
                    </w:rPr>
                    <w:t>70</w:t>
                  </w:r>
                </w:p>
              </w:tc>
              <w:tc>
                <w:tcPr>
                  <w:tcW w:w="1039" w:type="dxa"/>
                  <w:tcBorders>
                    <w:tl2br w:val="nil"/>
                    <w:tr2bl w:val="nil"/>
                  </w:tcBorders>
                  <w:noWrap w:val="0"/>
                  <w:vAlign w:val="center"/>
                </w:tcPr>
                <w:p w14:paraId="5E915188">
                  <w:pPr>
                    <w:spacing w:line="0" w:lineRule="atLeast"/>
                    <w:jc w:val="center"/>
                    <w:rPr>
                      <w:rFonts w:hint="default" w:eastAsia="宋体"/>
                      <w:color w:val="auto"/>
                      <w:sz w:val="18"/>
                      <w:szCs w:val="18"/>
                      <w:lang w:val="en-US" w:eastAsia="zh-CN"/>
                    </w:rPr>
                  </w:pPr>
                  <w:r>
                    <w:rPr>
                      <w:rFonts w:hint="eastAsia"/>
                      <w:color w:val="auto"/>
                      <w:sz w:val="18"/>
                      <w:szCs w:val="18"/>
                      <w:lang w:val="en-US" w:eastAsia="zh-CN"/>
                    </w:rPr>
                    <w:t>55</w:t>
                  </w:r>
                </w:p>
              </w:tc>
              <w:tc>
                <w:tcPr>
                  <w:tcW w:w="3138" w:type="dxa"/>
                  <w:tcBorders>
                    <w:tl2br w:val="nil"/>
                    <w:tr2bl w:val="nil"/>
                  </w:tcBorders>
                  <w:noWrap w:val="0"/>
                  <w:vAlign w:val="center"/>
                </w:tcPr>
                <w:p w14:paraId="06924E79">
                  <w:pPr>
                    <w:spacing w:line="0" w:lineRule="atLeast"/>
                    <w:jc w:val="center"/>
                    <w:rPr>
                      <w:rFonts w:hint="eastAsia" w:eastAsia="宋体"/>
                      <w:color w:val="auto"/>
                      <w:sz w:val="18"/>
                      <w:szCs w:val="18"/>
                      <w:lang w:eastAsia="zh-CN"/>
                    </w:rPr>
                  </w:pPr>
                  <w:r>
                    <w:rPr>
                      <w:rFonts w:hint="eastAsia"/>
                      <w:color w:val="auto"/>
                      <w:sz w:val="18"/>
                      <w:szCs w:val="18"/>
                      <w:lang w:eastAsia="zh-CN"/>
                    </w:rPr>
                    <w:t>《</w:t>
                  </w:r>
                  <w:r>
                    <w:rPr>
                      <w:rFonts w:hint="eastAsia"/>
                      <w:color w:val="auto"/>
                      <w:sz w:val="18"/>
                      <w:szCs w:val="18"/>
                    </w:rPr>
                    <w:t>建筑施工噪声排放标准</w:t>
                  </w:r>
                  <w:r>
                    <w:rPr>
                      <w:rFonts w:hint="eastAsia"/>
                      <w:color w:val="auto"/>
                      <w:sz w:val="18"/>
                      <w:szCs w:val="18"/>
                      <w:lang w:eastAsia="zh-CN"/>
                    </w:rPr>
                    <w:t>》</w:t>
                  </w:r>
                  <w:r>
                    <w:rPr>
                      <w:rFonts w:hint="eastAsia"/>
                      <w:color w:val="auto"/>
                      <w:sz w:val="18"/>
                      <w:szCs w:val="18"/>
                    </w:rPr>
                    <w:t>（GB 12523</w:t>
                  </w:r>
                  <w:r>
                    <w:rPr>
                      <w:rFonts w:hint="eastAsia"/>
                      <w:color w:val="auto"/>
                      <w:sz w:val="18"/>
                      <w:szCs w:val="18"/>
                      <w:lang w:val="en-US" w:eastAsia="zh-CN"/>
                    </w:rPr>
                    <w:t>-</w:t>
                  </w:r>
                  <w:r>
                    <w:rPr>
                      <w:rFonts w:hint="eastAsia"/>
                      <w:color w:val="auto"/>
                      <w:sz w:val="18"/>
                      <w:szCs w:val="18"/>
                    </w:rPr>
                    <w:t>2025</w:t>
                  </w:r>
                  <w:r>
                    <w:rPr>
                      <w:rFonts w:hint="eastAsia"/>
                      <w:color w:val="auto"/>
                      <w:sz w:val="18"/>
                      <w:szCs w:val="18"/>
                      <w:lang w:eastAsia="zh-CN"/>
                    </w:rPr>
                    <w:t>）</w:t>
                  </w:r>
                </w:p>
              </w:tc>
            </w:tr>
            <w:tr w14:paraId="140D11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1" w:type="dxa"/>
                  <w:tcBorders>
                    <w:tl2br w:val="nil"/>
                    <w:tr2bl w:val="nil"/>
                  </w:tcBorders>
                  <w:noWrap w:val="0"/>
                  <w:vAlign w:val="center"/>
                </w:tcPr>
                <w:p w14:paraId="5F1F0B5E">
                  <w:pPr>
                    <w:spacing w:line="0" w:lineRule="atLeast"/>
                    <w:jc w:val="center"/>
                    <w:rPr>
                      <w:rFonts w:hint="default" w:eastAsia="宋体"/>
                      <w:color w:val="auto"/>
                      <w:sz w:val="18"/>
                      <w:szCs w:val="18"/>
                      <w:lang w:val="en-US" w:eastAsia="zh-CN"/>
                    </w:rPr>
                  </w:pPr>
                  <w:r>
                    <w:rPr>
                      <w:rFonts w:hint="eastAsia"/>
                      <w:color w:val="auto"/>
                      <w:sz w:val="18"/>
                      <w:szCs w:val="18"/>
                      <w:lang w:val="en-US" w:eastAsia="zh-CN"/>
                    </w:rPr>
                    <w:t>运营期</w:t>
                  </w:r>
                </w:p>
              </w:tc>
              <w:tc>
                <w:tcPr>
                  <w:tcW w:w="1104" w:type="dxa"/>
                  <w:tcBorders>
                    <w:tl2br w:val="nil"/>
                    <w:tr2bl w:val="nil"/>
                  </w:tcBorders>
                  <w:noWrap w:val="0"/>
                  <w:vAlign w:val="center"/>
                </w:tcPr>
                <w:p w14:paraId="4D81EF07">
                  <w:pPr>
                    <w:spacing w:line="0" w:lineRule="atLeast"/>
                    <w:jc w:val="center"/>
                    <w:rPr>
                      <w:rFonts w:hint="eastAsia" w:eastAsia="宋体"/>
                      <w:color w:val="auto"/>
                      <w:sz w:val="18"/>
                      <w:szCs w:val="18"/>
                      <w:lang w:eastAsia="zh-CN"/>
                    </w:rPr>
                  </w:pPr>
                  <w:r>
                    <w:rPr>
                      <w:rFonts w:hint="eastAsia"/>
                      <w:color w:val="auto"/>
                      <w:sz w:val="18"/>
                      <w:szCs w:val="18"/>
                      <w:lang w:eastAsia="zh-CN"/>
                    </w:rPr>
                    <w:t>厂界</w:t>
                  </w:r>
                </w:p>
              </w:tc>
              <w:tc>
                <w:tcPr>
                  <w:tcW w:w="1226" w:type="dxa"/>
                  <w:tcBorders>
                    <w:tl2br w:val="nil"/>
                    <w:tr2bl w:val="nil"/>
                  </w:tcBorders>
                  <w:noWrap w:val="0"/>
                  <w:vAlign w:val="center"/>
                </w:tcPr>
                <w:p w14:paraId="38480275">
                  <w:pPr>
                    <w:spacing w:line="0" w:lineRule="atLeast"/>
                    <w:jc w:val="center"/>
                    <w:rPr>
                      <w:rFonts w:hint="default" w:eastAsia="宋体"/>
                      <w:color w:val="auto"/>
                      <w:sz w:val="18"/>
                      <w:szCs w:val="18"/>
                      <w:lang w:val="en-US" w:eastAsia="zh-CN"/>
                    </w:rPr>
                  </w:pPr>
                  <w:r>
                    <w:rPr>
                      <w:rFonts w:hint="eastAsia"/>
                      <w:color w:val="auto"/>
                      <w:sz w:val="18"/>
                      <w:szCs w:val="18"/>
                      <w:lang w:val="en-US" w:eastAsia="zh-CN"/>
                    </w:rPr>
                    <w:t>3类</w:t>
                  </w:r>
                </w:p>
              </w:tc>
              <w:tc>
                <w:tcPr>
                  <w:tcW w:w="902" w:type="dxa"/>
                  <w:tcBorders>
                    <w:tl2br w:val="nil"/>
                    <w:tr2bl w:val="nil"/>
                  </w:tcBorders>
                  <w:noWrap w:val="0"/>
                  <w:vAlign w:val="center"/>
                </w:tcPr>
                <w:p w14:paraId="488DBB82">
                  <w:pPr>
                    <w:spacing w:line="0" w:lineRule="atLeast"/>
                    <w:jc w:val="center"/>
                    <w:rPr>
                      <w:rFonts w:hint="default" w:eastAsia="宋体"/>
                      <w:color w:val="auto"/>
                      <w:sz w:val="18"/>
                      <w:szCs w:val="18"/>
                      <w:lang w:val="en-US" w:eastAsia="zh-CN"/>
                    </w:rPr>
                  </w:pPr>
                  <w:r>
                    <w:rPr>
                      <w:rFonts w:hint="eastAsia"/>
                      <w:color w:val="auto"/>
                      <w:sz w:val="18"/>
                      <w:szCs w:val="18"/>
                      <w:lang w:val="en-US" w:eastAsia="zh-CN"/>
                    </w:rPr>
                    <w:t>65</w:t>
                  </w:r>
                </w:p>
              </w:tc>
              <w:tc>
                <w:tcPr>
                  <w:tcW w:w="1039" w:type="dxa"/>
                  <w:tcBorders>
                    <w:tl2br w:val="nil"/>
                    <w:tr2bl w:val="nil"/>
                  </w:tcBorders>
                  <w:noWrap w:val="0"/>
                  <w:vAlign w:val="center"/>
                </w:tcPr>
                <w:p w14:paraId="7125F164">
                  <w:pPr>
                    <w:spacing w:line="0" w:lineRule="atLeast"/>
                    <w:jc w:val="center"/>
                    <w:rPr>
                      <w:rFonts w:hint="default" w:eastAsia="宋体"/>
                      <w:color w:val="auto"/>
                      <w:sz w:val="18"/>
                      <w:szCs w:val="18"/>
                      <w:lang w:val="en-US" w:eastAsia="zh-CN"/>
                    </w:rPr>
                  </w:pPr>
                  <w:r>
                    <w:rPr>
                      <w:rFonts w:hint="eastAsia"/>
                      <w:color w:val="auto"/>
                      <w:sz w:val="18"/>
                      <w:szCs w:val="18"/>
                      <w:lang w:val="en-US" w:eastAsia="zh-CN"/>
                    </w:rPr>
                    <w:t>55</w:t>
                  </w:r>
                </w:p>
              </w:tc>
              <w:tc>
                <w:tcPr>
                  <w:tcW w:w="3138" w:type="dxa"/>
                  <w:tcBorders>
                    <w:tl2br w:val="nil"/>
                    <w:tr2bl w:val="nil"/>
                  </w:tcBorders>
                  <w:noWrap w:val="0"/>
                  <w:vAlign w:val="center"/>
                </w:tcPr>
                <w:p w14:paraId="04F192E8">
                  <w:pPr>
                    <w:spacing w:line="0" w:lineRule="atLeast"/>
                    <w:jc w:val="center"/>
                    <w:rPr>
                      <w:rFonts w:hint="eastAsia"/>
                      <w:color w:val="auto"/>
                      <w:sz w:val="18"/>
                      <w:szCs w:val="18"/>
                    </w:rPr>
                  </w:pPr>
                  <w:r>
                    <w:rPr>
                      <w:rFonts w:hint="eastAsia"/>
                      <w:color w:val="auto"/>
                      <w:sz w:val="18"/>
                      <w:szCs w:val="18"/>
                    </w:rPr>
                    <w:t>《工业企业厂界环境噪声排放标准》（GB12348-2008）</w:t>
                  </w:r>
                  <w:r>
                    <w:rPr>
                      <w:rFonts w:hint="eastAsia" w:cs="Times New Roman"/>
                      <w:color w:val="auto"/>
                      <w:kern w:val="2"/>
                      <w:sz w:val="18"/>
                      <w:szCs w:val="18"/>
                      <w:lang w:val="en-US" w:eastAsia="zh-CN" w:bidi="ar-SA"/>
                    </w:rPr>
                    <w:t>3</w:t>
                  </w:r>
                  <w:r>
                    <w:rPr>
                      <w:rFonts w:hint="default" w:ascii="Times New Roman" w:hAnsi="Times New Roman" w:eastAsia="宋体" w:cs="Times New Roman"/>
                      <w:color w:val="auto"/>
                      <w:kern w:val="2"/>
                      <w:sz w:val="18"/>
                      <w:szCs w:val="18"/>
                      <w:lang w:val="en-US" w:eastAsia="zh-CN" w:bidi="ar-SA"/>
                    </w:rPr>
                    <w:t>类标准</w:t>
                  </w:r>
                </w:p>
              </w:tc>
            </w:tr>
          </w:tbl>
          <w:p w14:paraId="25476919">
            <w:pPr>
              <w:pStyle w:val="166"/>
              <w:keepNext w:val="0"/>
              <w:keepLines w:val="0"/>
              <w:pageBreakBefore w:val="0"/>
              <w:widowControl w:val="0"/>
              <w:kinsoku/>
              <w:wordWrap/>
              <w:overflowPunct/>
              <w:topLinePunct w:val="0"/>
              <w:autoSpaceDE/>
              <w:autoSpaceDN/>
              <w:bidi w:val="0"/>
              <w:adjustRightInd w:val="0"/>
              <w:snapToGrid w:val="0"/>
              <w:spacing w:before="157" w:beforeLines="50"/>
              <w:textAlignment w:val="baseline"/>
              <w:rPr>
                <w:rFonts w:hint="default"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（3）</w:t>
            </w:r>
            <w:r>
              <w:rPr>
                <w:rFonts w:hint="default" w:ascii="Times New Roman" w:hAnsi="Times New Roman" w:eastAsia="宋体" w:cs="Times New Roman"/>
                <w:b/>
                <w:bCs/>
                <w:color w:val="auto"/>
                <w:kern w:val="2"/>
                <w:sz w:val="21"/>
                <w:szCs w:val="21"/>
                <w:lang w:val="en-US" w:eastAsia="zh-CN" w:bidi="ar-SA"/>
              </w:rPr>
              <w:t>废水排放标准</w:t>
            </w:r>
          </w:p>
          <w:p w14:paraId="3BAAB85D">
            <w:pPr>
              <w:pStyle w:val="32"/>
              <w:keepNext w:val="0"/>
              <w:keepLines w:val="0"/>
              <w:pageBreakBefore w:val="0"/>
              <w:widowControl w:val="0"/>
              <w:kinsoku/>
              <w:wordWrap/>
              <w:overflowPunct/>
              <w:topLinePunct w:val="0"/>
              <w:autoSpaceDE/>
              <w:autoSpaceDN/>
              <w:bidi w:val="0"/>
              <w:adjustRightInd/>
              <w:snapToGrid/>
              <w:spacing w:after="0" w:line="360" w:lineRule="auto"/>
              <w:ind w:left="0" w:leftChars="0" w:firstLine="480"/>
              <w:jc w:val="both"/>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w:t>
            </w:r>
            <w:r>
              <w:rPr>
                <w:rFonts w:hint="default" w:ascii="Times New Roman" w:hAnsi="Times New Roman" w:eastAsia="宋体" w:cs="Times New Roman"/>
                <w:color w:val="auto"/>
                <w:sz w:val="21"/>
                <w:szCs w:val="21"/>
                <w:lang w:eastAsia="zh-CN"/>
              </w:rPr>
              <w:t>废水</w:t>
            </w:r>
            <w:r>
              <w:rPr>
                <w:rFonts w:hint="eastAsia" w:ascii="Times New Roman" w:hAnsi="Times New Roman" w:eastAsia="宋体" w:cs="Times New Roman"/>
                <w:color w:val="auto"/>
                <w:sz w:val="21"/>
                <w:szCs w:val="21"/>
                <w:lang w:val="en-US" w:eastAsia="zh-CN"/>
              </w:rPr>
              <w:t>污染物</w:t>
            </w:r>
            <w:r>
              <w:rPr>
                <w:rFonts w:hint="default" w:ascii="Times New Roman" w:hAnsi="Times New Roman" w:eastAsia="宋体" w:cs="Times New Roman"/>
                <w:color w:val="auto"/>
                <w:sz w:val="21"/>
                <w:szCs w:val="21"/>
                <w:lang w:val="en-US" w:eastAsia="zh-CN"/>
              </w:rPr>
              <w:t>排放浓度</w:t>
            </w:r>
            <w:r>
              <w:rPr>
                <w:rFonts w:hint="default" w:ascii="Times New Roman" w:hAnsi="Times New Roman" w:eastAsia="宋体" w:cs="Times New Roman"/>
                <w:color w:val="auto"/>
                <w:sz w:val="21"/>
                <w:szCs w:val="21"/>
                <w:lang w:eastAsia="zh-CN"/>
              </w:rPr>
              <w:t>执行</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钢铁工业水污染物排放标准</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GB13456-2012</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及其修改单表3特别排放限值间接排放要求及园区污水处理厂进水水质要求（</w:t>
            </w:r>
            <w:r>
              <w:rPr>
                <w:rFonts w:hint="default" w:ascii="Times New Roman" w:hAnsi="Times New Roman" w:eastAsia="宋体" w:cs="Times New Roman"/>
                <w:color w:val="auto"/>
                <w:sz w:val="21"/>
                <w:szCs w:val="21"/>
                <w:lang w:eastAsia="zh-CN"/>
              </w:rPr>
              <w:t>《污水综合排放标准》（GB8978-1996）</w:t>
            </w:r>
            <w:r>
              <w:rPr>
                <w:rFonts w:hint="eastAsia" w:ascii="Times New Roman" w:hAnsi="Times New Roman" w:eastAsia="宋体" w:cs="Times New Roman"/>
                <w:color w:val="auto"/>
                <w:sz w:val="21"/>
                <w:szCs w:val="21"/>
                <w:lang w:val="en-US" w:eastAsia="zh-CN"/>
              </w:rPr>
              <w:t>三级标准要求、</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eastAsia="zh-CN"/>
              </w:rPr>
              <w:t>污水排入城镇下水道水质标准</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eastAsia="zh-CN"/>
              </w:rPr>
              <w:t>（GB/T31962-2015）中</w:t>
            </w:r>
            <w:r>
              <w:rPr>
                <w:rFonts w:hint="default" w:ascii="Times New Roman" w:hAnsi="Times New Roman" w:eastAsia="宋体" w:cs="Times New Roman"/>
                <w:color w:val="auto"/>
                <w:sz w:val="21"/>
                <w:szCs w:val="21"/>
                <w:lang w:val="en-US" w:eastAsia="zh-CN"/>
              </w:rPr>
              <w:t>表1</w:t>
            </w:r>
            <w:r>
              <w:rPr>
                <w:rFonts w:hint="eastAsia"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lang w:val="en-US" w:eastAsia="zh-CN"/>
              </w:rPr>
              <w:t>B级标准</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eastAsia="zh-CN"/>
              </w:rPr>
              <w:t>。</w:t>
            </w:r>
          </w:p>
          <w:p w14:paraId="6BB40400">
            <w:pPr>
              <w:pageBreakBefore w:val="0"/>
              <w:kinsoku/>
              <w:wordWrap/>
              <w:bidi w:val="0"/>
              <w:adjustRightInd w:val="0"/>
              <w:snapToGrid w:val="0"/>
              <w:spacing w:line="240" w:lineRule="auto"/>
              <w:jc w:val="center"/>
              <w:rPr>
                <w:rFonts w:hint="default" w:ascii="Times New Roman" w:hAnsi="Times New Roman" w:eastAsia="黑体" w:cs="Times New Roman"/>
                <w:b w:val="0"/>
                <w:bCs/>
                <w:color w:val="auto"/>
                <w:sz w:val="21"/>
                <w:szCs w:val="21"/>
                <w:highlight w:val="none"/>
                <w:lang w:val="en-US" w:eastAsia="zh-CN"/>
              </w:rPr>
            </w:pPr>
            <w:r>
              <w:rPr>
                <w:rFonts w:hint="default" w:ascii="Times New Roman" w:hAnsi="Times New Roman" w:eastAsia="黑体" w:cs="Times New Roman"/>
                <w:b w:val="0"/>
                <w:bCs/>
                <w:color w:val="auto"/>
                <w:sz w:val="21"/>
                <w:szCs w:val="21"/>
                <w:highlight w:val="none"/>
                <w:lang w:val="en-US" w:eastAsia="zh-CN"/>
              </w:rPr>
              <w:t>表3-</w:t>
            </w:r>
            <w:r>
              <w:rPr>
                <w:rFonts w:hint="eastAsia" w:eastAsia="黑体" w:cs="Times New Roman"/>
                <w:b w:val="0"/>
                <w:bCs/>
                <w:color w:val="auto"/>
                <w:sz w:val="21"/>
                <w:szCs w:val="21"/>
                <w:highlight w:val="none"/>
                <w:lang w:val="en-US" w:eastAsia="zh-CN"/>
              </w:rPr>
              <w:t xml:space="preserve">6  </w:t>
            </w:r>
            <w:r>
              <w:rPr>
                <w:rFonts w:hint="default" w:ascii="Times New Roman" w:hAnsi="Times New Roman" w:eastAsia="黑体" w:cs="Times New Roman"/>
                <w:b w:val="0"/>
                <w:bCs/>
                <w:color w:val="auto"/>
                <w:sz w:val="21"/>
                <w:szCs w:val="21"/>
                <w:highlight w:val="none"/>
                <w:lang w:val="en-US" w:eastAsia="zh-CN"/>
              </w:rPr>
              <w:t>水污染物排放限值标准</w:t>
            </w:r>
            <w:r>
              <w:rPr>
                <w:rFonts w:hint="eastAsia" w:ascii="Times New Roman" w:hAnsi="Times New Roman" w:eastAsia="黑体" w:cs="Times New Roman"/>
                <w:b w:val="0"/>
                <w:bCs/>
                <w:color w:val="auto"/>
                <w:sz w:val="21"/>
                <w:szCs w:val="21"/>
                <w:highlight w:val="none"/>
                <w:lang w:val="en-US" w:eastAsia="zh-CN"/>
              </w:rPr>
              <w:t xml:space="preserve">  </w:t>
            </w:r>
            <w:r>
              <w:rPr>
                <w:rFonts w:hint="eastAsia" w:ascii="Times New Roman" w:hAnsi="Times New Roman" w:eastAsia="宋体" w:cs="Times New Roman"/>
                <w:b/>
                <w:bCs/>
                <w:color w:val="auto"/>
                <w:sz w:val="21"/>
                <w:szCs w:val="21"/>
                <w:lang w:val="en-US" w:eastAsia="zh-CN"/>
              </w:rPr>
              <w:t>mg/L</w:t>
            </w:r>
          </w:p>
          <w:tbl>
            <w:tblPr>
              <w:tblStyle w:val="33"/>
              <w:tblW w:w="823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55"/>
              <w:gridCol w:w="3024"/>
              <w:gridCol w:w="1979"/>
              <w:gridCol w:w="1979"/>
            </w:tblGrid>
            <w:tr w14:paraId="42C93E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1255" w:type="dxa"/>
                  <w:tcBorders>
                    <w:tl2br w:val="nil"/>
                    <w:tr2bl w:val="nil"/>
                  </w:tcBorders>
                  <w:noWrap w:val="0"/>
                  <w:vAlign w:val="center"/>
                </w:tcPr>
                <w:p w14:paraId="5B74186C">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污染物</w:t>
                  </w:r>
                </w:p>
              </w:tc>
              <w:tc>
                <w:tcPr>
                  <w:tcW w:w="3024" w:type="dxa"/>
                  <w:tcBorders>
                    <w:tl2br w:val="nil"/>
                    <w:tr2bl w:val="nil"/>
                  </w:tcBorders>
                  <w:noWrap w:val="0"/>
                  <w:vAlign w:val="center"/>
                </w:tcPr>
                <w:p w14:paraId="5A2A2A07">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color w:val="auto"/>
                      <w:sz w:val="18"/>
                      <w:szCs w:val="18"/>
                      <w:lang w:val="en-US" w:eastAsia="zh-CN"/>
                    </w:rPr>
                  </w:pPr>
                  <w:r>
                    <w:rPr>
                      <w:rFonts w:hint="default" w:ascii="Times New Roman" w:hAnsi="Times New Roman" w:cs="Times New Roman"/>
                      <w:b/>
                      <w:bCs/>
                      <w:color w:val="auto"/>
                      <w:sz w:val="18"/>
                      <w:szCs w:val="18"/>
                    </w:rPr>
                    <w:t>《钢铁工业水污染物排放标准》（GB13456-2012）及其修改单</w:t>
                  </w:r>
                  <w:r>
                    <w:rPr>
                      <w:rFonts w:hint="eastAsia" w:ascii="Times New Roman" w:hAnsi="Times New Roman" w:cs="Times New Roman"/>
                      <w:b/>
                      <w:bCs/>
                      <w:color w:val="auto"/>
                      <w:sz w:val="18"/>
                      <w:szCs w:val="18"/>
                      <w:lang w:val="en-US" w:eastAsia="zh-CN"/>
                    </w:rPr>
                    <w:t>表3</w:t>
                  </w:r>
                </w:p>
              </w:tc>
              <w:tc>
                <w:tcPr>
                  <w:tcW w:w="1979" w:type="dxa"/>
                  <w:tcBorders>
                    <w:tl2br w:val="nil"/>
                    <w:tr2bl w:val="nil"/>
                  </w:tcBorders>
                  <w:noWrap w:val="0"/>
                  <w:vAlign w:val="center"/>
                </w:tcPr>
                <w:p w14:paraId="725A98B5">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color w:val="auto"/>
                      <w:sz w:val="18"/>
                      <w:szCs w:val="18"/>
                      <w:lang w:val="en-US" w:eastAsia="zh-CN"/>
                    </w:rPr>
                  </w:pPr>
                  <w:r>
                    <w:rPr>
                      <w:rFonts w:hint="eastAsia" w:ascii="Times New Roman" w:hAnsi="Times New Roman" w:eastAsia="宋体" w:cs="Times New Roman"/>
                      <w:b/>
                      <w:bCs/>
                      <w:color w:val="auto"/>
                      <w:sz w:val="18"/>
                      <w:szCs w:val="18"/>
                      <w:lang w:val="en-US" w:eastAsia="zh-CN"/>
                    </w:rPr>
                    <w:t>园区污水厂进水水质要求</w:t>
                  </w:r>
                </w:p>
              </w:tc>
              <w:tc>
                <w:tcPr>
                  <w:tcW w:w="1979" w:type="dxa"/>
                  <w:tcBorders>
                    <w:tl2br w:val="nil"/>
                    <w:tr2bl w:val="nil"/>
                  </w:tcBorders>
                  <w:noWrap w:val="0"/>
                  <w:vAlign w:val="center"/>
                </w:tcPr>
                <w:p w14:paraId="2890CB97">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color w:val="auto"/>
                      <w:sz w:val="18"/>
                      <w:szCs w:val="18"/>
                      <w:lang w:val="en-US" w:eastAsia="zh-CN"/>
                    </w:rPr>
                  </w:pPr>
                  <w:r>
                    <w:rPr>
                      <w:rFonts w:hint="eastAsia" w:ascii="Times New Roman" w:hAnsi="Times New Roman" w:eastAsia="宋体" w:cs="Times New Roman"/>
                      <w:b/>
                      <w:bCs/>
                      <w:color w:val="auto"/>
                      <w:sz w:val="18"/>
                      <w:szCs w:val="18"/>
                      <w:lang w:val="en-US" w:eastAsia="zh-CN"/>
                    </w:rPr>
                    <w:t>本项目最终执行标准</w:t>
                  </w:r>
                </w:p>
              </w:tc>
            </w:tr>
            <w:tr w14:paraId="1282E0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255" w:type="dxa"/>
                  <w:tcBorders>
                    <w:tl2br w:val="nil"/>
                    <w:tr2bl w:val="nil"/>
                  </w:tcBorders>
                  <w:noWrap w:val="0"/>
                  <w:vAlign w:val="center"/>
                </w:tcPr>
                <w:p w14:paraId="7205EE30">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18"/>
                      <w:szCs w:val="18"/>
                    </w:rPr>
                  </w:pPr>
                  <w:r>
                    <w:rPr>
                      <w:rFonts w:hint="eastAsia"/>
                      <w:b w:val="0"/>
                      <w:bCs w:val="0"/>
                      <w:color w:val="auto"/>
                      <w:sz w:val="18"/>
                      <w:szCs w:val="18"/>
                      <w:lang w:val="en-US" w:eastAsia="zh-CN"/>
                    </w:rPr>
                    <w:t>pH</w:t>
                  </w:r>
                </w:p>
              </w:tc>
              <w:tc>
                <w:tcPr>
                  <w:tcW w:w="3024" w:type="dxa"/>
                  <w:tcBorders>
                    <w:tl2br w:val="nil"/>
                    <w:tr2bl w:val="nil"/>
                  </w:tcBorders>
                  <w:noWrap w:val="0"/>
                  <w:vAlign w:val="center"/>
                </w:tcPr>
                <w:p w14:paraId="6275ACD4">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b w:val="0"/>
                      <w:bCs w:val="0"/>
                      <w:color w:val="auto"/>
                      <w:kern w:val="0"/>
                      <w:sz w:val="18"/>
                      <w:szCs w:val="18"/>
                      <w:lang w:val="en-US" w:eastAsia="zh-CN" w:bidi="ar-SA"/>
                    </w:rPr>
                    <w:t>6-9（无量纲）</w:t>
                  </w:r>
                </w:p>
              </w:tc>
              <w:tc>
                <w:tcPr>
                  <w:tcW w:w="1979" w:type="dxa"/>
                  <w:tcBorders>
                    <w:tl2br w:val="nil"/>
                    <w:tr2bl w:val="nil"/>
                  </w:tcBorders>
                  <w:noWrap w:val="0"/>
                  <w:vAlign w:val="center"/>
                </w:tcPr>
                <w:p w14:paraId="4B4E18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SA"/>
                    </w:rPr>
                    <w:t>6-9（无量纲）</w:t>
                  </w:r>
                </w:p>
              </w:tc>
              <w:tc>
                <w:tcPr>
                  <w:tcW w:w="1979" w:type="dxa"/>
                  <w:tcBorders>
                    <w:tl2br w:val="nil"/>
                    <w:tr2bl w:val="nil"/>
                  </w:tcBorders>
                  <w:shd w:val="clear" w:color="auto" w:fill="auto"/>
                  <w:noWrap w:val="0"/>
                  <w:vAlign w:val="center"/>
                </w:tcPr>
                <w:p w14:paraId="508093D1">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SA"/>
                    </w:rPr>
                    <w:t>6-9（无量纲）</w:t>
                  </w:r>
                </w:p>
              </w:tc>
            </w:tr>
            <w:tr w14:paraId="4CDA5F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255" w:type="dxa"/>
                  <w:tcBorders>
                    <w:tl2br w:val="nil"/>
                    <w:tr2bl w:val="nil"/>
                  </w:tcBorders>
                  <w:noWrap w:val="0"/>
                  <w:vAlign w:val="center"/>
                </w:tcPr>
                <w:p w14:paraId="31F44448">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COD</w:t>
                  </w:r>
                  <w:r>
                    <w:rPr>
                      <w:rFonts w:ascii="Times New Roman" w:hAnsi="Times New Roman" w:eastAsia="宋体" w:cs="Times New Roman"/>
                      <w:color w:val="auto"/>
                      <w:sz w:val="18"/>
                      <w:szCs w:val="18"/>
                      <w:vertAlign w:val="subscript"/>
                      <w:lang w:eastAsia="zh-CN"/>
                    </w:rPr>
                    <w:t>cr</w:t>
                  </w:r>
                </w:p>
              </w:tc>
              <w:tc>
                <w:tcPr>
                  <w:tcW w:w="3024" w:type="dxa"/>
                  <w:tcBorders>
                    <w:tl2br w:val="nil"/>
                    <w:tr2bl w:val="nil"/>
                  </w:tcBorders>
                  <w:noWrap w:val="0"/>
                  <w:vAlign w:val="center"/>
                </w:tcPr>
                <w:p w14:paraId="1D09AA60">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200</w:t>
                  </w:r>
                </w:p>
              </w:tc>
              <w:tc>
                <w:tcPr>
                  <w:tcW w:w="1979" w:type="dxa"/>
                  <w:tcBorders>
                    <w:tl2br w:val="nil"/>
                    <w:tr2bl w:val="nil"/>
                  </w:tcBorders>
                  <w:noWrap w:val="0"/>
                  <w:vAlign w:val="center"/>
                </w:tcPr>
                <w:p w14:paraId="0B6AD62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kern w:val="0"/>
                      <w:sz w:val="18"/>
                      <w:szCs w:val="18"/>
                      <w:lang w:val="en-US" w:eastAsia="zh-CN" w:bidi="ar-SA"/>
                    </w:rPr>
                    <w:t>500</w:t>
                  </w:r>
                </w:p>
              </w:tc>
              <w:tc>
                <w:tcPr>
                  <w:tcW w:w="1979" w:type="dxa"/>
                  <w:tcBorders>
                    <w:tl2br w:val="nil"/>
                    <w:tr2bl w:val="nil"/>
                  </w:tcBorders>
                  <w:shd w:val="clear" w:color="auto" w:fill="auto"/>
                  <w:noWrap w:val="0"/>
                  <w:vAlign w:val="center"/>
                </w:tcPr>
                <w:p w14:paraId="62CCE941">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cs="Times New Roman"/>
                      <w:color w:val="auto"/>
                      <w:sz w:val="18"/>
                      <w:szCs w:val="18"/>
                      <w:lang w:val="en-US" w:eastAsia="zh-CN"/>
                    </w:rPr>
                    <w:t>200</w:t>
                  </w:r>
                </w:p>
              </w:tc>
            </w:tr>
            <w:tr w14:paraId="0D02BE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1255" w:type="dxa"/>
                  <w:tcBorders>
                    <w:tl2br w:val="nil"/>
                    <w:tr2bl w:val="nil"/>
                  </w:tcBorders>
                  <w:noWrap w:val="0"/>
                  <w:vAlign w:val="center"/>
                </w:tcPr>
                <w:p w14:paraId="10DE230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0"/>
                      <w:sz w:val="18"/>
                      <w:szCs w:val="18"/>
                      <w:lang w:val="en-US" w:eastAsia="zh-CN" w:bidi="ar-SA"/>
                    </w:rPr>
                    <w:t>SS</w:t>
                  </w:r>
                </w:p>
              </w:tc>
              <w:tc>
                <w:tcPr>
                  <w:tcW w:w="3024" w:type="dxa"/>
                  <w:tcBorders>
                    <w:tl2br w:val="nil"/>
                    <w:tr2bl w:val="nil"/>
                  </w:tcBorders>
                  <w:noWrap w:val="0"/>
                  <w:vAlign w:val="center"/>
                </w:tcPr>
                <w:p w14:paraId="407C151B">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30</w:t>
                  </w:r>
                </w:p>
              </w:tc>
              <w:tc>
                <w:tcPr>
                  <w:tcW w:w="1979" w:type="dxa"/>
                  <w:tcBorders>
                    <w:tl2br w:val="nil"/>
                    <w:tr2bl w:val="nil"/>
                  </w:tcBorders>
                  <w:noWrap w:val="0"/>
                  <w:vAlign w:val="center"/>
                </w:tcPr>
                <w:p w14:paraId="729B77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kern w:val="0"/>
                      <w:sz w:val="18"/>
                      <w:szCs w:val="18"/>
                      <w:lang w:val="en-US" w:eastAsia="zh-CN" w:bidi="ar-SA"/>
                    </w:rPr>
                    <w:t>400</w:t>
                  </w:r>
                </w:p>
              </w:tc>
              <w:tc>
                <w:tcPr>
                  <w:tcW w:w="1979" w:type="dxa"/>
                  <w:tcBorders>
                    <w:tl2br w:val="nil"/>
                    <w:tr2bl w:val="nil"/>
                  </w:tcBorders>
                  <w:shd w:val="clear" w:color="auto" w:fill="auto"/>
                  <w:noWrap w:val="0"/>
                  <w:vAlign w:val="center"/>
                </w:tcPr>
                <w:p w14:paraId="2CA4E747">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cs="Times New Roman"/>
                      <w:color w:val="auto"/>
                      <w:sz w:val="18"/>
                      <w:szCs w:val="18"/>
                      <w:lang w:val="en-US" w:eastAsia="zh-CN"/>
                    </w:rPr>
                    <w:t>30</w:t>
                  </w:r>
                </w:p>
              </w:tc>
            </w:tr>
            <w:tr w14:paraId="430784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1255" w:type="dxa"/>
                  <w:tcBorders>
                    <w:tl2br w:val="nil"/>
                    <w:tr2bl w:val="nil"/>
                  </w:tcBorders>
                  <w:noWrap w:val="0"/>
                  <w:vAlign w:val="center"/>
                </w:tcPr>
                <w:p w14:paraId="52582E6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kern w:val="0"/>
                      <w:sz w:val="18"/>
                      <w:szCs w:val="18"/>
                      <w:lang w:val="en-US" w:eastAsia="zh-CN" w:bidi="ar-SA"/>
                    </w:rPr>
                    <w:t>BOD</w:t>
                  </w:r>
                  <w:r>
                    <w:rPr>
                      <w:rFonts w:hint="default" w:ascii="Times New Roman" w:hAnsi="Times New Roman" w:eastAsia="宋体" w:cs="Times New Roman"/>
                      <w:color w:val="auto"/>
                      <w:kern w:val="0"/>
                      <w:sz w:val="18"/>
                      <w:szCs w:val="18"/>
                      <w:vertAlign w:val="subscript"/>
                      <w:lang w:val="en-US" w:eastAsia="zh-CN" w:bidi="ar-SA"/>
                    </w:rPr>
                    <w:t>5</w:t>
                  </w:r>
                </w:p>
              </w:tc>
              <w:tc>
                <w:tcPr>
                  <w:tcW w:w="3024" w:type="dxa"/>
                  <w:tcBorders>
                    <w:tl2br w:val="nil"/>
                    <w:tr2bl w:val="nil"/>
                  </w:tcBorders>
                  <w:noWrap w:val="0"/>
                  <w:vAlign w:val="center"/>
                </w:tcPr>
                <w:p w14:paraId="0918BBD7">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w:t>
                  </w:r>
                </w:p>
              </w:tc>
              <w:tc>
                <w:tcPr>
                  <w:tcW w:w="1979" w:type="dxa"/>
                  <w:tcBorders>
                    <w:tl2br w:val="nil"/>
                    <w:tr2bl w:val="nil"/>
                  </w:tcBorders>
                  <w:noWrap w:val="0"/>
                  <w:vAlign w:val="center"/>
                </w:tcPr>
                <w:p w14:paraId="135EC0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kern w:val="0"/>
                      <w:sz w:val="18"/>
                      <w:szCs w:val="18"/>
                      <w:lang w:val="en-US" w:eastAsia="zh-CN" w:bidi="ar-SA"/>
                    </w:rPr>
                    <w:t>300</w:t>
                  </w:r>
                </w:p>
              </w:tc>
              <w:tc>
                <w:tcPr>
                  <w:tcW w:w="1979" w:type="dxa"/>
                  <w:tcBorders>
                    <w:tl2br w:val="nil"/>
                    <w:tr2bl w:val="nil"/>
                  </w:tcBorders>
                  <w:shd w:val="clear" w:color="auto" w:fill="auto"/>
                  <w:noWrap w:val="0"/>
                  <w:vAlign w:val="center"/>
                </w:tcPr>
                <w:p w14:paraId="69C956C4">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cs="Times New Roman"/>
                      <w:color w:val="auto"/>
                      <w:sz w:val="18"/>
                      <w:szCs w:val="18"/>
                      <w:lang w:val="en-US" w:eastAsia="zh-CN"/>
                    </w:rPr>
                    <w:t>300</w:t>
                  </w:r>
                </w:p>
              </w:tc>
            </w:tr>
            <w:tr w14:paraId="54D0D3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1255" w:type="dxa"/>
                  <w:tcBorders>
                    <w:tl2br w:val="nil"/>
                    <w:tr2bl w:val="nil"/>
                  </w:tcBorders>
                  <w:noWrap w:val="0"/>
                  <w:vAlign w:val="center"/>
                </w:tcPr>
                <w:p w14:paraId="50088925">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kern w:val="0"/>
                      <w:sz w:val="18"/>
                      <w:szCs w:val="18"/>
                      <w:lang w:val="en-US" w:eastAsia="zh-CN" w:bidi="ar-SA"/>
                    </w:rPr>
                    <w:t>NH</w:t>
                  </w:r>
                  <w:r>
                    <w:rPr>
                      <w:rFonts w:hint="default" w:ascii="Times New Roman" w:hAnsi="Times New Roman" w:eastAsia="宋体" w:cs="Times New Roman"/>
                      <w:color w:val="auto"/>
                      <w:kern w:val="0"/>
                      <w:sz w:val="18"/>
                      <w:szCs w:val="18"/>
                      <w:vertAlign w:val="subscript"/>
                      <w:lang w:val="en-US" w:eastAsia="zh-CN" w:bidi="ar-SA"/>
                    </w:rPr>
                    <w:t>3</w:t>
                  </w:r>
                  <w:r>
                    <w:rPr>
                      <w:rFonts w:hint="default" w:ascii="Times New Roman" w:hAnsi="Times New Roman" w:eastAsia="宋体" w:cs="Times New Roman"/>
                      <w:color w:val="auto"/>
                      <w:kern w:val="0"/>
                      <w:sz w:val="18"/>
                      <w:szCs w:val="18"/>
                      <w:lang w:val="en-US" w:eastAsia="zh-CN" w:bidi="ar-SA"/>
                    </w:rPr>
                    <w:t>-N</w:t>
                  </w:r>
                </w:p>
              </w:tc>
              <w:tc>
                <w:tcPr>
                  <w:tcW w:w="3024" w:type="dxa"/>
                  <w:tcBorders>
                    <w:tl2br w:val="nil"/>
                    <w:tr2bl w:val="nil"/>
                  </w:tcBorders>
                  <w:noWrap w:val="0"/>
                  <w:vAlign w:val="center"/>
                </w:tcPr>
                <w:p w14:paraId="0C957A91">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8</w:t>
                  </w:r>
                </w:p>
              </w:tc>
              <w:tc>
                <w:tcPr>
                  <w:tcW w:w="1979" w:type="dxa"/>
                  <w:tcBorders>
                    <w:tl2br w:val="nil"/>
                    <w:tr2bl w:val="nil"/>
                  </w:tcBorders>
                  <w:noWrap w:val="0"/>
                  <w:vAlign w:val="center"/>
                </w:tcPr>
                <w:p w14:paraId="347363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SA"/>
                    </w:rPr>
                    <w:t>45</w:t>
                  </w:r>
                </w:p>
              </w:tc>
              <w:tc>
                <w:tcPr>
                  <w:tcW w:w="1979" w:type="dxa"/>
                  <w:tcBorders>
                    <w:tl2br w:val="nil"/>
                    <w:tr2bl w:val="nil"/>
                  </w:tcBorders>
                  <w:shd w:val="clear" w:color="auto" w:fill="auto"/>
                  <w:noWrap w:val="0"/>
                  <w:vAlign w:val="center"/>
                </w:tcPr>
                <w:p w14:paraId="06CCCE09">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8</w:t>
                  </w:r>
                </w:p>
              </w:tc>
            </w:tr>
            <w:tr w14:paraId="3FCB43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1255" w:type="dxa"/>
                  <w:tcBorders>
                    <w:tl2br w:val="nil"/>
                    <w:tr2bl w:val="nil"/>
                  </w:tcBorders>
                  <w:noWrap w:val="0"/>
                  <w:vAlign w:val="center"/>
                </w:tcPr>
                <w:p w14:paraId="03090CD1">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eastAsia" w:ascii="Times New Roman" w:hAnsi="Times New Roman" w:eastAsia="宋体" w:cs="Times New Roman"/>
                      <w:color w:val="auto"/>
                      <w:kern w:val="0"/>
                      <w:sz w:val="18"/>
                      <w:szCs w:val="18"/>
                      <w:lang w:val="en-US" w:eastAsia="zh-CN" w:bidi="ar-SA"/>
                    </w:rPr>
                    <w:t>总氮</w:t>
                  </w:r>
                </w:p>
              </w:tc>
              <w:tc>
                <w:tcPr>
                  <w:tcW w:w="3024" w:type="dxa"/>
                  <w:tcBorders>
                    <w:tl2br w:val="nil"/>
                    <w:tr2bl w:val="nil"/>
                  </w:tcBorders>
                  <w:noWrap w:val="0"/>
                  <w:vAlign w:val="center"/>
                </w:tcPr>
                <w:p w14:paraId="46B332D9">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20</w:t>
                  </w:r>
                </w:p>
              </w:tc>
              <w:tc>
                <w:tcPr>
                  <w:tcW w:w="1979" w:type="dxa"/>
                  <w:tcBorders>
                    <w:tl2br w:val="nil"/>
                    <w:tr2bl w:val="nil"/>
                  </w:tcBorders>
                  <w:noWrap w:val="0"/>
                  <w:vAlign w:val="center"/>
                </w:tcPr>
                <w:p w14:paraId="5C62592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SA"/>
                    </w:rPr>
                    <w:t>70</w:t>
                  </w:r>
                </w:p>
              </w:tc>
              <w:tc>
                <w:tcPr>
                  <w:tcW w:w="1979" w:type="dxa"/>
                  <w:tcBorders>
                    <w:tl2br w:val="nil"/>
                    <w:tr2bl w:val="nil"/>
                  </w:tcBorders>
                  <w:shd w:val="clear" w:color="auto" w:fill="auto"/>
                  <w:noWrap w:val="0"/>
                  <w:vAlign w:val="center"/>
                </w:tcPr>
                <w:p w14:paraId="5989EBFE">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cs="Times New Roman"/>
                      <w:color w:val="auto"/>
                      <w:sz w:val="18"/>
                      <w:szCs w:val="18"/>
                      <w:lang w:val="en-US" w:eastAsia="zh-CN"/>
                    </w:rPr>
                    <w:t>20</w:t>
                  </w:r>
                </w:p>
              </w:tc>
            </w:tr>
            <w:tr w14:paraId="647B3F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1255" w:type="dxa"/>
                  <w:tcBorders>
                    <w:tl2br w:val="nil"/>
                    <w:tr2bl w:val="nil"/>
                  </w:tcBorders>
                  <w:noWrap w:val="0"/>
                  <w:vAlign w:val="center"/>
                </w:tcPr>
                <w:p w14:paraId="0EB6D32D">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eastAsia" w:ascii="Times New Roman" w:hAnsi="Times New Roman" w:eastAsia="宋体" w:cs="Times New Roman"/>
                      <w:color w:val="auto"/>
                      <w:kern w:val="0"/>
                      <w:sz w:val="18"/>
                      <w:szCs w:val="18"/>
                      <w:lang w:val="en-US" w:eastAsia="zh-CN" w:bidi="ar-SA"/>
                    </w:rPr>
                    <w:t>石油类</w:t>
                  </w:r>
                </w:p>
              </w:tc>
              <w:tc>
                <w:tcPr>
                  <w:tcW w:w="3024" w:type="dxa"/>
                  <w:tcBorders>
                    <w:tl2br w:val="nil"/>
                    <w:tr2bl w:val="nil"/>
                  </w:tcBorders>
                  <w:noWrap w:val="0"/>
                  <w:vAlign w:val="center"/>
                </w:tcPr>
                <w:p w14:paraId="64ACC3C3">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3</w:t>
                  </w:r>
                </w:p>
              </w:tc>
              <w:tc>
                <w:tcPr>
                  <w:tcW w:w="1979" w:type="dxa"/>
                  <w:tcBorders>
                    <w:tl2br w:val="nil"/>
                    <w:tr2bl w:val="nil"/>
                  </w:tcBorders>
                  <w:noWrap w:val="0"/>
                  <w:vAlign w:val="center"/>
                </w:tcPr>
                <w:p w14:paraId="66C2AD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18"/>
                      <w:szCs w:val="18"/>
                      <w:lang w:val="en-US" w:eastAsia="zh-CN" w:bidi="ar-SA"/>
                    </w:rPr>
                  </w:pPr>
                  <w:r>
                    <w:rPr>
                      <w:rFonts w:hint="eastAsia" w:ascii="Times New Roman" w:hAnsi="Times New Roman" w:eastAsia="宋体" w:cs="Times New Roman"/>
                      <w:b w:val="0"/>
                      <w:bCs w:val="0"/>
                      <w:color w:val="auto"/>
                      <w:kern w:val="0"/>
                      <w:sz w:val="18"/>
                      <w:szCs w:val="18"/>
                      <w:lang w:val="en-US" w:eastAsia="zh-CN" w:bidi="ar-SA"/>
                    </w:rPr>
                    <w:t>20</w:t>
                  </w:r>
                </w:p>
              </w:tc>
              <w:tc>
                <w:tcPr>
                  <w:tcW w:w="1979" w:type="dxa"/>
                  <w:tcBorders>
                    <w:tl2br w:val="nil"/>
                    <w:tr2bl w:val="nil"/>
                  </w:tcBorders>
                  <w:shd w:val="clear" w:color="auto" w:fill="auto"/>
                  <w:noWrap w:val="0"/>
                  <w:vAlign w:val="center"/>
                </w:tcPr>
                <w:p w14:paraId="5BB0E5DE">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cs="Times New Roman"/>
                      <w:color w:val="auto"/>
                      <w:sz w:val="18"/>
                      <w:szCs w:val="18"/>
                      <w:lang w:val="en-US" w:eastAsia="zh-CN"/>
                    </w:rPr>
                    <w:t>3</w:t>
                  </w:r>
                </w:p>
              </w:tc>
            </w:tr>
          </w:tbl>
          <w:p w14:paraId="17244AA5">
            <w:pPr>
              <w:pStyle w:val="166"/>
              <w:keepNext w:val="0"/>
              <w:keepLines w:val="0"/>
              <w:pageBreakBefore w:val="0"/>
              <w:widowControl w:val="0"/>
              <w:kinsoku/>
              <w:wordWrap/>
              <w:overflowPunct/>
              <w:topLinePunct w:val="0"/>
              <w:autoSpaceDE/>
              <w:autoSpaceDN/>
              <w:bidi w:val="0"/>
              <w:adjustRightInd w:val="0"/>
              <w:snapToGrid w:val="0"/>
              <w:textAlignment w:val="baseline"/>
              <w:rPr>
                <w:rFonts w:hint="default"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（4）</w:t>
            </w:r>
            <w:r>
              <w:rPr>
                <w:rFonts w:hint="default" w:ascii="Times New Roman" w:hAnsi="Times New Roman" w:eastAsia="宋体" w:cs="Times New Roman"/>
                <w:b/>
                <w:bCs/>
                <w:color w:val="auto"/>
                <w:kern w:val="2"/>
                <w:sz w:val="21"/>
                <w:szCs w:val="21"/>
                <w:lang w:val="en-US" w:eastAsia="zh-CN" w:bidi="ar-SA"/>
              </w:rPr>
              <w:t>固废污染控制标准</w:t>
            </w:r>
          </w:p>
          <w:p w14:paraId="7978805C">
            <w:pPr>
              <w:pStyle w:val="166"/>
              <w:keepNext w:val="0"/>
              <w:keepLines w:val="0"/>
              <w:pageBreakBefore w:val="0"/>
              <w:widowControl w:val="0"/>
              <w:kinsoku/>
              <w:wordWrap/>
              <w:overflowPunct/>
              <w:topLinePunct w:val="0"/>
              <w:autoSpaceDE/>
              <w:autoSpaceDN/>
              <w:bidi w:val="0"/>
              <w:adjustRightInd w:val="0"/>
              <w:snapToGrid w:val="0"/>
              <w:textAlignment w:val="baseline"/>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highlight w:val="none"/>
                <w:lang w:val="en-US" w:eastAsia="zh-CN"/>
              </w:rPr>
              <w:t>一般固废执行《中华人民共和国固体废物污染环境防治法》有关要求。</w:t>
            </w:r>
            <w:r>
              <w:rPr>
                <w:rFonts w:hint="eastAsia" w:eastAsia="宋体" w:cs="Times New Roman"/>
                <w:color w:val="auto"/>
                <w:sz w:val="21"/>
                <w:szCs w:val="21"/>
                <w:highlight w:val="none"/>
                <w:lang w:val="en-US" w:eastAsia="zh-CN"/>
              </w:rPr>
              <w:t>危险废物执行</w:t>
            </w:r>
            <w:r>
              <w:rPr>
                <w:rFonts w:hint="eastAsia" w:ascii="Times New Roman" w:hAnsi="Times New Roman" w:eastAsia="宋体" w:cs="Times New Roman"/>
                <w:color w:val="auto"/>
                <w:sz w:val="21"/>
                <w:szCs w:val="21"/>
                <w:highlight w:val="none"/>
                <w:lang w:val="en-US" w:eastAsia="zh-CN"/>
              </w:rPr>
              <w:t>《危险固体废物贮存污染控制标准》（</w:t>
            </w:r>
            <w:r>
              <w:rPr>
                <w:rFonts w:hint="default" w:ascii="Times New Roman" w:hAnsi="Times New Roman" w:eastAsia="宋体" w:cs="Times New Roman"/>
                <w:color w:val="auto"/>
                <w:sz w:val="21"/>
                <w:szCs w:val="21"/>
                <w:highlight w:val="none"/>
                <w:lang w:val="en-US" w:eastAsia="zh-CN"/>
              </w:rPr>
              <w:t>GB18597-2023</w:t>
            </w:r>
            <w:r>
              <w:rPr>
                <w:rFonts w:hint="eastAsia" w:ascii="Times New Roman" w:hAnsi="Times New Roman" w:eastAsia="宋体" w:cs="Times New Roman"/>
                <w:color w:val="auto"/>
                <w:sz w:val="21"/>
                <w:szCs w:val="21"/>
                <w:highlight w:val="none"/>
                <w:lang w:val="en-US" w:eastAsia="zh-CN"/>
              </w:rPr>
              <w:t>）。</w:t>
            </w:r>
          </w:p>
        </w:tc>
      </w:tr>
      <w:tr w14:paraId="4239FC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42" w:hRule="atLeast"/>
          <w:jc w:val="center"/>
        </w:trPr>
        <w:tc>
          <w:tcPr>
            <w:tcW w:w="677" w:type="dxa"/>
            <w:noWrap w:val="0"/>
            <w:tcMar>
              <w:left w:w="28" w:type="dxa"/>
              <w:right w:w="28" w:type="dxa"/>
            </w:tcMar>
            <w:vAlign w:val="center"/>
          </w:tcPr>
          <w:p w14:paraId="1E984258">
            <w:pPr>
              <w:adjustRightInd w:val="0"/>
              <w:snapToGrid w:val="0"/>
              <w:jc w:val="center"/>
              <w:rPr>
                <w:rFonts w:hint="default" w:ascii="Times New Roman" w:hAnsi="Times New Roman" w:eastAsia="宋体" w:cs="Times New Roman"/>
                <w:color w:val="auto"/>
                <w:kern w:val="0"/>
                <w:sz w:val="21"/>
                <w:szCs w:val="21"/>
                <w:highlight w:val="none"/>
              </w:rPr>
            </w:pPr>
            <w:r>
              <w:rPr>
                <w:rFonts w:hint="default"/>
                <w:color w:val="auto"/>
                <w:sz w:val="21"/>
                <w:szCs w:val="21"/>
                <w:highlight w:val="none"/>
              </w:rPr>
              <w:t>总量控制指标</w:t>
            </w:r>
          </w:p>
        </w:tc>
        <w:tc>
          <w:tcPr>
            <w:tcW w:w="8384" w:type="dxa"/>
            <w:noWrap w:val="0"/>
            <w:vAlign w:val="center"/>
          </w:tcPr>
          <w:p w14:paraId="3D5CCFF0">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ascii="Times New Roman" w:hAnsi="Times New Roman" w:eastAsia="宋体" w:cs="Times New Roman"/>
                <w:color w:val="auto"/>
                <w:sz w:val="21"/>
                <w:szCs w:val="21"/>
                <w:highlight w:val="none"/>
                <w:lang w:val="en-US" w:eastAsia="zh-CN"/>
              </w:rPr>
            </w:pPr>
          </w:p>
          <w:p w14:paraId="5E6F8E0D">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ascii="Times New Roman" w:hAnsi="Times New Roman" w:eastAsia="宋体" w:cs="Times New Roman"/>
                <w:color w:val="auto"/>
                <w:sz w:val="21"/>
                <w:szCs w:val="21"/>
                <w:highlight w:val="none"/>
                <w:lang w:val="en-US" w:eastAsia="zh-CN"/>
              </w:rPr>
            </w:pPr>
          </w:p>
          <w:p w14:paraId="20ADC411">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ascii="Times New Roman" w:hAnsi="Times New Roman" w:eastAsia="宋体" w:cs="Times New Roman"/>
                <w:color w:val="auto"/>
                <w:sz w:val="21"/>
                <w:szCs w:val="21"/>
                <w:highlight w:val="none"/>
                <w:lang w:val="en-US" w:eastAsia="zh-CN"/>
              </w:rPr>
            </w:pPr>
          </w:p>
          <w:p w14:paraId="2125202B">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ascii="Times New Roman" w:hAnsi="Times New Roman" w:eastAsia="宋体" w:cs="Times New Roman"/>
                <w:color w:val="auto"/>
                <w:sz w:val="21"/>
                <w:szCs w:val="21"/>
                <w:highlight w:val="none"/>
                <w:lang w:val="en-US" w:eastAsia="zh-CN"/>
              </w:rPr>
            </w:pPr>
          </w:p>
          <w:p w14:paraId="373BBF07">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ascii="Times New Roman" w:hAnsi="Times New Roman" w:eastAsia="宋体" w:cs="Times New Roman"/>
                <w:color w:val="auto"/>
                <w:sz w:val="21"/>
                <w:szCs w:val="21"/>
                <w:highlight w:val="none"/>
                <w:lang w:val="en-US" w:eastAsia="zh-CN"/>
              </w:rPr>
            </w:pPr>
          </w:p>
          <w:p w14:paraId="4FBCA5A7">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ascii="Times New Roman" w:hAnsi="Times New Roman" w:eastAsia="宋体" w:cs="Times New Roman"/>
                <w:color w:val="auto"/>
                <w:sz w:val="21"/>
                <w:szCs w:val="21"/>
                <w:highlight w:val="none"/>
                <w:lang w:val="en-US" w:eastAsia="zh-CN"/>
              </w:rPr>
            </w:pPr>
          </w:p>
          <w:p w14:paraId="4BB04781">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ascii="Times New Roman" w:hAnsi="Times New Roman" w:eastAsia="宋体" w:cs="Times New Roman"/>
                <w:color w:val="auto"/>
                <w:sz w:val="21"/>
                <w:szCs w:val="21"/>
                <w:highlight w:val="none"/>
                <w:lang w:val="en-US" w:eastAsia="zh-CN"/>
              </w:rPr>
            </w:pPr>
          </w:p>
          <w:p w14:paraId="746AAF03">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ascii="Times New Roman" w:hAnsi="Times New Roman" w:eastAsia="宋体" w:cs="Times New Roman"/>
                <w:color w:val="auto"/>
                <w:sz w:val="21"/>
                <w:szCs w:val="21"/>
                <w:highlight w:val="none"/>
                <w:lang w:val="en-US" w:eastAsia="zh-CN"/>
              </w:rPr>
            </w:pPr>
          </w:p>
          <w:p w14:paraId="1FE133CA">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ascii="Times New Roman" w:hAnsi="Times New Roman" w:eastAsia="宋体" w:cs="Times New Roman"/>
                <w:color w:val="auto"/>
                <w:sz w:val="21"/>
                <w:szCs w:val="21"/>
                <w:highlight w:val="none"/>
                <w:lang w:val="en-US" w:eastAsia="zh-CN"/>
              </w:rPr>
            </w:pPr>
          </w:p>
          <w:p w14:paraId="6DBB1FD6">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ascii="Times New Roman" w:hAnsi="Times New Roman" w:eastAsia="宋体" w:cs="Times New Roman"/>
                <w:color w:val="auto"/>
                <w:sz w:val="21"/>
                <w:szCs w:val="21"/>
                <w:highlight w:val="none"/>
                <w:lang w:val="en-US" w:eastAsia="zh-CN"/>
              </w:rPr>
            </w:pPr>
          </w:p>
          <w:p w14:paraId="6854A7E4">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ascii="Times New Roman" w:hAnsi="Times New Roman" w:eastAsia="宋体" w:cs="Times New Roman"/>
                <w:color w:val="auto"/>
                <w:sz w:val="21"/>
                <w:szCs w:val="21"/>
                <w:highlight w:val="none"/>
                <w:lang w:val="en-US" w:eastAsia="zh-CN"/>
              </w:rPr>
            </w:pPr>
          </w:p>
          <w:p w14:paraId="2685EE80">
            <w:pPr>
              <w:pStyle w:val="166"/>
              <w:keepNext w:val="0"/>
              <w:keepLines w:val="0"/>
              <w:pageBreakBefore w:val="0"/>
              <w:widowControl w:val="0"/>
              <w:kinsoku/>
              <w:wordWrap/>
              <w:overflowPunct/>
              <w:topLinePunct w:val="0"/>
              <w:autoSpaceDE/>
              <w:autoSpaceDN/>
              <w:bidi w:val="0"/>
              <w:adjustRightInd w:val="0"/>
              <w:snapToGrid w:val="0"/>
              <w:textAlignment w:val="baseline"/>
              <w:rPr>
                <w:rFonts w:hint="default"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经计算，</w:t>
            </w:r>
            <w:r>
              <w:rPr>
                <w:rFonts w:hint="eastAsia" w:eastAsia="宋体" w:cs="Times New Roman"/>
                <w:color w:val="auto"/>
                <w:sz w:val="21"/>
                <w:szCs w:val="21"/>
                <w:highlight w:val="none"/>
                <w:lang w:val="en-US" w:eastAsia="zh-CN"/>
              </w:rPr>
              <w:t>本项目有组织大气污染物排放量分别</w:t>
            </w:r>
            <w:r>
              <w:rPr>
                <w:rFonts w:hint="eastAsia" w:ascii="Times New Roman" w:hAnsi="Times New Roman" w:eastAsia="宋体" w:cs="Times New Roman"/>
                <w:color w:val="auto"/>
                <w:sz w:val="21"/>
                <w:szCs w:val="21"/>
                <w:highlight w:val="none"/>
                <w:lang w:val="en-US" w:eastAsia="zh-CN"/>
              </w:rPr>
              <w:t>为</w:t>
            </w:r>
            <w:r>
              <w:rPr>
                <w:rFonts w:hint="eastAsia" w:eastAsia="宋体" w:cs="Times New Roman"/>
                <w:color w:val="auto"/>
                <w:sz w:val="21"/>
                <w:szCs w:val="21"/>
                <w:highlight w:val="none"/>
                <w:lang w:val="en-US" w:eastAsia="zh-CN"/>
              </w:rPr>
              <w:t>颗粒物5.554t/a、二氧化硫4.638t/a、氮氧化物32.071t/a</w:t>
            </w:r>
            <w:r>
              <w:rPr>
                <w:rFonts w:hint="eastAsia" w:ascii="Times New Roman" w:hAnsi="Times New Roman" w:eastAsia="宋体" w:cs="Times New Roman"/>
                <w:color w:val="auto"/>
                <w:sz w:val="21"/>
                <w:szCs w:val="21"/>
                <w:highlight w:val="none"/>
                <w:lang w:val="en-US" w:eastAsia="zh-CN"/>
              </w:rPr>
              <w:t>，</w:t>
            </w:r>
            <w:r>
              <w:rPr>
                <w:rFonts w:hint="eastAsia" w:eastAsia="宋体" w:cs="Times New Roman"/>
                <w:color w:val="auto"/>
                <w:sz w:val="21"/>
                <w:szCs w:val="21"/>
                <w:highlight w:val="none"/>
                <w:lang w:val="en-US" w:eastAsia="zh-CN"/>
              </w:rPr>
              <w:t>昌吉市为不达标区，本项目总量控制指标执行倍量替代，替代量分别为颗粒物11.108t/a、二氧化硫9.276t/a、氮氧化物64.142t/a。</w:t>
            </w:r>
            <w:bookmarkStart w:id="22" w:name="_GoBack"/>
            <w:bookmarkEnd w:id="22"/>
          </w:p>
          <w:p w14:paraId="57F8013A">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拟建项目废水排至园区污水处理厂进一步处理，无需申请COD、氨氮总量。</w:t>
            </w:r>
          </w:p>
          <w:p w14:paraId="575545FC">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eastAsia="宋体" w:cs="Times New Roman"/>
                <w:color w:val="auto"/>
                <w:sz w:val="21"/>
                <w:szCs w:val="21"/>
                <w:highlight w:val="none"/>
                <w:lang w:val="en-US" w:eastAsia="zh-CN"/>
              </w:rPr>
            </w:pPr>
          </w:p>
          <w:p w14:paraId="4F86274A">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eastAsia="宋体" w:cs="Times New Roman"/>
                <w:color w:val="auto"/>
                <w:sz w:val="21"/>
                <w:szCs w:val="21"/>
                <w:highlight w:val="none"/>
                <w:lang w:val="en-US" w:eastAsia="zh-CN"/>
              </w:rPr>
            </w:pPr>
          </w:p>
          <w:p w14:paraId="75C09254">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eastAsia="宋体" w:cs="Times New Roman"/>
                <w:color w:val="auto"/>
                <w:sz w:val="21"/>
                <w:szCs w:val="21"/>
                <w:highlight w:val="none"/>
                <w:lang w:val="en-US" w:eastAsia="zh-CN"/>
              </w:rPr>
            </w:pPr>
          </w:p>
          <w:p w14:paraId="5DA0CA36">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eastAsia="宋体" w:cs="Times New Roman"/>
                <w:color w:val="auto"/>
                <w:sz w:val="21"/>
                <w:szCs w:val="21"/>
                <w:highlight w:val="none"/>
                <w:lang w:val="en-US" w:eastAsia="zh-CN"/>
              </w:rPr>
            </w:pPr>
          </w:p>
          <w:p w14:paraId="193E6A70">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eastAsia="宋体" w:cs="Times New Roman"/>
                <w:color w:val="auto"/>
                <w:sz w:val="21"/>
                <w:szCs w:val="21"/>
                <w:highlight w:val="none"/>
                <w:lang w:val="en-US" w:eastAsia="zh-CN"/>
              </w:rPr>
            </w:pPr>
          </w:p>
          <w:p w14:paraId="249CACD7">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eastAsia="宋体" w:cs="Times New Roman"/>
                <w:color w:val="auto"/>
                <w:sz w:val="21"/>
                <w:szCs w:val="21"/>
                <w:highlight w:val="none"/>
                <w:lang w:val="en-US" w:eastAsia="zh-CN"/>
              </w:rPr>
            </w:pPr>
          </w:p>
          <w:p w14:paraId="4FF8A214">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eastAsia="宋体" w:cs="Times New Roman"/>
                <w:color w:val="auto"/>
                <w:sz w:val="21"/>
                <w:szCs w:val="21"/>
                <w:highlight w:val="none"/>
                <w:lang w:val="en-US" w:eastAsia="zh-CN"/>
              </w:rPr>
            </w:pPr>
          </w:p>
          <w:p w14:paraId="7E4C9EF4">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eastAsia="宋体" w:cs="Times New Roman"/>
                <w:color w:val="auto"/>
                <w:sz w:val="21"/>
                <w:szCs w:val="21"/>
                <w:highlight w:val="none"/>
                <w:lang w:val="en-US" w:eastAsia="zh-CN"/>
              </w:rPr>
            </w:pPr>
          </w:p>
          <w:p w14:paraId="3404A219">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eastAsia="宋体" w:cs="Times New Roman"/>
                <w:color w:val="auto"/>
                <w:sz w:val="21"/>
                <w:szCs w:val="21"/>
                <w:highlight w:val="none"/>
                <w:lang w:val="en-US" w:eastAsia="zh-CN"/>
              </w:rPr>
            </w:pPr>
          </w:p>
          <w:p w14:paraId="31853888">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eastAsia="宋体" w:cs="Times New Roman"/>
                <w:color w:val="auto"/>
                <w:sz w:val="21"/>
                <w:szCs w:val="21"/>
                <w:highlight w:val="none"/>
                <w:lang w:val="en-US" w:eastAsia="zh-CN"/>
              </w:rPr>
            </w:pPr>
          </w:p>
          <w:p w14:paraId="6FF67819">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eastAsia="宋体" w:cs="Times New Roman"/>
                <w:color w:val="auto"/>
                <w:sz w:val="21"/>
                <w:szCs w:val="21"/>
                <w:highlight w:val="none"/>
                <w:lang w:val="en-US" w:eastAsia="zh-CN"/>
              </w:rPr>
            </w:pPr>
          </w:p>
          <w:p w14:paraId="421F6F0D">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eastAsia="宋体" w:cs="Times New Roman"/>
                <w:color w:val="auto"/>
                <w:sz w:val="21"/>
                <w:szCs w:val="21"/>
                <w:highlight w:val="none"/>
                <w:lang w:val="en-US" w:eastAsia="zh-CN"/>
              </w:rPr>
            </w:pPr>
          </w:p>
          <w:p w14:paraId="76E08CF8">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eastAsia="宋体" w:cs="Times New Roman"/>
                <w:color w:val="auto"/>
                <w:sz w:val="21"/>
                <w:szCs w:val="21"/>
                <w:highlight w:val="none"/>
                <w:lang w:val="en-US" w:eastAsia="zh-CN"/>
              </w:rPr>
            </w:pPr>
          </w:p>
          <w:p w14:paraId="349EBD0A">
            <w:pPr>
              <w:pStyle w:val="166"/>
              <w:keepNext w:val="0"/>
              <w:keepLines w:val="0"/>
              <w:pageBreakBefore w:val="0"/>
              <w:widowControl w:val="0"/>
              <w:kinsoku/>
              <w:wordWrap/>
              <w:overflowPunct/>
              <w:topLinePunct w:val="0"/>
              <w:autoSpaceDE/>
              <w:autoSpaceDN/>
              <w:bidi w:val="0"/>
              <w:adjustRightInd w:val="0"/>
              <w:snapToGrid w:val="0"/>
              <w:textAlignment w:val="baseline"/>
              <w:rPr>
                <w:rFonts w:hint="eastAsia" w:eastAsia="宋体" w:cs="Times New Roman"/>
                <w:color w:val="auto"/>
                <w:sz w:val="21"/>
                <w:szCs w:val="21"/>
                <w:highlight w:val="none"/>
                <w:lang w:val="en-US" w:eastAsia="zh-CN"/>
              </w:rPr>
            </w:pPr>
          </w:p>
          <w:p w14:paraId="1D0688FB">
            <w:pPr>
              <w:pStyle w:val="166"/>
              <w:keepNext w:val="0"/>
              <w:keepLines w:val="0"/>
              <w:pageBreakBefore w:val="0"/>
              <w:widowControl w:val="0"/>
              <w:kinsoku/>
              <w:wordWrap/>
              <w:overflowPunct/>
              <w:topLinePunct w:val="0"/>
              <w:autoSpaceDE/>
              <w:autoSpaceDN/>
              <w:bidi w:val="0"/>
              <w:adjustRightInd w:val="0"/>
              <w:snapToGrid w:val="0"/>
              <w:ind w:left="0" w:leftChars="0" w:firstLine="0" w:firstLineChars="0"/>
              <w:textAlignment w:val="baseline"/>
              <w:rPr>
                <w:rFonts w:hint="default" w:eastAsia="宋体" w:cs="Times New Roman"/>
                <w:color w:val="auto"/>
                <w:sz w:val="21"/>
                <w:szCs w:val="21"/>
                <w:highlight w:val="none"/>
                <w:lang w:val="en-US" w:eastAsia="zh-CN"/>
              </w:rPr>
            </w:pPr>
          </w:p>
        </w:tc>
      </w:tr>
    </w:tbl>
    <w:p w14:paraId="7897EB18">
      <w:pPr>
        <w:pStyle w:val="29"/>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6"/>
          <w:szCs w:val="36"/>
        </w:rPr>
        <w:br w:type="page"/>
      </w:r>
      <w:bookmarkStart w:id="6" w:name="_Toc17575"/>
      <w:r>
        <w:rPr>
          <w:rFonts w:hint="default" w:ascii="Times New Roman" w:hAnsi="Times New Roman" w:eastAsia="黑体" w:cs="Times New Roman"/>
          <w:snapToGrid w:val="0"/>
          <w:color w:val="auto"/>
          <w:sz w:val="30"/>
          <w:szCs w:val="30"/>
        </w:rPr>
        <w:t>四、主要环境影响和保护措施</w:t>
      </w:r>
      <w:bookmarkEnd w:id="6"/>
    </w:p>
    <w:tbl>
      <w:tblPr>
        <w:tblStyle w:val="33"/>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33"/>
        <w:gridCol w:w="8548"/>
      </w:tblGrid>
      <w:tr w14:paraId="649E07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29" w:hRule="atLeast"/>
          <w:jc w:val="center"/>
        </w:trPr>
        <w:tc>
          <w:tcPr>
            <w:tcW w:w="510" w:type="dxa"/>
            <w:noWrap w:val="0"/>
            <w:tcMar>
              <w:left w:w="28" w:type="dxa"/>
              <w:right w:w="28" w:type="dxa"/>
            </w:tcMar>
            <w:vAlign w:val="center"/>
          </w:tcPr>
          <w:p w14:paraId="421D426B">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2AA61904">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695834B3">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5D309C84">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62A88918">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58A0DDC4">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0B370DC5">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20116849">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740CC771">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0AC894F5">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715F44EC">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4474C9ED">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138014E3">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2FA0067F">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1DF6ED5A">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17E7BFDA">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354B9DDD">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0B26AA9F">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7CD3F5C7">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施</w:t>
            </w:r>
          </w:p>
          <w:p w14:paraId="0DDC88CE">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工</w:t>
            </w:r>
          </w:p>
          <w:p w14:paraId="18D52CE7">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期</w:t>
            </w:r>
          </w:p>
          <w:p w14:paraId="247E6D94">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环</w:t>
            </w:r>
          </w:p>
          <w:p w14:paraId="19E396CB">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境</w:t>
            </w:r>
          </w:p>
          <w:p w14:paraId="388A863C">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保</w:t>
            </w:r>
          </w:p>
          <w:p w14:paraId="43400279">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护</w:t>
            </w:r>
          </w:p>
          <w:p w14:paraId="4653294A">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措</w:t>
            </w:r>
          </w:p>
          <w:p w14:paraId="079AD56C">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施</w:t>
            </w:r>
          </w:p>
          <w:p w14:paraId="24DF0F5C">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74D1975C">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3C5C93F6">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70E1E2CF">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1864722E">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096E8F5A">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67209537">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77FEECC5">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29379F88">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77C7C1EC">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538B8E87">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010FA1B9">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5EBF5F76">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74AFD590">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3C5E50E4">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5E48B89C">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77D9B4D7">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57A4ACD5">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3C8C6CA0">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1A6F1FCC">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670A4E03">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1F22CFE0">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p w14:paraId="00547836">
            <w:pPr>
              <w:pStyle w:val="29"/>
              <w:adjustRightInd w:val="0"/>
              <w:snapToGrid w:val="0"/>
              <w:spacing w:before="0" w:beforeAutospacing="0" w:after="0" w:afterAutospacing="0"/>
              <w:jc w:val="both"/>
              <w:rPr>
                <w:rFonts w:hint="eastAsia" w:ascii="Times New Roman" w:hAnsi="Times New Roman" w:cs="Times New Roman"/>
                <w:color w:val="auto"/>
                <w:kern w:val="2"/>
                <w:sz w:val="21"/>
                <w:szCs w:val="21"/>
                <w:highlight w:val="none"/>
                <w:lang w:val="en-US" w:eastAsia="zh-CN"/>
              </w:rPr>
            </w:pPr>
          </w:p>
        </w:tc>
        <w:tc>
          <w:tcPr>
            <w:tcW w:w="8471" w:type="dxa"/>
            <w:noWrap w:val="0"/>
            <w:vAlign w:val="center"/>
          </w:tcPr>
          <w:p w14:paraId="0D92EBA5">
            <w:pPr>
              <w:keepNext w:val="0"/>
              <w:keepLines w:val="0"/>
              <w:pageBreakBefore w:val="0"/>
              <w:widowControl w:val="0"/>
              <w:kinsoku/>
              <w:wordWrap/>
              <w:overflowPunct/>
              <w:topLinePunct w:val="0"/>
              <w:autoSpaceDE/>
              <w:autoSpaceDN/>
              <w:bidi w:val="0"/>
              <w:spacing w:line="360" w:lineRule="auto"/>
              <w:ind w:firstLine="422" w:firstLineChars="200"/>
              <w:jc w:val="both"/>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1、大气环境保护措施</w:t>
            </w:r>
          </w:p>
          <w:p w14:paraId="0ABAA886">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w:t>
            </w:r>
            <w:r>
              <w:rPr>
                <w:rFonts w:hint="default" w:ascii="Times New Roman" w:hAnsi="Times New Roman" w:eastAsia="宋体" w:cs="Times New Roman"/>
                <w:b/>
                <w:bCs/>
                <w:color w:val="auto"/>
                <w:sz w:val="21"/>
                <w:szCs w:val="21"/>
                <w:lang w:val="en-US" w:eastAsia="zh-CN"/>
              </w:rPr>
              <w:t>1</w:t>
            </w:r>
            <w:r>
              <w:rPr>
                <w:rFonts w:hint="default" w:ascii="Times New Roman" w:hAnsi="Times New Roman" w:cs="Times New Roman"/>
                <w:b/>
                <w:bCs/>
                <w:color w:val="auto"/>
                <w:sz w:val="21"/>
                <w:szCs w:val="21"/>
                <w:lang w:val="en-US" w:eastAsia="zh-CN"/>
              </w:rPr>
              <w:t>）</w:t>
            </w:r>
            <w:r>
              <w:rPr>
                <w:rFonts w:hint="default" w:ascii="Times New Roman" w:hAnsi="Times New Roman" w:eastAsia="宋体" w:cs="Times New Roman"/>
                <w:b/>
                <w:bCs/>
                <w:color w:val="auto"/>
                <w:sz w:val="21"/>
                <w:szCs w:val="21"/>
                <w:lang w:val="en-US" w:eastAsia="zh-CN"/>
              </w:rPr>
              <w:t>施工</w:t>
            </w:r>
            <w:r>
              <w:rPr>
                <w:rFonts w:hint="eastAsia" w:cs="Times New Roman"/>
                <w:b/>
                <w:bCs/>
                <w:color w:val="auto"/>
                <w:sz w:val="21"/>
                <w:szCs w:val="21"/>
                <w:lang w:val="en-US" w:eastAsia="zh-CN"/>
              </w:rPr>
              <w:t>废气</w:t>
            </w:r>
          </w:p>
          <w:p w14:paraId="1B63B0F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本项目施工期间不设置施工生活区，施工人员不在厂区居住。</w:t>
            </w:r>
          </w:p>
          <w:p w14:paraId="598324D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在施工时，由于施工场地周围建筑材料和工程废土的堆放、散装粉、粒状材料的装卸、拌料过程以及运输车辆在运载工程废土和散装建材时，若在运输途中散落，会产生大量的扬尘。为了避免和减轻施工期扬尘对周围环境产生污染影响，避免产生污染纠纷，针对施工期扬尘问题，本项目严</w:t>
            </w:r>
            <w:r>
              <w:rPr>
                <w:rFonts w:hint="eastAsia" w:cs="Times New Roman"/>
                <w:color w:val="auto"/>
                <w:sz w:val="21"/>
                <w:szCs w:val="21"/>
                <w:lang w:eastAsia="zh-CN"/>
              </w:rPr>
              <w:t>格按</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中华人民共和国大气污染防治法</w:t>
            </w:r>
            <w:r>
              <w:rPr>
                <w:rFonts w:hint="default" w:ascii="Times New Roman" w:hAnsi="Times New Roman" w:cs="Times New Roman"/>
                <w:color w:val="auto"/>
                <w:sz w:val="21"/>
                <w:szCs w:val="21"/>
                <w:lang w:val="en-US" w:eastAsia="zh-CN"/>
              </w:rPr>
              <w:t>》《</w:t>
            </w:r>
            <w:r>
              <w:rPr>
                <w:rFonts w:hint="default" w:ascii="Times New Roman" w:hAnsi="Times New Roman" w:cs="Times New Roman"/>
                <w:color w:val="auto"/>
                <w:sz w:val="21"/>
                <w:szCs w:val="21"/>
                <w:lang w:eastAsia="zh-CN"/>
              </w:rPr>
              <w:fldChar w:fldCharType="begin"/>
            </w:r>
            <w:r>
              <w:rPr>
                <w:rFonts w:hint="default" w:ascii="Times New Roman" w:hAnsi="Times New Roman" w:cs="Times New Roman"/>
                <w:color w:val="auto"/>
                <w:sz w:val="21"/>
                <w:szCs w:val="21"/>
                <w:lang w:eastAsia="zh-CN"/>
              </w:rPr>
              <w:instrText xml:space="preserve"> HYPERLINK "https://www.baidu.com/link?url=-_dneyU6qY-pXlvDDi9XTMpzj391-sf8IlPfAOnMvLy_MGE7zETcnKDMxBdZLJ2APRjCBEFNYm-_XWZKgEAZeK&amp;wd=&amp;eqid=ba1c781200440976000000026660453d" \t "https://www.baidu.com/_blank" </w:instrText>
            </w:r>
            <w:r>
              <w:rPr>
                <w:rFonts w:hint="default" w:ascii="Times New Roman" w:hAnsi="Times New Roman" w:cs="Times New Roman"/>
                <w:color w:val="auto"/>
                <w:sz w:val="21"/>
                <w:szCs w:val="21"/>
                <w:lang w:eastAsia="zh-CN"/>
              </w:rPr>
              <w:fldChar w:fldCharType="separate"/>
            </w:r>
            <w:r>
              <w:rPr>
                <w:rFonts w:hint="default" w:ascii="Times New Roman" w:hAnsi="Times New Roman" w:cs="Times New Roman"/>
                <w:color w:val="auto"/>
                <w:sz w:val="21"/>
                <w:szCs w:val="21"/>
                <w:lang w:eastAsia="zh-CN"/>
              </w:rPr>
              <w:t>新疆维吾尔自治区大气污染防治条例</w:t>
            </w:r>
            <w:r>
              <w:rPr>
                <w:rFonts w:hint="default" w:ascii="Times New Roman" w:hAnsi="Times New Roman" w:cs="Times New Roman"/>
                <w:color w:val="auto"/>
                <w:sz w:val="21"/>
                <w:szCs w:val="21"/>
                <w:lang w:eastAsia="zh-CN"/>
              </w:rPr>
              <w:fldChar w:fldCharType="end"/>
            </w:r>
            <w:r>
              <w:rPr>
                <w:rFonts w:hint="default"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等文件要求实施大气环境保护措施，在施工期拟采取如下控制措施：</w:t>
            </w:r>
          </w:p>
          <w:p w14:paraId="4472417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1）</w:t>
            </w:r>
            <w:r>
              <w:rPr>
                <w:rFonts w:hint="default" w:ascii="Times New Roman" w:hAnsi="Times New Roman" w:eastAsia="宋体" w:cs="Times New Roman"/>
                <w:color w:val="auto"/>
                <w:sz w:val="21"/>
                <w:szCs w:val="21"/>
              </w:rPr>
              <w:t>建设工程开工前，按照标准在施工现场周边设置围挡，并对围挡进行维护；</w:t>
            </w:r>
          </w:p>
          <w:p w14:paraId="6EB3901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2）</w:t>
            </w:r>
            <w:r>
              <w:rPr>
                <w:rFonts w:hint="default" w:ascii="Times New Roman" w:hAnsi="Times New Roman" w:eastAsia="宋体" w:cs="Times New Roman"/>
                <w:color w:val="auto"/>
                <w:sz w:val="21"/>
                <w:szCs w:val="21"/>
              </w:rPr>
              <w:t>在施工现场出入口公示施工现场负责人、环保监督员、扬尘污染主要控制措施、举报电话等信息；</w:t>
            </w:r>
          </w:p>
          <w:p w14:paraId="15B6775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3）</w:t>
            </w:r>
            <w:r>
              <w:rPr>
                <w:rFonts w:hint="default" w:ascii="Times New Roman" w:hAnsi="Times New Roman" w:eastAsia="宋体" w:cs="Times New Roman"/>
                <w:color w:val="auto"/>
                <w:sz w:val="21"/>
                <w:szCs w:val="21"/>
              </w:rPr>
              <w:t>对施工现场内主要道路和物料堆放场地进行硬化，对其他裸露场地进行覆盖或者临时绿化，对土方进行集中堆放，并采取覆盖或者密闭等措施；</w:t>
            </w:r>
          </w:p>
          <w:p w14:paraId="6E494EC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4）</w:t>
            </w:r>
            <w:r>
              <w:rPr>
                <w:rFonts w:hint="default" w:ascii="Times New Roman" w:hAnsi="Times New Roman" w:eastAsia="宋体" w:cs="Times New Roman"/>
                <w:color w:val="auto"/>
                <w:sz w:val="21"/>
                <w:szCs w:val="21"/>
              </w:rPr>
              <w:t>施工现场出口处应当设置车辆冲洗设施，施工车辆冲洗干净后方可上路行驶；</w:t>
            </w:r>
          </w:p>
          <w:p w14:paraId="0381820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5）</w:t>
            </w:r>
            <w:r>
              <w:rPr>
                <w:rFonts w:hint="default" w:ascii="Times New Roman" w:hAnsi="Times New Roman" w:eastAsia="宋体" w:cs="Times New Roman"/>
                <w:color w:val="auto"/>
                <w:sz w:val="21"/>
                <w:szCs w:val="21"/>
              </w:rPr>
              <w:t>道路挖掘施工过程中，及时覆盖破损路面，并采取洒水等措施防治扬尘污染；道路挖掘施工完成后应当及时修复路面；临时便道应当进行硬化处理，并定时洒水；</w:t>
            </w:r>
          </w:p>
          <w:p w14:paraId="599037C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6）</w:t>
            </w:r>
            <w:r>
              <w:rPr>
                <w:rFonts w:hint="default" w:ascii="Times New Roman" w:hAnsi="Times New Roman" w:eastAsia="宋体" w:cs="Times New Roman"/>
                <w:color w:val="auto"/>
                <w:sz w:val="21"/>
                <w:szCs w:val="21"/>
              </w:rPr>
              <w:t>及时对施工现场进行清理和平整，不得从高处向下倾倒或者抛洒各类物料和建筑垃圾。</w:t>
            </w:r>
          </w:p>
          <w:p w14:paraId="2848AC8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ascii="宋体" w:hAnsi="宋体"/>
                <w:color w:val="auto"/>
                <w:sz w:val="21"/>
                <w:szCs w:val="21"/>
                <w:highlight w:val="none"/>
              </w:rPr>
            </w:pPr>
            <w:r>
              <w:rPr>
                <w:rFonts w:hint="eastAsia" w:cs="Times New Roman"/>
                <w:color w:val="auto"/>
                <w:sz w:val="21"/>
                <w:szCs w:val="21"/>
                <w:highlight w:val="none"/>
                <w:lang w:val="en-US" w:eastAsia="zh-CN"/>
              </w:rPr>
              <w:t>（7）物料运输车辆汽车必须使用符合国家排放标准的运输车辆，加强车辆的保养，使车辆处于良好的工作状态，严禁使用报废车辆，建议施工优先选用新能源车辆，以减少施工车辆尾气对周围环境的影响。</w:t>
            </w:r>
            <w:r>
              <w:rPr>
                <w:rFonts w:hint="eastAsia" w:ascii="宋体" w:hAnsi="宋体"/>
                <w:color w:val="auto"/>
                <w:sz w:val="21"/>
                <w:szCs w:val="21"/>
                <w:highlight w:val="none"/>
              </w:rPr>
              <w:t>做到以上措施后，项目施工期废气对环境影响较小。</w:t>
            </w:r>
          </w:p>
          <w:p w14:paraId="1735CA97">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水环境保护措施</w:t>
            </w:r>
          </w:p>
          <w:p w14:paraId="7AF830A1">
            <w:pPr>
              <w:keepNext w:val="0"/>
              <w:keepLines w:val="0"/>
              <w:pageBreakBefore w:val="0"/>
              <w:widowControl w:val="0"/>
              <w:kinsoku/>
              <w:wordWrap/>
              <w:overflowPunct/>
              <w:topLinePunct w:val="0"/>
              <w:autoSpaceDE/>
              <w:autoSpaceDN/>
              <w:bidi w:val="0"/>
              <w:snapToGrid w:val="0"/>
              <w:spacing w:line="360" w:lineRule="auto"/>
              <w:ind w:firstLine="420" w:firstLineChars="20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施工期废水主要包括施工</w:t>
            </w:r>
            <w:r>
              <w:rPr>
                <w:rFonts w:hint="eastAsia" w:cs="Times New Roman"/>
                <w:color w:val="auto"/>
                <w:kern w:val="2"/>
                <w:sz w:val="21"/>
                <w:szCs w:val="21"/>
                <w:lang w:val="en-US" w:eastAsia="zh-CN" w:bidi="ar-SA"/>
              </w:rPr>
              <w:t>生产</w:t>
            </w:r>
            <w:r>
              <w:rPr>
                <w:rFonts w:hint="default" w:ascii="Times New Roman" w:hAnsi="Times New Roman" w:eastAsia="宋体" w:cs="Times New Roman"/>
                <w:color w:val="auto"/>
                <w:kern w:val="2"/>
                <w:sz w:val="21"/>
                <w:szCs w:val="21"/>
                <w:lang w:val="en-US" w:eastAsia="zh-CN" w:bidi="ar-SA"/>
              </w:rPr>
              <w:t>废水和施工人员产生的生活污水。</w:t>
            </w:r>
          </w:p>
          <w:p w14:paraId="7BB6A098">
            <w:pPr>
              <w:keepNext w:val="0"/>
              <w:keepLines w:val="0"/>
              <w:pageBreakBefore w:val="0"/>
              <w:widowControl w:val="0"/>
              <w:kinsoku/>
              <w:wordWrap/>
              <w:overflowPunct/>
              <w:topLinePunct w:val="0"/>
              <w:autoSpaceDE/>
              <w:autoSpaceDN/>
              <w:bidi w:val="0"/>
              <w:snapToGrid w:val="0"/>
              <w:spacing w:line="360" w:lineRule="auto"/>
              <w:ind w:firstLine="420" w:firstLineChars="20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施工本身产生的废水主要是</w:t>
            </w:r>
            <w:r>
              <w:rPr>
                <w:rFonts w:hint="default" w:ascii="Times New Roman" w:hAnsi="Times New Roman" w:eastAsia="宋体" w:cs="Times New Roman"/>
                <w:snapToGrid w:val="0"/>
                <w:color w:val="auto"/>
                <w:szCs w:val="28"/>
                <w:highlight w:val="none"/>
                <w:lang w:val="en-US" w:eastAsia="zh-CN"/>
              </w:rPr>
              <w:t>砂石料系统冲洗水、施工机械设备冲洗水、混凝土搅拌、浇注和养护用水</w:t>
            </w:r>
            <w:r>
              <w:rPr>
                <w:rFonts w:hint="eastAsia" w:ascii="Times New Roman" w:hAnsi="Times New Roman" w:eastAsia="宋体" w:cs="Times New Roman"/>
                <w:snapToGrid w:val="0"/>
                <w:color w:val="auto"/>
                <w:szCs w:val="28"/>
                <w:highlight w:val="none"/>
                <w:lang w:val="en-US" w:eastAsia="zh-CN"/>
              </w:rPr>
              <w:t>，</w:t>
            </w:r>
            <w:r>
              <w:rPr>
                <w:rFonts w:hint="default" w:ascii="Times New Roman" w:hAnsi="Times New Roman" w:eastAsia="宋体" w:cs="Times New Roman"/>
                <w:color w:val="auto"/>
                <w:kern w:val="2"/>
                <w:sz w:val="21"/>
                <w:szCs w:val="21"/>
                <w:lang w:val="en-US" w:eastAsia="zh-CN" w:bidi="ar-SA"/>
              </w:rPr>
              <w:t>废水产生量少且成分相对比较简单，污染物浓度低，经</w:t>
            </w:r>
            <w:r>
              <w:rPr>
                <w:rFonts w:hint="eastAsia" w:cs="Times New Roman"/>
                <w:color w:val="auto"/>
                <w:kern w:val="2"/>
                <w:sz w:val="21"/>
                <w:szCs w:val="21"/>
                <w:lang w:val="en-US" w:eastAsia="zh-CN" w:bidi="ar-SA"/>
              </w:rPr>
              <w:t>临时</w:t>
            </w:r>
            <w:r>
              <w:rPr>
                <w:rFonts w:hint="default" w:ascii="Times New Roman" w:hAnsi="Times New Roman" w:eastAsia="宋体" w:cs="Times New Roman"/>
                <w:color w:val="auto"/>
                <w:kern w:val="2"/>
                <w:sz w:val="21"/>
                <w:szCs w:val="21"/>
                <w:lang w:val="en-US" w:eastAsia="zh-CN" w:bidi="ar-SA"/>
              </w:rPr>
              <w:t>沉淀池处理后回用或用于场地洒水降尘，不外排</w:t>
            </w:r>
            <w:r>
              <w:rPr>
                <w:rFonts w:hint="eastAsia"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施工人员生活污水产生量少且成分相对比较简单，污染物浓度低，</w:t>
            </w:r>
            <w:r>
              <w:rPr>
                <w:rFonts w:hint="eastAsia" w:cs="Times New Roman"/>
                <w:color w:val="auto"/>
                <w:kern w:val="2"/>
                <w:sz w:val="21"/>
                <w:szCs w:val="21"/>
                <w:lang w:val="en-US" w:eastAsia="zh-CN" w:bidi="ar-SA"/>
              </w:rPr>
              <w:t>经临时旱厕沉淀后</w:t>
            </w:r>
            <w:r>
              <w:rPr>
                <w:rFonts w:hint="default" w:ascii="Times New Roman" w:hAnsi="Times New Roman" w:cs="Times New Roman"/>
                <w:color w:val="auto"/>
                <w:kern w:val="2"/>
                <w:sz w:val="21"/>
                <w:szCs w:val="21"/>
                <w:lang w:val="en-US" w:eastAsia="zh-CN" w:bidi="ar-SA"/>
              </w:rPr>
              <w:t>主要用于厂区喷洒抑尘</w:t>
            </w:r>
            <w:r>
              <w:rPr>
                <w:rFonts w:hint="default" w:ascii="Times New Roman" w:hAnsi="Times New Roman" w:eastAsia="宋体" w:cs="Times New Roman"/>
                <w:color w:val="auto"/>
                <w:kern w:val="2"/>
                <w:sz w:val="21"/>
                <w:szCs w:val="21"/>
                <w:lang w:val="en-US" w:eastAsia="zh-CN" w:bidi="ar-SA"/>
              </w:rPr>
              <w:t>。</w:t>
            </w:r>
            <w:r>
              <w:rPr>
                <w:rFonts w:hint="eastAsia" w:cs="Times New Roman"/>
                <w:color w:val="auto"/>
                <w:kern w:val="2"/>
                <w:sz w:val="21"/>
                <w:szCs w:val="21"/>
                <w:lang w:val="en-US" w:eastAsia="zh-CN" w:bidi="ar-SA"/>
              </w:rPr>
              <w:t>施工结束后临时沉淀池和临时旱厕将进行拆除。</w:t>
            </w:r>
          </w:p>
          <w:p w14:paraId="767B29B2">
            <w:pPr>
              <w:keepNext w:val="0"/>
              <w:keepLines w:val="0"/>
              <w:pageBreakBefore w:val="0"/>
              <w:widowControl w:val="0"/>
              <w:kinsoku/>
              <w:wordWrap/>
              <w:overflowPunct/>
              <w:topLinePunct w:val="0"/>
              <w:autoSpaceDE/>
              <w:autoSpaceDN/>
              <w:bidi w:val="0"/>
              <w:spacing w:line="360" w:lineRule="auto"/>
              <w:ind w:firstLine="422" w:firstLineChars="200"/>
              <w:jc w:val="both"/>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3、噪声环境保护措施</w:t>
            </w:r>
          </w:p>
          <w:p w14:paraId="17F987AD">
            <w:pPr>
              <w:keepNext w:val="0"/>
              <w:keepLines w:val="0"/>
              <w:pageBreakBefore w:val="0"/>
              <w:widowControl w:val="0"/>
              <w:kinsoku/>
              <w:wordWrap/>
              <w:overflowPunct/>
              <w:topLinePunct w:val="0"/>
              <w:autoSpaceDE/>
              <w:autoSpaceDN/>
              <w:bidi w:val="0"/>
              <w:spacing w:line="360" w:lineRule="auto"/>
              <w:ind w:firstLine="420" w:firstLineChars="20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本项目施工期噪声源包括建筑材料、设备运输车辆产生的交通噪声，建筑物基础挖掘、建筑施工等工程机械产生的噪声，类比调查可知，产噪声级值在80～90dB</w:t>
            </w:r>
            <w:r>
              <w:rPr>
                <w:rFonts w:hint="eastAsia" w:ascii="Times New Roman" w:hAnsi="Times New Roman"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A</w:t>
            </w:r>
            <w:r>
              <w:rPr>
                <w:rFonts w:hint="eastAsia" w:ascii="Times New Roman" w:hAnsi="Times New Roman"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。噪声声源均为点声源，根据类比调查和资料分析，各类建筑施工机械产噪值见表</w:t>
            </w:r>
            <w:r>
              <w:rPr>
                <w:rFonts w:hint="eastAsia" w:cs="Times New Roman"/>
                <w:color w:val="auto"/>
                <w:kern w:val="2"/>
                <w:sz w:val="21"/>
                <w:szCs w:val="21"/>
                <w:lang w:val="en-US" w:eastAsia="zh-CN" w:bidi="ar-SA"/>
              </w:rPr>
              <w:t>4-1</w:t>
            </w:r>
            <w:r>
              <w:rPr>
                <w:rFonts w:hint="default" w:ascii="Times New Roman" w:hAnsi="Times New Roman" w:eastAsia="宋体" w:cs="Times New Roman"/>
                <w:color w:val="auto"/>
                <w:kern w:val="2"/>
                <w:sz w:val="21"/>
                <w:szCs w:val="21"/>
                <w:lang w:val="en-US" w:eastAsia="zh-CN" w:bidi="ar-SA"/>
              </w:rPr>
              <w:t>。</w:t>
            </w:r>
          </w:p>
          <w:p w14:paraId="7DC546F4">
            <w:pPr>
              <w:spacing w:line="36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表</w:t>
            </w:r>
            <w:r>
              <w:rPr>
                <w:rFonts w:hint="eastAsia" w:eastAsia="黑体" w:cs="Times New Roman"/>
                <w:color w:val="auto"/>
                <w:sz w:val="21"/>
                <w:szCs w:val="21"/>
                <w:highlight w:val="none"/>
                <w:lang w:val="en-US" w:eastAsia="zh-CN"/>
              </w:rPr>
              <w:t>4-1</w:t>
            </w:r>
            <w:r>
              <w:rPr>
                <w:rFonts w:hint="default" w:ascii="Times New Roman" w:hAnsi="Times New Roman" w:eastAsia="黑体" w:cs="Times New Roman"/>
                <w:color w:val="auto"/>
                <w:sz w:val="21"/>
                <w:szCs w:val="21"/>
                <w:highlight w:val="none"/>
              </w:rPr>
              <w:t xml:space="preserve">  施工机械特性一览表</w:t>
            </w:r>
          </w:p>
          <w:tbl>
            <w:tblPr>
              <w:tblStyle w:val="33"/>
              <w:tblW w:w="494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28" w:type="dxa"/>
                <w:bottom w:w="0" w:type="dxa"/>
                <w:right w:w="28" w:type="dxa"/>
              </w:tblCellMar>
            </w:tblPr>
            <w:tblGrid>
              <w:gridCol w:w="776"/>
              <w:gridCol w:w="1564"/>
              <w:gridCol w:w="2644"/>
              <w:gridCol w:w="1621"/>
              <w:gridCol w:w="1612"/>
            </w:tblGrid>
            <w:tr w14:paraId="739454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472" w:type="pct"/>
                  <w:tcBorders>
                    <w:tl2br w:val="nil"/>
                    <w:tr2bl w:val="nil"/>
                  </w:tcBorders>
                  <w:vAlign w:val="center"/>
                </w:tcPr>
                <w:p w14:paraId="74821F14">
                  <w:pPr>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rPr>
                    <w:t>序号</w:t>
                  </w:r>
                </w:p>
              </w:tc>
              <w:tc>
                <w:tcPr>
                  <w:tcW w:w="951" w:type="pct"/>
                  <w:tcBorders>
                    <w:tl2br w:val="nil"/>
                    <w:tr2bl w:val="nil"/>
                  </w:tcBorders>
                  <w:vAlign w:val="center"/>
                </w:tcPr>
                <w:p w14:paraId="38D21564">
                  <w:pPr>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rPr>
                    <w:t>设备名称</w:t>
                  </w:r>
                </w:p>
              </w:tc>
              <w:tc>
                <w:tcPr>
                  <w:tcW w:w="1608" w:type="pct"/>
                  <w:tcBorders>
                    <w:tl2br w:val="nil"/>
                    <w:tr2bl w:val="nil"/>
                  </w:tcBorders>
                  <w:vAlign w:val="center"/>
                </w:tcPr>
                <w:p w14:paraId="56E04549">
                  <w:pPr>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rPr>
                    <w:t>声级/距离[dB</w:t>
                  </w:r>
                  <w:r>
                    <w:rPr>
                      <w:rFonts w:hint="eastAsia" w:ascii="Times New Roman" w:hAnsi="Times New Roman" w:cs="Times New Roman"/>
                      <w:b w:val="0"/>
                      <w:bCs w:val="0"/>
                      <w:color w:val="auto"/>
                      <w:sz w:val="18"/>
                      <w:szCs w:val="18"/>
                      <w:lang w:eastAsia="zh-CN"/>
                    </w:rPr>
                    <w:t>（</w:t>
                  </w:r>
                  <w:r>
                    <w:rPr>
                      <w:rFonts w:hint="default" w:ascii="Times New Roman" w:hAnsi="Times New Roman" w:eastAsia="宋体" w:cs="Times New Roman"/>
                      <w:b w:val="0"/>
                      <w:bCs w:val="0"/>
                      <w:color w:val="auto"/>
                      <w:sz w:val="18"/>
                      <w:szCs w:val="18"/>
                    </w:rPr>
                    <w:t>A</w:t>
                  </w:r>
                  <w:r>
                    <w:rPr>
                      <w:rFonts w:hint="eastAsia" w:ascii="Times New Roman" w:hAnsi="Times New Roman" w:cs="Times New Roman"/>
                      <w:b w:val="0"/>
                      <w:bCs w:val="0"/>
                      <w:color w:val="auto"/>
                      <w:sz w:val="18"/>
                      <w:szCs w:val="18"/>
                      <w:lang w:eastAsia="zh-CN"/>
                    </w:rPr>
                    <w:t>）</w:t>
                  </w:r>
                  <w:r>
                    <w:rPr>
                      <w:rFonts w:hint="default" w:ascii="Times New Roman" w:hAnsi="Times New Roman" w:eastAsia="宋体" w:cs="Times New Roman"/>
                      <w:b w:val="0"/>
                      <w:bCs w:val="0"/>
                      <w:color w:val="auto"/>
                      <w:sz w:val="18"/>
                      <w:szCs w:val="18"/>
                    </w:rPr>
                    <w:t>/m]</w:t>
                  </w:r>
                </w:p>
              </w:tc>
              <w:tc>
                <w:tcPr>
                  <w:tcW w:w="986" w:type="pct"/>
                  <w:tcBorders>
                    <w:tl2br w:val="nil"/>
                    <w:tr2bl w:val="nil"/>
                  </w:tcBorders>
                  <w:vAlign w:val="center"/>
                </w:tcPr>
                <w:p w14:paraId="47F894EC">
                  <w:pPr>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rPr>
                    <w:t>运行方式</w:t>
                  </w:r>
                </w:p>
              </w:tc>
              <w:tc>
                <w:tcPr>
                  <w:tcW w:w="980" w:type="pct"/>
                  <w:tcBorders>
                    <w:tl2br w:val="nil"/>
                    <w:tr2bl w:val="nil"/>
                  </w:tcBorders>
                  <w:vAlign w:val="center"/>
                </w:tcPr>
                <w:p w14:paraId="2061613F">
                  <w:pPr>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rPr>
                    <w:t>运行时间</w:t>
                  </w:r>
                </w:p>
              </w:tc>
            </w:tr>
            <w:tr w14:paraId="75104B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472" w:type="pct"/>
                  <w:tcBorders>
                    <w:tl2br w:val="nil"/>
                    <w:tr2bl w:val="nil"/>
                  </w:tcBorders>
                  <w:vAlign w:val="center"/>
                </w:tcPr>
                <w:p w14:paraId="0B555846">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w:t>
                  </w:r>
                </w:p>
              </w:tc>
              <w:tc>
                <w:tcPr>
                  <w:tcW w:w="951" w:type="pct"/>
                  <w:tcBorders>
                    <w:tl2br w:val="nil"/>
                    <w:tr2bl w:val="nil"/>
                  </w:tcBorders>
                  <w:vAlign w:val="center"/>
                </w:tcPr>
                <w:p w14:paraId="53F5E97F">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装载机</w:t>
                  </w:r>
                </w:p>
              </w:tc>
              <w:tc>
                <w:tcPr>
                  <w:tcW w:w="1608" w:type="pct"/>
                  <w:tcBorders>
                    <w:tl2br w:val="nil"/>
                    <w:tr2bl w:val="nil"/>
                  </w:tcBorders>
                  <w:vAlign w:val="center"/>
                </w:tcPr>
                <w:p w14:paraId="3DB76706">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85/5</w:t>
                  </w:r>
                </w:p>
              </w:tc>
              <w:tc>
                <w:tcPr>
                  <w:tcW w:w="986" w:type="pct"/>
                  <w:tcBorders>
                    <w:tl2br w:val="nil"/>
                    <w:tr2bl w:val="nil"/>
                  </w:tcBorders>
                  <w:vAlign w:val="center"/>
                </w:tcPr>
                <w:p w14:paraId="46DEC59F">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间断</w:t>
                  </w:r>
                </w:p>
              </w:tc>
              <w:tc>
                <w:tcPr>
                  <w:tcW w:w="980" w:type="pct"/>
                  <w:tcBorders>
                    <w:tl2br w:val="nil"/>
                    <w:tr2bl w:val="nil"/>
                  </w:tcBorders>
                  <w:vAlign w:val="center"/>
                </w:tcPr>
                <w:p w14:paraId="725244CE">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8h</w:t>
                  </w:r>
                </w:p>
              </w:tc>
            </w:tr>
            <w:tr w14:paraId="41E508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472" w:type="pct"/>
                  <w:tcBorders>
                    <w:tl2br w:val="nil"/>
                    <w:tr2bl w:val="nil"/>
                  </w:tcBorders>
                  <w:vAlign w:val="center"/>
                </w:tcPr>
                <w:p w14:paraId="77E6CE18">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w:t>
                  </w:r>
                </w:p>
              </w:tc>
              <w:tc>
                <w:tcPr>
                  <w:tcW w:w="951" w:type="pct"/>
                  <w:tcBorders>
                    <w:tl2br w:val="nil"/>
                    <w:tr2bl w:val="nil"/>
                  </w:tcBorders>
                  <w:vAlign w:val="center"/>
                </w:tcPr>
                <w:p w14:paraId="5B4BF862">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混凝土振捣器</w:t>
                  </w:r>
                </w:p>
              </w:tc>
              <w:tc>
                <w:tcPr>
                  <w:tcW w:w="1608" w:type="pct"/>
                  <w:tcBorders>
                    <w:tl2br w:val="nil"/>
                    <w:tr2bl w:val="nil"/>
                  </w:tcBorders>
                  <w:vAlign w:val="center"/>
                </w:tcPr>
                <w:p w14:paraId="6F53D6FF">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90/5</w:t>
                  </w:r>
                </w:p>
              </w:tc>
              <w:tc>
                <w:tcPr>
                  <w:tcW w:w="986" w:type="pct"/>
                  <w:tcBorders>
                    <w:tl2br w:val="nil"/>
                    <w:tr2bl w:val="nil"/>
                  </w:tcBorders>
                  <w:vAlign w:val="center"/>
                </w:tcPr>
                <w:p w14:paraId="7B094815">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间断</w:t>
                  </w:r>
                </w:p>
              </w:tc>
              <w:tc>
                <w:tcPr>
                  <w:tcW w:w="980" w:type="pct"/>
                  <w:tcBorders>
                    <w:tl2br w:val="nil"/>
                    <w:tr2bl w:val="nil"/>
                  </w:tcBorders>
                  <w:vAlign w:val="center"/>
                </w:tcPr>
                <w:p w14:paraId="02EA8834">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8h</w:t>
                  </w:r>
                </w:p>
              </w:tc>
            </w:tr>
            <w:tr w14:paraId="3BB316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472" w:type="pct"/>
                  <w:tcBorders>
                    <w:tl2br w:val="nil"/>
                    <w:tr2bl w:val="nil"/>
                  </w:tcBorders>
                  <w:vAlign w:val="center"/>
                </w:tcPr>
                <w:p w14:paraId="1D9C8E0F">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w:t>
                  </w:r>
                </w:p>
              </w:tc>
              <w:tc>
                <w:tcPr>
                  <w:tcW w:w="951" w:type="pct"/>
                  <w:tcBorders>
                    <w:tl2br w:val="nil"/>
                    <w:tr2bl w:val="nil"/>
                  </w:tcBorders>
                  <w:vAlign w:val="center"/>
                </w:tcPr>
                <w:p w14:paraId="1391A2BA">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卡车</w:t>
                  </w:r>
                </w:p>
              </w:tc>
              <w:tc>
                <w:tcPr>
                  <w:tcW w:w="1608" w:type="pct"/>
                  <w:tcBorders>
                    <w:tl2br w:val="nil"/>
                    <w:tr2bl w:val="nil"/>
                  </w:tcBorders>
                  <w:vAlign w:val="center"/>
                </w:tcPr>
                <w:p w14:paraId="3021E2D5">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80/5</w:t>
                  </w:r>
                </w:p>
              </w:tc>
              <w:tc>
                <w:tcPr>
                  <w:tcW w:w="986" w:type="pct"/>
                  <w:tcBorders>
                    <w:tl2br w:val="nil"/>
                    <w:tr2bl w:val="nil"/>
                  </w:tcBorders>
                  <w:vAlign w:val="center"/>
                </w:tcPr>
                <w:p w14:paraId="5C184647">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间断</w:t>
                  </w:r>
                </w:p>
              </w:tc>
              <w:tc>
                <w:tcPr>
                  <w:tcW w:w="980" w:type="pct"/>
                  <w:tcBorders>
                    <w:tl2br w:val="nil"/>
                    <w:tr2bl w:val="nil"/>
                  </w:tcBorders>
                  <w:vAlign w:val="center"/>
                </w:tcPr>
                <w:p w14:paraId="5730F11B">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8h</w:t>
                  </w:r>
                </w:p>
              </w:tc>
            </w:tr>
          </w:tbl>
          <w:p w14:paraId="2D2C99C0">
            <w:pPr>
              <w:spacing w:line="480" w:lineRule="exact"/>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采用点源衰减模式，预测计算本项目主要施工机械在不同距离处的贡献值。预测计算结果如下：</w:t>
            </w:r>
          </w:p>
          <w:p w14:paraId="55A032EE">
            <w:pPr>
              <w:spacing w:line="36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表</w:t>
            </w:r>
            <w:r>
              <w:rPr>
                <w:rFonts w:hint="eastAsia" w:eastAsia="黑体" w:cs="Times New Roman"/>
                <w:color w:val="auto"/>
                <w:sz w:val="21"/>
                <w:szCs w:val="21"/>
                <w:highlight w:val="none"/>
                <w:lang w:val="en-US" w:eastAsia="zh-CN"/>
              </w:rPr>
              <w:t>4-2</w:t>
            </w:r>
            <w:r>
              <w:rPr>
                <w:rFonts w:hint="default" w:ascii="Times New Roman" w:hAnsi="Times New Roman" w:eastAsia="黑体" w:cs="Times New Roman"/>
                <w:color w:val="auto"/>
                <w:sz w:val="21"/>
                <w:szCs w:val="21"/>
                <w:highlight w:val="none"/>
              </w:rPr>
              <w:t xml:space="preserve">  主要施工机械在不同距离处的噪声贡献值</w:t>
            </w:r>
          </w:p>
          <w:tbl>
            <w:tblPr>
              <w:tblStyle w:val="33"/>
              <w:tblW w:w="495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28" w:type="dxa"/>
                <w:bottom w:w="0" w:type="dxa"/>
                <w:right w:w="28" w:type="dxa"/>
              </w:tblCellMar>
            </w:tblPr>
            <w:tblGrid>
              <w:gridCol w:w="505"/>
              <w:gridCol w:w="1485"/>
              <w:gridCol w:w="654"/>
              <w:gridCol w:w="654"/>
              <w:gridCol w:w="654"/>
              <w:gridCol w:w="654"/>
              <w:gridCol w:w="654"/>
              <w:gridCol w:w="654"/>
              <w:gridCol w:w="658"/>
              <w:gridCol w:w="700"/>
              <w:gridCol w:w="947"/>
            </w:tblGrid>
            <w:tr w14:paraId="5C5F0C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0" w:hRule="atLeast"/>
                <w:jc w:val="center"/>
              </w:trPr>
              <w:tc>
                <w:tcPr>
                  <w:tcW w:w="307" w:type="pct"/>
                  <w:vMerge w:val="restart"/>
                  <w:tcBorders>
                    <w:tl2br w:val="nil"/>
                    <w:tr2bl w:val="nil"/>
                  </w:tcBorders>
                  <w:vAlign w:val="center"/>
                </w:tcPr>
                <w:p w14:paraId="0AFB4DAA">
                  <w:pPr>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rPr>
                    <w:t>序号</w:t>
                  </w:r>
                </w:p>
              </w:tc>
              <w:tc>
                <w:tcPr>
                  <w:tcW w:w="903" w:type="pct"/>
                  <w:vMerge w:val="restart"/>
                  <w:tcBorders>
                    <w:tl2br w:val="nil"/>
                    <w:tr2bl w:val="nil"/>
                  </w:tcBorders>
                  <w:vAlign w:val="center"/>
                </w:tcPr>
                <w:p w14:paraId="66993211">
                  <w:pPr>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rPr>
                    <w:t>机  械</w:t>
                  </w:r>
                </w:p>
              </w:tc>
              <w:tc>
                <w:tcPr>
                  <w:tcW w:w="3213" w:type="pct"/>
                  <w:gridSpan w:val="8"/>
                  <w:tcBorders>
                    <w:tl2br w:val="nil"/>
                    <w:tr2bl w:val="nil"/>
                  </w:tcBorders>
                  <w:tcMar>
                    <w:top w:w="0" w:type="dxa"/>
                    <w:left w:w="57" w:type="dxa"/>
                    <w:bottom w:w="0" w:type="dxa"/>
                    <w:right w:w="57" w:type="dxa"/>
                  </w:tcMar>
                  <w:vAlign w:val="center"/>
                </w:tcPr>
                <w:p w14:paraId="4D902463">
                  <w:pPr>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rPr>
                    <w:t>不同距离处的噪声贡献值[dB</w:t>
                  </w:r>
                  <w:r>
                    <w:rPr>
                      <w:rFonts w:hint="eastAsia" w:ascii="Times New Roman" w:hAnsi="Times New Roman" w:cs="Times New Roman"/>
                      <w:b w:val="0"/>
                      <w:bCs w:val="0"/>
                      <w:color w:val="auto"/>
                      <w:sz w:val="18"/>
                      <w:szCs w:val="18"/>
                      <w:lang w:eastAsia="zh-CN"/>
                    </w:rPr>
                    <w:t>（</w:t>
                  </w:r>
                  <w:r>
                    <w:rPr>
                      <w:rFonts w:hint="default" w:ascii="Times New Roman" w:hAnsi="Times New Roman" w:eastAsia="宋体" w:cs="Times New Roman"/>
                      <w:b w:val="0"/>
                      <w:bCs w:val="0"/>
                      <w:color w:val="auto"/>
                      <w:sz w:val="18"/>
                      <w:szCs w:val="18"/>
                    </w:rPr>
                    <w:t>A</w:t>
                  </w:r>
                  <w:r>
                    <w:rPr>
                      <w:rFonts w:hint="eastAsia" w:ascii="Times New Roman" w:hAnsi="Times New Roman" w:cs="Times New Roman"/>
                      <w:b w:val="0"/>
                      <w:bCs w:val="0"/>
                      <w:color w:val="auto"/>
                      <w:sz w:val="18"/>
                      <w:szCs w:val="18"/>
                      <w:lang w:eastAsia="zh-CN"/>
                    </w:rPr>
                    <w:t>）</w:t>
                  </w:r>
                  <w:r>
                    <w:rPr>
                      <w:rFonts w:hint="default" w:ascii="Times New Roman" w:hAnsi="Times New Roman" w:eastAsia="宋体" w:cs="Times New Roman"/>
                      <w:b w:val="0"/>
                      <w:bCs w:val="0"/>
                      <w:color w:val="auto"/>
                      <w:sz w:val="18"/>
                      <w:szCs w:val="18"/>
                    </w:rPr>
                    <w:t>]</w:t>
                  </w:r>
                </w:p>
              </w:tc>
              <w:tc>
                <w:tcPr>
                  <w:tcW w:w="575" w:type="pct"/>
                  <w:vMerge w:val="restart"/>
                  <w:tcBorders>
                    <w:tl2br w:val="nil"/>
                    <w:tr2bl w:val="nil"/>
                  </w:tcBorders>
                  <w:tcMar>
                    <w:top w:w="0" w:type="dxa"/>
                    <w:left w:w="57" w:type="dxa"/>
                    <w:bottom w:w="0" w:type="dxa"/>
                    <w:right w:w="57" w:type="dxa"/>
                  </w:tcMar>
                  <w:vAlign w:val="center"/>
                </w:tcPr>
                <w:p w14:paraId="72E15FA1">
                  <w:pPr>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rPr>
                    <w:t>施工</w:t>
                  </w:r>
                </w:p>
                <w:p w14:paraId="251B3764">
                  <w:pPr>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rPr>
                    <w:t>阶段</w:t>
                  </w:r>
                </w:p>
              </w:tc>
            </w:tr>
            <w:tr w14:paraId="195BE9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0" w:hRule="atLeast"/>
                <w:jc w:val="center"/>
              </w:trPr>
              <w:tc>
                <w:tcPr>
                  <w:tcW w:w="307" w:type="pct"/>
                  <w:vMerge w:val="continue"/>
                  <w:tcBorders>
                    <w:tl2br w:val="nil"/>
                    <w:tr2bl w:val="nil"/>
                  </w:tcBorders>
                  <w:vAlign w:val="center"/>
                </w:tcPr>
                <w:p w14:paraId="530F8CC2">
                  <w:pPr>
                    <w:widowControl/>
                    <w:jc w:val="center"/>
                    <w:rPr>
                      <w:rFonts w:hint="default" w:ascii="Times New Roman" w:hAnsi="Times New Roman" w:eastAsia="宋体" w:cs="Times New Roman"/>
                      <w:b/>
                      <w:bCs/>
                      <w:color w:val="auto"/>
                      <w:sz w:val="18"/>
                      <w:szCs w:val="18"/>
                    </w:rPr>
                  </w:pPr>
                </w:p>
              </w:tc>
              <w:tc>
                <w:tcPr>
                  <w:tcW w:w="903" w:type="pct"/>
                  <w:vMerge w:val="continue"/>
                  <w:tcBorders>
                    <w:tl2br w:val="nil"/>
                    <w:tr2bl w:val="nil"/>
                  </w:tcBorders>
                  <w:vAlign w:val="center"/>
                </w:tcPr>
                <w:p w14:paraId="51AA1A4E">
                  <w:pPr>
                    <w:widowControl/>
                    <w:jc w:val="center"/>
                    <w:rPr>
                      <w:rFonts w:hint="default" w:ascii="Times New Roman" w:hAnsi="Times New Roman" w:eastAsia="宋体" w:cs="Times New Roman"/>
                      <w:b/>
                      <w:bCs/>
                      <w:color w:val="auto"/>
                      <w:sz w:val="18"/>
                      <w:szCs w:val="18"/>
                    </w:rPr>
                  </w:pPr>
                </w:p>
              </w:tc>
              <w:tc>
                <w:tcPr>
                  <w:tcW w:w="398" w:type="pct"/>
                  <w:tcBorders>
                    <w:tl2br w:val="nil"/>
                    <w:tr2bl w:val="nil"/>
                  </w:tcBorders>
                  <w:tcMar>
                    <w:top w:w="0" w:type="dxa"/>
                    <w:left w:w="57" w:type="dxa"/>
                    <w:bottom w:w="0" w:type="dxa"/>
                    <w:right w:w="57" w:type="dxa"/>
                  </w:tcMar>
                  <w:vAlign w:val="center"/>
                </w:tcPr>
                <w:p w14:paraId="2ECA7177">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40m</w:t>
                  </w:r>
                </w:p>
              </w:tc>
              <w:tc>
                <w:tcPr>
                  <w:tcW w:w="398" w:type="pct"/>
                  <w:tcBorders>
                    <w:tl2br w:val="nil"/>
                    <w:tr2bl w:val="nil"/>
                  </w:tcBorders>
                  <w:tcMar>
                    <w:top w:w="0" w:type="dxa"/>
                    <w:left w:w="57" w:type="dxa"/>
                    <w:bottom w:w="0" w:type="dxa"/>
                    <w:right w:w="57" w:type="dxa"/>
                  </w:tcMar>
                  <w:vAlign w:val="center"/>
                </w:tcPr>
                <w:p w14:paraId="2E196A71">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60m</w:t>
                  </w:r>
                </w:p>
              </w:tc>
              <w:tc>
                <w:tcPr>
                  <w:tcW w:w="398" w:type="pct"/>
                  <w:tcBorders>
                    <w:tl2br w:val="nil"/>
                    <w:tr2bl w:val="nil"/>
                  </w:tcBorders>
                  <w:tcMar>
                    <w:top w:w="0" w:type="dxa"/>
                    <w:left w:w="57" w:type="dxa"/>
                    <w:bottom w:w="0" w:type="dxa"/>
                    <w:right w:w="57" w:type="dxa"/>
                  </w:tcMar>
                  <w:vAlign w:val="center"/>
                </w:tcPr>
                <w:p w14:paraId="448698EE">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100m</w:t>
                  </w:r>
                </w:p>
              </w:tc>
              <w:tc>
                <w:tcPr>
                  <w:tcW w:w="398" w:type="pct"/>
                  <w:tcBorders>
                    <w:tl2br w:val="nil"/>
                    <w:tr2bl w:val="nil"/>
                  </w:tcBorders>
                  <w:tcMar>
                    <w:top w:w="0" w:type="dxa"/>
                    <w:left w:w="57" w:type="dxa"/>
                    <w:bottom w:w="0" w:type="dxa"/>
                    <w:right w:w="57" w:type="dxa"/>
                  </w:tcMar>
                  <w:vAlign w:val="center"/>
                </w:tcPr>
                <w:p w14:paraId="71A93B4C">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200m</w:t>
                  </w:r>
                </w:p>
              </w:tc>
              <w:tc>
                <w:tcPr>
                  <w:tcW w:w="398" w:type="pct"/>
                  <w:tcBorders>
                    <w:tl2br w:val="nil"/>
                    <w:tr2bl w:val="nil"/>
                  </w:tcBorders>
                  <w:tcMar>
                    <w:top w:w="0" w:type="dxa"/>
                    <w:left w:w="57" w:type="dxa"/>
                    <w:bottom w:w="0" w:type="dxa"/>
                    <w:right w:w="57" w:type="dxa"/>
                  </w:tcMar>
                  <w:vAlign w:val="center"/>
                </w:tcPr>
                <w:p w14:paraId="42C14281">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250m</w:t>
                  </w:r>
                </w:p>
              </w:tc>
              <w:tc>
                <w:tcPr>
                  <w:tcW w:w="398" w:type="pct"/>
                  <w:tcBorders>
                    <w:tl2br w:val="nil"/>
                    <w:tr2bl w:val="nil"/>
                  </w:tcBorders>
                  <w:tcMar>
                    <w:top w:w="0" w:type="dxa"/>
                    <w:left w:w="57" w:type="dxa"/>
                    <w:bottom w:w="0" w:type="dxa"/>
                    <w:right w:w="57" w:type="dxa"/>
                  </w:tcMar>
                  <w:vAlign w:val="center"/>
                </w:tcPr>
                <w:p w14:paraId="5FF56961">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300m</w:t>
                  </w:r>
                </w:p>
              </w:tc>
              <w:tc>
                <w:tcPr>
                  <w:tcW w:w="400" w:type="pct"/>
                  <w:tcBorders>
                    <w:tl2br w:val="nil"/>
                    <w:tr2bl w:val="nil"/>
                  </w:tcBorders>
                  <w:tcMar>
                    <w:top w:w="0" w:type="dxa"/>
                    <w:left w:w="57" w:type="dxa"/>
                    <w:bottom w:w="0" w:type="dxa"/>
                    <w:right w:w="57" w:type="dxa"/>
                  </w:tcMar>
                  <w:vAlign w:val="center"/>
                </w:tcPr>
                <w:p w14:paraId="2D6B520D">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400m</w:t>
                  </w:r>
                </w:p>
              </w:tc>
              <w:tc>
                <w:tcPr>
                  <w:tcW w:w="419" w:type="pct"/>
                  <w:tcBorders>
                    <w:tl2br w:val="nil"/>
                    <w:tr2bl w:val="nil"/>
                  </w:tcBorders>
                  <w:tcMar>
                    <w:top w:w="0" w:type="dxa"/>
                    <w:left w:w="57" w:type="dxa"/>
                    <w:bottom w:w="0" w:type="dxa"/>
                    <w:right w:w="57" w:type="dxa"/>
                  </w:tcMar>
                  <w:vAlign w:val="center"/>
                </w:tcPr>
                <w:p w14:paraId="4E9A8B92">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500m</w:t>
                  </w:r>
                </w:p>
              </w:tc>
              <w:tc>
                <w:tcPr>
                  <w:tcW w:w="575" w:type="pct"/>
                  <w:vMerge w:val="continue"/>
                  <w:tcBorders>
                    <w:tl2br w:val="nil"/>
                    <w:tr2bl w:val="nil"/>
                  </w:tcBorders>
                  <w:vAlign w:val="center"/>
                </w:tcPr>
                <w:p w14:paraId="15477FDB">
                  <w:pPr>
                    <w:widowControl/>
                    <w:jc w:val="center"/>
                    <w:rPr>
                      <w:rFonts w:hint="default" w:ascii="Times New Roman" w:hAnsi="Times New Roman" w:eastAsia="宋体" w:cs="Times New Roman"/>
                      <w:b/>
                      <w:bCs/>
                      <w:color w:val="auto"/>
                      <w:sz w:val="18"/>
                      <w:szCs w:val="18"/>
                    </w:rPr>
                  </w:pPr>
                </w:p>
              </w:tc>
            </w:tr>
            <w:tr w14:paraId="327325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0" w:hRule="atLeast"/>
                <w:jc w:val="center"/>
              </w:trPr>
              <w:tc>
                <w:tcPr>
                  <w:tcW w:w="307" w:type="pct"/>
                  <w:tcBorders>
                    <w:tl2br w:val="nil"/>
                    <w:tr2bl w:val="nil"/>
                  </w:tcBorders>
                  <w:vAlign w:val="center"/>
                </w:tcPr>
                <w:p w14:paraId="16782BC0">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w:t>
                  </w:r>
                </w:p>
              </w:tc>
              <w:tc>
                <w:tcPr>
                  <w:tcW w:w="903" w:type="pct"/>
                  <w:tcBorders>
                    <w:tl2br w:val="nil"/>
                    <w:tr2bl w:val="nil"/>
                  </w:tcBorders>
                  <w:vAlign w:val="center"/>
                </w:tcPr>
                <w:p w14:paraId="717C9F4B">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装载机</w:t>
                  </w:r>
                </w:p>
              </w:tc>
              <w:tc>
                <w:tcPr>
                  <w:tcW w:w="398" w:type="pct"/>
                  <w:tcBorders>
                    <w:tl2br w:val="nil"/>
                    <w:tr2bl w:val="nil"/>
                  </w:tcBorders>
                  <w:tcMar>
                    <w:top w:w="0" w:type="dxa"/>
                    <w:left w:w="57" w:type="dxa"/>
                    <w:bottom w:w="0" w:type="dxa"/>
                    <w:right w:w="57" w:type="dxa"/>
                  </w:tcMar>
                  <w:vAlign w:val="center"/>
                </w:tcPr>
                <w:p w14:paraId="219FADA9">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52.9</w:t>
                  </w:r>
                </w:p>
              </w:tc>
              <w:tc>
                <w:tcPr>
                  <w:tcW w:w="398" w:type="pct"/>
                  <w:tcBorders>
                    <w:tl2br w:val="nil"/>
                    <w:tr2bl w:val="nil"/>
                  </w:tcBorders>
                  <w:tcMar>
                    <w:top w:w="0" w:type="dxa"/>
                    <w:left w:w="57" w:type="dxa"/>
                    <w:bottom w:w="0" w:type="dxa"/>
                    <w:right w:w="57" w:type="dxa"/>
                  </w:tcMar>
                  <w:vAlign w:val="center"/>
                </w:tcPr>
                <w:p w14:paraId="03470E0C">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49.4</w:t>
                  </w:r>
                </w:p>
              </w:tc>
              <w:tc>
                <w:tcPr>
                  <w:tcW w:w="398" w:type="pct"/>
                  <w:tcBorders>
                    <w:tl2br w:val="nil"/>
                    <w:tr2bl w:val="nil"/>
                  </w:tcBorders>
                  <w:tcMar>
                    <w:top w:w="0" w:type="dxa"/>
                    <w:left w:w="57" w:type="dxa"/>
                    <w:bottom w:w="0" w:type="dxa"/>
                    <w:right w:w="57" w:type="dxa"/>
                  </w:tcMar>
                  <w:vAlign w:val="center"/>
                </w:tcPr>
                <w:p w14:paraId="183329A5">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45.0</w:t>
                  </w:r>
                </w:p>
              </w:tc>
              <w:tc>
                <w:tcPr>
                  <w:tcW w:w="398" w:type="pct"/>
                  <w:tcBorders>
                    <w:tl2br w:val="nil"/>
                    <w:tr2bl w:val="nil"/>
                  </w:tcBorders>
                  <w:tcMar>
                    <w:top w:w="0" w:type="dxa"/>
                    <w:left w:w="57" w:type="dxa"/>
                    <w:bottom w:w="0" w:type="dxa"/>
                    <w:right w:w="57" w:type="dxa"/>
                  </w:tcMar>
                  <w:vAlign w:val="center"/>
                </w:tcPr>
                <w:p w14:paraId="25D8F40E">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38.9</w:t>
                  </w:r>
                </w:p>
              </w:tc>
              <w:tc>
                <w:tcPr>
                  <w:tcW w:w="398" w:type="pct"/>
                  <w:tcBorders>
                    <w:tl2br w:val="nil"/>
                    <w:tr2bl w:val="nil"/>
                  </w:tcBorders>
                  <w:tcMar>
                    <w:top w:w="0" w:type="dxa"/>
                    <w:left w:w="57" w:type="dxa"/>
                    <w:bottom w:w="0" w:type="dxa"/>
                    <w:right w:w="57" w:type="dxa"/>
                  </w:tcMar>
                  <w:vAlign w:val="center"/>
                </w:tcPr>
                <w:p w14:paraId="6B700FFC">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37.0</w:t>
                  </w:r>
                </w:p>
              </w:tc>
              <w:tc>
                <w:tcPr>
                  <w:tcW w:w="398" w:type="pct"/>
                  <w:tcBorders>
                    <w:tl2br w:val="nil"/>
                    <w:tr2bl w:val="nil"/>
                  </w:tcBorders>
                  <w:tcMar>
                    <w:top w:w="0" w:type="dxa"/>
                    <w:left w:w="57" w:type="dxa"/>
                    <w:bottom w:w="0" w:type="dxa"/>
                    <w:right w:w="57" w:type="dxa"/>
                  </w:tcMar>
                  <w:vAlign w:val="center"/>
                </w:tcPr>
                <w:p w14:paraId="09AC1566">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35.4</w:t>
                  </w:r>
                </w:p>
              </w:tc>
              <w:tc>
                <w:tcPr>
                  <w:tcW w:w="400" w:type="pct"/>
                  <w:tcBorders>
                    <w:tl2br w:val="nil"/>
                    <w:tr2bl w:val="nil"/>
                  </w:tcBorders>
                  <w:tcMar>
                    <w:top w:w="0" w:type="dxa"/>
                    <w:left w:w="57" w:type="dxa"/>
                    <w:bottom w:w="0" w:type="dxa"/>
                    <w:right w:w="57" w:type="dxa"/>
                  </w:tcMar>
                  <w:vAlign w:val="center"/>
                </w:tcPr>
                <w:p w14:paraId="27626ED7">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32.9</w:t>
                  </w:r>
                </w:p>
              </w:tc>
              <w:tc>
                <w:tcPr>
                  <w:tcW w:w="419" w:type="pct"/>
                  <w:tcBorders>
                    <w:tl2br w:val="nil"/>
                    <w:tr2bl w:val="nil"/>
                  </w:tcBorders>
                  <w:tcMar>
                    <w:top w:w="0" w:type="dxa"/>
                    <w:left w:w="57" w:type="dxa"/>
                    <w:bottom w:w="0" w:type="dxa"/>
                    <w:right w:w="57" w:type="dxa"/>
                  </w:tcMar>
                  <w:vAlign w:val="center"/>
                </w:tcPr>
                <w:p w14:paraId="47C81443">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31.0</w:t>
                  </w:r>
                </w:p>
              </w:tc>
              <w:tc>
                <w:tcPr>
                  <w:tcW w:w="575" w:type="pct"/>
                  <w:tcBorders>
                    <w:tl2br w:val="nil"/>
                    <w:tr2bl w:val="nil"/>
                  </w:tcBorders>
                  <w:tcMar>
                    <w:top w:w="0" w:type="dxa"/>
                    <w:left w:w="57" w:type="dxa"/>
                    <w:bottom w:w="0" w:type="dxa"/>
                    <w:right w:w="57" w:type="dxa"/>
                  </w:tcMar>
                  <w:vAlign w:val="center"/>
                </w:tcPr>
                <w:p w14:paraId="7768678C">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土石方</w:t>
                  </w:r>
                </w:p>
              </w:tc>
            </w:tr>
            <w:tr w14:paraId="6E9A8B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0" w:hRule="atLeast"/>
                <w:jc w:val="center"/>
              </w:trPr>
              <w:tc>
                <w:tcPr>
                  <w:tcW w:w="307" w:type="pct"/>
                  <w:tcBorders>
                    <w:tl2br w:val="nil"/>
                    <w:tr2bl w:val="nil"/>
                  </w:tcBorders>
                  <w:vAlign w:val="center"/>
                </w:tcPr>
                <w:p w14:paraId="57E30AE7">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w:t>
                  </w:r>
                </w:p>
              </w:tc>
              <w:tc>
                <w:tcPr>
                  <w:tcW w:w="903" w:type="pct"/>
                  <w:tcBorders>
                    <w:tl2br w:val="nil"/>
                    <w:tr2bl w:val="nil"/>
                  </w:tcBorders>
                  <w:vAlign w:val="center"/>
                </w:tcPr>
                <w:p w14:paraId="1C8A4057">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混凝土振捣器</w:t>
                  </w:r>
                </w:p>
              </w:tc>
              <w:tc>
                <w:tcPr>
                  <w:tcW w:w="398" w:type="pct"/>
                  <w:tcBorders>
                    <w:tl2br w:val="nil"/>
                    <w:tr2bl w:val="nil"/>
                  </w:tcBorders>
                  <w:tcMar>
                    <w:top w:w="0" w:type="dxa"/>
                    <w:left w:w="57" w:type="dxa"/>
                    <w:bottom w:w="0" w:type="dxa"/>
                    <w:right w:w="57" w:type="dxa"/>
                  </w:tcMar>
                  <w:vAlign w:val="center"/>
                </w:tcPr>
                <w:p w14:paraId="6DCB622A">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57.9</w:t>
                  </w:r>
                </w:p>
              </w:tc>
              <w:tc>
                <w:tcPr>
                  <w:tcW w:w="398" w:type="pct"/>
                  <w:tcBorders>
                    <w:tl2br w:val="nil"/>
                    <w:tr2bl w:val="nil"/>
                  </w:tcBorders>
                  <w:tcMar>
                    <w:top w:w="0" w:type="dxa"/>
                    <w:left w:w="57" w:type="dxa"/>
                    <w:bottom w:w="0" w:type="dxa"/>
                    <w:right w:w="57" w:type="dxa"/>
                  </w:tcMar>
                  <w:vAlign w:val="center"/>
                </w:tcPr>
                <w:p w14:paraId="40CADB45">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54.4</w:t>
                  </w:r>
                </w:p>
              </w:tc>
              <w:tc>
                <w:tcPr>
                  <w:tcW w:w="398" w:type="pct"/>
                  <w:tcBorders>
                    <w:tl2br w:val="nil"/>
                    <w:tr2bl w:val="nil"/>
                  </w:tcBorders>
                  <w:tcMar>
                    <w:top w:w="0" w:type="dxa"/>
                    <w:left w:w="57" w:type="dxa"/>
                    <w:bottom w:w="0" w:type="dxa"/>
                    <w:right w:w="57" w:type="dxa"/>
                  </w:tcMar>
                  <w:vAlign w:val="center"/>
                </w:tcPr>
                <w:p w14:paraId="55F9FA2F">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50.0</w:t>
                  </w:r>
                </w:p>
              </w:tc>
              <w:tc>
                <w:tcPr>
                  <w:tcW w:w="398" w:type="pct"/>
                  <w:tcBorders>
                    <w:tl2br w:val="nil"/>
                    <w:tr2bl w:val="nil"/>
                  </w:tcBorders>
                  <w:tcMar>
                    <w:top w:w="0" w:type="dxa"/>
                    <w:left w:w="57" w:type="dxa"/>
                    <w:bottom w:w="0" w:type="dxa"/>
                    <w:right w:w="57" w:type="dxa"/>
                  </w:tcMar>
                  <w:vAlign w:val="center"/>
                </w:tcPr>
                <w:p w14:paraId="488049A6">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43.9</w:t>
                  </w:r>
                </w:p>
              </w:tc>
              <w:tc>
                <w:tcPr>
                  <w:tcW w:w="398" w:type="pct"/>
                  <w:tcBorders>
                    <w:tl2br w:val="nil"/>
                    <w:tr2bl w:val="nil"/>
                  </w:tcBorders>
                  <w:tcMar>
                    <w:top w:w="0" w:type="dxa"/>
                    <w:left w:w="57" w:type="dxa"/>
                    <w:bottom w:w="0" w:type="dxa"/>
                    <w:right w:w="57" w:type="dxa"/>
                  </w:tcMar>
                  <w:vAlign w:val="center"/>
                </w:tcPr>
                <w:p w14:paraId="55D4CAA3">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42.0</w:t>
                  </w:r>
                </w:p>
              </w:tc>
              <w:tc>
                <w:tcPr>
                  <w:tcW w:w="398" w:type="pct"/>
                  <w:tcBorders>
                    <w:tl2br w:val="nil"/>
                    <w:tr2bl w:val="nil"/>
                  </w:tcBorders>
                  <w:tcMar>
                    <w:top w:w="0" w:type="dxa"/>
                    <w:left w:w="57" w:type="dxa"/>
                    <w:bottom w:w="0" w:type="dxa"/>
                    <w:right w:w="57" w:type="dxa"/>
                  </w:tcMar>
                  <w:vAlign w:val="center"/>
                </w:tcPr>
                <w:p w14:paraId="767CD0BE">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40.4</w:t>
                  </w:r>
                </w:p>
              </w:tc>
              <w:tc>
                <w:tcPr>
                  <w:tcW w:w="400" w:type="pct"/>
                  <w:tcBorders>
                    <w:tl2br w:val="nil"/>
                    <w:tr2bl w:val="nil"/>
                  </w:tcBorders>
                  <w:tcMar>
                    <w:top w:w="0" w:type="dxa"/>
                    <w:left w:w="57" w:type="dxa"/>
                    <w:bottom w:w="0" w:type="dxa"/>
                    <w:right w:w="57" w:type="dxa"/>
                  </w:tcMar>
                  <w:vAlign w:val="center"/>
                </w:tcPr>
                <w:p w14:paraId="732FF96D">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37.9</w:t>
                  </w:r>
                </w:p>
              </w:tc>
              <w:tc>
                <w:tcPr>
                  <w:tcW w:w="419" w:type="pct"/>
                  <w:tcBorders>
                    <w:tl2br w:val="nil"/>
                    <w:tr2bl w:val="nil"/>
                  </w:tcBorders>
                  <w:tcMar>
                    <w:top w:w="0" w:type="dxa"/>
                    <w:left w:w="57" w:type="dxa"/>
                    <w:bottom w:w="0" w:type="dxa"/>
                    <w:right w:w="57" w:type="dxa"/>
                  </w:tcMar>
                  <w:vAlign w:val="center"/>
                </w:tcPr>
                <w:p w14:paraId="0F9417D2">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36.0</w:t>
                  </w:r>
                </w:p>
              </w:tc>
              <w:tc>
                <w:tcPr>
                  <w:tcW w:w="575" w:type="pct"/>
                  <w:tcBorders>
                    <w:tl2br w:val="nil"/>
                    <w:tr2bl w:val="nil"/>
                  </w:tcBorders>
                  <w:tcMar>
                    <w:top w:w="0" w:type="dxa"/>
                    <w:left w:w="57" w:type="dxa"/>
                    <w:bottom w:w="0" w:type="dxa"/>
                    <w:right w:w="57" w:type="dxa"/>
                  </w:tcMar>
                  <w:vAlign w:val="center"/>
                </w:tcPr>
                <w:p w14:paraId="6723E2F4">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结构</w:t>
                  </w:r>
                </w:p>
              </w:tc>
            </w:tr>
            <w:tr w14:paraId="719CA1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0" w:hRule="atLeast"/>
                <w:jc w:val="center"/>
              </w:trPr>
              <w:tc>
                <w:tcPr>
                  <w:tcW w:w="307" w:type="pct"/>
                  <w:tcBorders>
                    <w:tl2br w:val="nil"/>
                    <w:tr2bl w:val="nil"/>
                  </w:tcBorders>
                  <w:vAlign w:val="center"/>
                </w:tcPr>
                <w:p w14:paraId="6FB11D9C">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w:t>
                  </w:r>
                </w:p>
              </w:tc>
              <w:tc>
                <w:tcPr>
                  <w:tcW w:w="903" w:type="pct"/>
                  <w:tcBorders>
                    <w:tl2br w:val="nil"/>
                    <w:tr2bl w:val="nil"/>
                  </w:tcBorders>
                  <w:vAlign w:val="center"/>
                </w:tcPr>
                <w:p w14:paraId="29DF9A30">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卡车</w:t>
                  </w:r>
                </w:p>
              </w:tc>
              <w:tc>
                <w:tcPr>
                  <w:tcW w:w="398" w:type="pct"/>
                  <w:tcBorders>
                    <w:tl2br w:val="nil"/>
                    <w:tr2bl w:val="nil"/>
                  </w:tcBorders>
                  <w:tcMar>
                    <w:top w:w="0" w:type="dxa"/>
                    <w:left w:w="57" w:type="dxa"/>
                    <w:bottom w:w="0" w:type="dxa"/>
                    <w:right w:w="57" w:type="dxa"/>
                  </w:tcMar>
                  <w:vAlign w:val="center"/>
                </w:tcPr>
                <w:p w14:paraId="7270C7E3">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48.0</w:t>
                  </w:r>
                </w:p>
              </w:tc>
              <w:tc>
                <w:tcPr>
                  <w:tcW w:w="398" w:type="pct"/>
                  <w:tcBorders>
                    <w:tl2br w:val="nil"/>
                    <w:tr2bl w:val="nil"/>
                  </w:tcBorders>
                  <w:tcMar>
                    <w:top w:w="0" w:type="dxa"/>
                    <w:left w:w="57" w:type="dxa"/>
                    <w:bottom w:w="0" w:type="dxa"/>
                    <w:right w:w="57" w:type="dxa"/>
                  </w:tcMar>
                  <w:vAlign w:val="center"/>
                </w:tcPr>
                <w:p w14:paraId="555C220B">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44.4</w:t>
                  </w:r>
                </w:p>
              </w:tc>
              <w:tc>
                <w:tcPr>
                  <w:tcW w:w="398" w:type="pct"/>
                  <w:tcBorders>
                    <w:tl2br w:val="nil"/>
                    <w:tr2bl w:val="nil"/>
                  </w:tcBorders>
                  <w:tcMar>
                    <w:top w:w="0" w:type="dxa"/>
                    <w:left w:w="57" w:type="dxa"/>
                    <w:bottom w:w="0" w:type="dxa"/>
                    <w:right w:w="57" w:type="dxa"/>
                  </w:tcMar>
                  <w:vAlign w:val="center"/>
                </w:tcPr>
                <w:p w14:paraId="26F0B84A">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40.0</w:t>
                  </w:r>
                </w:p>
              </w:tc>
              <w:tc>
                <w:tcPr>
                  <w:tcW w:w="398" w:type="pct"/>
                  <w:tcBorders>
                    <w:tl2br w:val="nil"/>
                    <w:tr2bl w:val="nil"/>
                  </w:tcBorders>
                  <w:tcMar>
                    <w:top w:w="0" w:type="dxa"/>
                    <w:left w:w="57" w:type="dxa"/>
                    <w:bottom w:w="0" w:type="dxa"/>
                    <w:right w:w="57" w:type="dxa"/>
                  </w:tcMar>
                  <w:vAlign w:val="center"/>
                </w:tcPr>
                <w:p w14:paraId="379F1411">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34.0</w:t>
                  </w:r>
                </w:p>
              </w:tc>
              <w:tc>
                <w:tcPr>
                  <w:tcW w:w="398" w:type="pct"/>
                  <w:tcBorders>
                    <w:tl2br w:val="nil"/>
                    <w:tr2bl w:val="nil"/>
                  </w:tcBorders>
                  <w:tcMar>
                    <w:top w:w="0" w:type="dxa"/>
                    <w:left w:w="57" w:type="dxa"/>
                    <w:bottom w:w="0" w:type="dxa"/>
                    <w:right w:w="57" w:type="dxa"/>
                  </w:tcMar>
                  <w:vAlign w:val="center"/>
                </w:tcPr>
                <w:p w14:paraId="12503F5C">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32.0</w:t>
                  </w:r>
                </w:p>
              </w:tc>
              <w:tc>
                <w:tcPr>
                  <w:tcW w:w="398" w:type="pct"/>
                  <w:tcBorders>
                    <w:tl2br w:val="nil"/>
                    <w:tr2bl w:val="nil"/>
                  </w:tcBorders>
                  <w:tcMar>
                    <w:top w:w="0" w:type="dxa"/>
                    <w:left w:w="57" w:type="dxa"/>
                    <w:bottom w:w="0" w:type="dxa"/>
                    <w:right w:w="57" w:type="dxa"/>
                  </w:tcMar>
                  <w:vAlign w:val="center"/>
                </w:tcPr>
                <w:p w14:paraId="0B404CDE">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30.5</w:t>
                  </w:r>
                </w:p>
              </w:tc>
              <w:tc>
                <w:tcPr>
                  <w:tcW w:w="400" w:type="pct"/>
                  <w:tcBorders>
                    <w:tl2br w:val="nil"/>
                    <w:tr2bl w:val="nil"/>
                  </w:tcBorders>
                  <w:tcMar>
                    <w:top w:w="0" w:type="dxa"/>
                    <w:left w:w="57" w:type="dxa"/>
                    <w:bottom w:w="0" w:type="dxa"/>
                    <w:right w:w="57" w:type="dxa"/>
                  </w:tcMar>
                  <w:vAlign w:val="center"/>
                </w:tcPr>
                <w:p w14:paraId="7BF14B0C">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28.0</w:t>
                  </w:r>
                </w:p>
              </w:tc>
              <w:tc>
                <w:tcPr>
                  <w:tcW w:w="419" w:type="pct"/>
                  <w:tcBorders>
                    <w:tl2br w:val="nil"/>
                    <w:tr2bl w:val="nil"/>
                  </w:tcBorders>
                  <w:tcMar>
                    <w:top w:w="0" w:type="dxa"/>
                    <w:left w:w="57" w:type="dxa"/>
                    <w:bottom w:w="0" w:type="dxa"/>
                    <w:right w:w="57" w:type="dxa"/>
                  </w:tcMar>
                  <w:vAlign w:val="center"/>
                </w:tcPr>
                <w:p w14:paraId="17442701">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26.0</w:t>
                  </w:r>
                </w:p>
              </w:tc>
              <w:tc>
                <w:tcPr>
                  <w:tcW w:w="575" w:type="pct"/>
                  <w:tcBorders>
                    <w:tl2br w:val="nil"/>
                    <w:tr2bl w:val="nil"/>
                  </w:tcBorders>
                  <w:tcMar>
                    <w:top w:w="0" w:type="dxa"/>
                    <w:left w:w="57" w:type="dxa"/>
                    <w:bottom w:w="0" w:type="dxa"/>
                    <w:right w:w="57" w:type="dxa"/>
                  </w:tcMar>
                  <w:vAlign w:val="center"/>
                </w:tcPr>
                <w:p w14:paraId="12E19D44">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t>
                  </w:r>
                </w:p>
              </w:tc>
            </w:tr>
          </w:tbl>
          <w:p w14:paraId="2565D1D8">
            <w:pPr>
              <w:keepNext w:val="0"/>
              <w:keepLines w:val="0"/>
              <w:pageBreakBefore w:val="0"/>
              <w:widowControl w:val="0"/>
              <w:kinsoku/>
              <w:wordWrap/>
              <w:overflowPunct/>
              <w:topLinePunct w:val="0"/>
              <w:autoSpaceDE/>
              <w:autoSpaceDN/>
              <w:bidi w:val="0"/>
              <w:adjustRightInd/>
              <w:snapToGrid w:val="0"/>
              <w:spacing w:line="360" w:lineRule="auto"/>
              <w:ind w:firstLine="420" w:firstLineChars="20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从上表可以看出，施工机械噪声较高，昼间施工噪声超过《建筑施工噪声排放标准》（GB 12523-2025）的情况出现在距声源40m范围内，</w:t>
            </w:r>
            <w:r>
              <w:rPr>
                <w:rFonts w:hint="default" w:ascii="Times New Roman" w:hAnsi="Times New Roman" w:cs="Times New Roman"/>
                <w:color w:val="auto"/>
                <w:kern w:val="2"/>
                <w:sz w:val="21"/>
                <w:szCs w:val="21"/>
                <w:lang w:val="en-US" w:eastAsia="zh-CN" w:bidi="ar-SA"/>
              </w:rPr>
              <w:t>而本项目</w:t>
            </w:r>
            <w:r>
              <w:rPr>
                <w:rFonts w:hint="default" w:ascii="Times New Roman" w:hAnsi="Times New Roman" w:eastAsia="宋体" w:cs="Times New Roman"/>
                <w:color w:val="auto"/>
                <w:kern w:val="2"/>
                <w:sz w:val="21"/>
                <w:szCs w:val="21"/>
                <w:lang w:val="en-US" w:eastAsia="zh-CN" w:bidi="ar-SA"/>
              </w:rPr>
              <w:t>距离周边人群较</w:t>
            </w:r>
            <w:r>
              <w:rPr>
                <w:rFonts w:hint="default" w:ascii="Times New Roman" w:hAnsi="Times New Roman" w:cs="Times New Roman"/>
                <w:color w:val="auto"/>
                <w:kern w:val="2"/>
                <w:sz w:val="21"/>
                <w:szCs w:val="21"/>
                <w:lang w:val="en-US" w:eastAsia="zh-CN" w:bidi="ar-SA"/>
              </w:rPr>
              <w:t>远</w:t>
            </w: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cs="Times New Roman"/>
                <w:color w:val="auto"/>
                <w:kern w:val="2"/>
                <w:sz w:val="21"/>
                <w:szCs w:val="21"/>
                <w:lang w:val="en-US" w:eastAsia="zh-CN" w:bidi="ar-SA"/>
              </w:rPr>
              <w:t>厂内施工噪声对其产生影响较小。但运输车辆在厂外可能途经村庄，须</w:t>
            </w:r>
            <w:r>
              <w:rPr>
                <w:rFonts w:hint="default" w:ascii="Times New Roman" w:hAnsi="Times New Roman" w:eastAsia="宋体" w:cs="Times New Roman"/>
                <w:color w:val="auto"/>
                <w:kern w:val="2"/>
                <w:sz w:val="21"/>
                <w:szCs w:val="21"/>
                <w:lang w:val="en-US" w:eastAsia="zh-CN" w:bidi="ar-SA"/>
              </w:rPr>
              <w:t>合理制定运输路线，尽量远离居民区，施工车辆沿途经过居民区时应减速慢行、禁鸣。</w:t>
            </w:r>
          </w:p>
          <w:p w14:paraId="4D68F9A5">
            <w:pPr>
              <w:keepNext w:val="0"/>
              <w:keepLines w:val="0"/>
              <w:pageBreakBefore w:val="0"/>
              <w:widowControl w:val="0"/>
              <w:kinsoku/>
              <w:wordWrap/>
              <w:overflowPunct/>
              <w:topLinePunct w:val="0"/>
              <w:autoSpaceDE/>
              <w:autoSpaceDN/>
              <w:bidi w:val="0"/>
              <w:adjustRightInd/>
              <w:snapToGrid w:val="0"/>
              <w:spacing w:line="360" w:lineRule="auto"/>
              <w:ind w:firstLine="420" w:firstLineChars="20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本项目噪声采取上述管制措施，并经距离衰减后，不会对其声环境产生明显影响。</w:t>
            </w:r>
          </w:p>
          <w:p w14:paraId="6052C569">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both"/>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4、固体废物环境保护措施</w:t>
            </w:r>
          </w:p>
          <w:p w14:paraId="53E21B3C">
            <w:pPr>
              <w:pStyle w:val="224"/>
              <w:spacing w:line="360" w:lineRule="auto"/>
              <w:ind w:firstLine="420" w:firstLineChars="20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施工期的固体废弃物主要包括建筑垃圾</w:t>
            </w:r>
            <w:r>
              <w:rPr>
                <w:rFonts w:hint="eastAsia" w:cs="Times New Roman"/>
                <w:color w:val="auto"/>
                <w:kern w:val="2"/>
                <w:sz w:val="21"/>
                <w:szCs w:val="21"/>
                <w:lang w:val="en-US" w:eastAsia="zh-CN" w:bidi="ar-SA"/>
              </w:rPr>
              <w:t>、弃土石方</w:t>
            </w:r>
            <w:r>
              <w:rPr>
                <w:rFonts w:hint="default" w:ascii="Times New Roman" w:hAnsi="Times New Roman" w:eastAsia="宋体" w:cs="Times New Roman"/>
                <w:color w:val="auto"/>
                <w:kern w:val="2"/>
                <w:sz w:val="21"/>
                <w:szCs w:val="21"/>
                <w:lang w:val="en-US" w:eastAsia="zh-CN" w:bidi="ar-SA"/>
              </w:rPr>
              <w:t>及施工人员产生的生活垃圾。施工中要加强对这些固体废物的管理，工程废弃物应及时清运，要求按规定路线运输，运输车辆必须按有关要求配装密闭装置。施工队的生活垃圾要收集到指定的垃圾箱内，并加盖，每日清运，确保作业区保持整洁环境。</w:t>
            </w:r>
          </w:p>
          <w:p w14:paraId="2AF4FB3F">
            <w:pPr>
              <w:spacing w:line="360" w:lineRule="auto"/>
              <w:ind w:firstLine="420" w:firstLineChars="200"/>
              <w:rPr>
                <w:rFonts w:hint="eastAsia"/>
                <w:color w:val="auto"/>
                <w:sz w:val="21"/>
                <w:szCs w:val="21"/>
                <w:highlight w:val="none"/>
                <w:lang w:val="en-US" w:eastAsia="zh-CN"/>
              </w:rPr>
            </w:pPr>
            <w:r>
              <w:rPr>
                <w:rFonts w:hint="default" w:ascii="Times New Roman" w:hAnsi="Times New Roman" w:eastAsia="宋体" w:cs="Times New Roman"/>
                <w:color w:val="auto"/>
                <w:sz w:val="21"/>
                <w:szCs w:val="21"/>
              </w:rPr>
              <w:t>综上所述，施工期对环境的影响是暂时的，施工结束后，受影响区域环境基本可以得到恢复。通过采取以上必要的防治措施后，施工期对周围环境的影响在可接受范围内</w:t>
            </w:r>
            <w:r>
              <w:rPr>
                <w:rFonts w:hint="default" w:ascii="Times New Roman" w:hAnsi="Times New Roman" w:eastAsia="宋体" w:cs="Times New Roman"/>
                <w:color w:val="auto"/>
                <w:sz w:val="21"/>
                <w:szCs w:val="21"/>
                <w:lang w:eastAsia="zh-CN"/>
              </w:rPr>
              <w:t>。</w:t>
            </w:r>
          </w:p>
          <w:p w14:paraId="70CF0523">
            <w:pPr>
              <w:spacing w:line="360" w:lineRule="auto"/>
              <w:ind w:firstLine="420" w:firstLineChars="200"/>
              <w:rPr>
                <w:rFonts w:hint="eastAsia"/>
                <w:color w:val="auto"/>
                <w:sz w:val="21"/>
                <w:szCs w:val="21"/>
                <w:highlight w:val="none"/>
                <w:lang w:val="en-US" w:eastAsia="zh-CN"/>
              </w:rPr>
            </w:pPr>
          </w:p>
          <w:p w14:paraId="1C85653D">
            <w:pPr>
              <w:spacing w:line="360" w:lineRule="auto"/>
              <w:ind w:firstLine="420" w:firstLineChars="200"/>
              <w:rPr>
                <w:rFonts w:hint="eastAsia"/>
                <w:color w:val="auto"/>
                <w:sz w:val="21"/>
                <w:szCs w:val="21"/>
                <w:highlight w:val="none"/>
                <w:lang w:val="en-US" w:eastAsia="zh-CN"/>
              </w:rPr>
            </w:pPr>
          </w:p>
          <w:p w14:paraId="0D38BD75">
            <w:pPr>
              <w:spacing w:line="360" w:lineRule="auto"/>
              <w:ind w:firstLine="420" w:firstLineChars="200"/>
              <w:rPr>
                <w:rFonts w:hint="eastAsia"/>
                <w:color w:val="auto"/>
                <w:sz w:val="21"/>
                <w:szCs w:val="21"/>
                <w:highlight w:val="none"/>
                <w:lang w:val="en-US" w:eastAsia="zh-CN"/>
              </w:rPr>
            </w:pPr>
          </w:p>
          <w:p w14:paraId="07356517">
            <w:pPr>
              <w:spacing w:line="360" w:lineRule="auto"/>
              <w:ind w:firstLine="420" w:firstLineChars="200"/>
              <w:rPr>
                <w:rFonts w:hint="eastAsia"/>
                <w:color w:val="auto"/>
                <w:sz w:val="21"/>
                <w:szCs w:val="21"/>
                <w:highlight w:val="none"/>
                <w:lang w:val="en-US" w:eastAsia="zh-CN"/>
              </w:rPr>
            </w:pPr>
          </w:p>
          <w:p w14:paraId="2768FA6E">
            <w:pPr>
              <w:spacing w:line="360" w:lineRule="auto"/>
              <w:ind w:firstLine="420" w:firstLineChars="200"/>
              <w:rPr>
                <w:rFonts w:hint="eastAsia"/>
                <w:color w:val="auto"/>
                <w:sz w:val="21"/>
                <w:szCs w:val="21"/>
                <w:highlight w:val="none"/>
                <w:lang w:val="en-US" w:eastAsia="zh-CN"/>
              </w:rPr>
            </w:pPr>
          </w:p>
          <w:p w14:paraId="04BFB557">
            <w:pPr>
              <w:spacing w:line="360" w:lineRule="auto"/>
              <w:ind w:firstLine="420" w:firstLineChars="200"/>
              <w:rPr>
                <w:rFonts w:hint="eastAsia"/>
                <w:color w:val="auto"/>
                <w:sz w:val="21"/>
                <w:szCs w:val="21"/>
                <w:highlight w:val="none"/>
                <w:lang w:val="en-US" w:eastAsia="zh-CN"/>
              </w:rPr>
            </w:pPr>
          </w:p>
          <w:p w14:paraId="3891BF5F">
            <w:pPr>
              <w:spacing w:line="360" w:lineRule="auto"/>
              <w:ind w:firstLine="420" w:firstLineChars="200"/>
              <w:rPr>
                <w:rFonts w:hint="eastAsia"/>
                <w:color w:val="auto"/>
                <w:sz w:val="21"/>
                <w:szCs w:val="21"/>
                <w:highlight w:val="none"/>
                <w:lang w:val="en-US" w:eastAsia="zh-CN"/>
              </w:rPr>
            </w:pPr>
          </w:p>
          <w:p w14:paraId="6561A5FE">
            <w:pPr>
              <w:spacing w:line="360" w:lineRule="auto"/>
              <w:ind w:firstLine="420" w:firstLineChars="200"/>
              <w:rPr>
                <w:rFonts w:hint="eastAsia"/>
                <w:color w:val="auto"/>
                <w:sz w:val="21"/>
                <w:szCs w:val="21"/>
                <w:highlight w:val="none"/>
                <w:lang w:val="en-US" w:eastAsia="zh-CN"/>
              </w:rPr>
            </w:pPr>
          </w:p>
          <w:p w14:paraId="10BEAE76">
            <w:pPr>
              <w:spacing w:line="360" w:lineRule="auto"/>
              <w:rPr>
                <w:rFonts w:hint="default"/>
                <w:color w:val="auto"/>
                <w:sz w:val="21"/>
                <w:szCs w:val="21"/>
                <w:highlight w:val="none"/>
                <w:lang w:val="en-US" w:eastAsia="zh-CN"/>
              </w:rPr>
            </w:pPr>
          </w:p>
        </w:tc>
      </w:tr>
      <w:tr w14:paraId="299D16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540" w:hRule="atLeast"/>
          <w:jc w:val="center"/>
        </w:trPr>
        <w:tc>
          <w:tcPr>
            <w:tcW w:w="510" w:type="dxa"/>
            <w:noWrap w:val="0"/>
            <w:tcMar>
              <w:left w:w="28" w:type="dxa"/>
              <w:right w:w="28" w:type="dxa"/>
            </w:tcMar>
            <w:vAlign w:val="center"/>
          </w:tcPr>
          <w:p w14:paraId="427F1DBB">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运</w:t>
            </w:r>
          </w:p>
          <w:p w14:paraId="04162923">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营</w:t>
            </w:r>
          </w:p>
          <w:p w14:paraId="3DC6513D">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期</w:t>
            </w:r>
          </w:p>
          <w:p w14:paraId="41580407">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境</w:t>
            </w:r>
          </w:p>
          <w:p w14:paraId="77FC546D">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影</w:t>
            </w:r>
          </w:p>
          <w:p w14:paraId="7FB9FBD3">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响</w:t>
            </w:r>
          </w:p>
          <w:p w14:paraId="1FAF7460">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和</w:t>
            </w:r>
          </w:p>
          <w:p w14:paraId="257515BB">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保</w:t>
            </w:r>
          </w:p>
          <w:p w14:paraId="611576F0">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护</w:t>
            </w:r>
          </w:p>
          <w:p w14:paraId="5DCEDCB6">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措</w:t>
            </w:r>
          </w:p>
          <w:p w14:paraId="09C58FDC">
            <w:pPr>
              <w:pStyle w:val="29"/>
              <w:adjustRightInd w:val="0"/>
              <w:snapToGrid w:val="0"/>
              <w:spacing w:before="0" w:beforeAutospacing="0" w:after="0" w:afterAutospacing="0"/>
              <w:jc w:val="center"/>
              <w:rPr>
                <w:rFonts w:hint="eastAsia"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bCs/>
                <w:color w:val="auto"/>
                <w:sz w:val="21"/>
                <w:szCs w:val="21"/>
                <w:highlight w:val="none"/>
              </w:rPr>
              <w:t>施</w:t>
            </w:r>
          </w:p>
        </w:tc>
        <w:tc>
          <w:tcPr>
            <w:tcW w:w="8471" w:type="dxa"/>
            <w:noWrap w:val="0"/>
            <w:vAlign w:val="top"/>
          </w:tcPr>
          <w:p w14:paraId="69B953BB">
            <w:pPr>
              <w:spacing w:line="360" w:lineRule="auto"/>
              <w:ind w:firstLine="422" w:firstLineChars="200"/>
              <w:jc w:val="left"/>
              <w:rPr>
                <w:rFonts w:ascii="Times New Roman" w:hAnsi="Times New Roman"/>
                <w:b/>
                <w:bCs/>
                <w:color w:val="auto"/>
                <w:sz w:val="21"/>
                <w:szCs w:val="21"/>
                <w:highlight w:val="none"/>
              </w:rPr>
            </w:pPr>
            <w:r>
              <w:rPr>
                <w:rFonts w:ascii="Times New Roman" w:hAnsi="Times New Roman"/>
                <w:b/>
                <w:bCs/>
                <w:color w:val="auto"/>
                <w:sz w:val="21"/>
                <w:szCs w:val="21"/>
                <w:highlight w:val="none"/>
              </w:rPr>
              <w:t>一、废气</w:t>
            </w:r>
          </w:p>
          <w:p w14:paraId="2993AE00">
            <w:pPr>
              <w:spacing w:line="360" w:lineRule="auto"/>
              <w:ind w:firstLine="422" w:firstLineChars="200"/>
              <w:jc w:val="left"/>
              <w:rPr>
                <w:rFonts w:ascii="Times New Roman" w:hAnsi="Times New Roman"/>
                <w:b/>
                <w:bCs/>
                <w:color w:val="auto"/>
                <w:sz w:val="21"/>
                <w:szCs w:val="21"/>
                <w:highlight w:val="none"/>
              </w:rPr>
            </w:pPr>
            <w:r>
              <w:rPr>
                <w:rFonts w:ascii="Times New Roman" w:hAnsi="Times New Roman"/>
                <w:b/>
                <w:bCs/>
                <w:color w:val="auto"/>
                <w:sz w:val="21"/>
                <w:szCs w:val="21"/>
                <w:highlight w:val="none"/>
              </w:rPr>
              <w:t>1、</w:t>
            </w:r>
            <w:r>
              <w:rPr>
                <w:rFonts w:hint="eastAsia" w:ascii="Times New Roman" w:hAnsi="Times New Roman"/>
                <w:b/>
                <w:bCs/>
                <w:color w:val="auto"/>
                <w:sz w:val="21"/>
                <w:szCs w:val="21"/>
                <w:highlight w:val="none"/>
              </w:rPr>
              <w:t>废气产生情况</w:t>
            </w:r>
          </w:p>
          <w:p w14:paraId="194AA520">
            <w:pPr>
              <w:spacing w:line="360" w:lineRule="auto"/>
              <w:ind w:firstLine="420" w:firstLineChars="200"/>
              <w:jc w:val="both"/>
              <w:rPr>
                <w:rFonts w:hint="default" w:ascii="Times New Roman" w:hAnsi="Times New Roman" w:eastAsia="宋体"/>
                <w:bCs/>
                <w:color w:val="auto"/>
                <w:sz w:val="21"/>
                <w:szCs w:val="21"/>
                <w:highlight w:val="none"/>
                <w:lang w:val="en-US" w:eastAsia="zh-CN"/>
              </w:rPr>
            </w:pPr>
            <w:r>
              <w:rPr>
                <w:rFonts w:hint="eastAsia" w:ascii="Times New Roman" w:hAnsi="Times New Roman"/>
                <w:bCs/>
                <w:color w:val="auto"/>
                <w:sz w:val="21"/>
                <w:szCs w:val="21"/>
                <w:highlight w:val="none"/>
              </w:rPr>
              <w:t>拟建项目废气包括</w:t>
            </w:r>
            <w:r>
              <w:rPr>
                <w:rFonts w:hint="eastAsia"/>
                <w:bCs/>
                <w:color w:val="auto"/>
                <w:sz w:val="21"/>
                <w:szCs w:val="21"/>
                <w:highlight w:val="none"/>
                <w:lang w:val="en-US" w:eastAsia="zh-CN"/>
              </w:rPr>
              <w:t>常化无氧加热炉燃烧废气、燃气辐射管加热炉燃烧废气、焊接废气、抛丸废气、常化盐酸酸洗及漂洗废气、冷轧废气、碱洗废气、脱碳渗氮废气、脱碳退火工序退火炉燃烧废气、MgO涂层烘干烧结燃烧废气、热拉伸入口处MgO粉尘、热拉伸平整工序硫酸酸洗废气、热拉伸平整工序卧式连续炉燃烧废气、激光刻痕废气、盐酸储罐及硫酸储罐呼吸废气等。本项目设置14根排气筒。</w:t>
            </w:r>
          </w:p>
          <w:p w14:paraId="580D58AD">
            <w:pPr>
              <w:spacing w:line="360" w:lineRule="auto"/>
              <w:ind w:firstLine="422" w:firstLineChars="200"/>
              <w:jc w:val="left"/>
              <w:rPr>
                <w:rFonts w:ascii="Times New Roman" w:hAnsi="Times New Roman"/>
                <w:color w:val="auto"/>
                <w:sz w:val="21"/>
                <w:szCs w:val="21"/>
                <w:highlight w:val="none"/>
              </w:rPr>
            </w:pPr>
            <w:r>
              <w:rPr>
                <w:rFonts w:hint="eastAsia" w:ascii="Times New Roman" w:hAnsi="Times New Roman"/>
                <w:b/>
                <w:bCs/>
                <w:color w:val="auto"/>
                <w:sz w:val="21"/>
                <w:szCs w:val="21"/>
                <w:highlight w:val="none"/>
              </w:rPr>
              <w:t>2、</w:t>
            </w:r>
            <w:r>
              <w:rPr>
                <w:rFonts w:ascii="Times New Roman" w:hAnsi="Times New Roman"/>
                <w:b/>
                <w:bCs/>
                <w:color w:val="auto"/>
                <w:sz w:val="21"/>
                <w:szCs w:val="21"/>
                <w:highlight w:val="none"/>
              </w:rPr>
              <w:t>废气污染物排放源</w:t>
            </w:r>
          </w:p>
          <w:p w14:paraId="19052B1E">
            <w:pPr>
              <w:adjustRightInd w:val="0"/>
              <w:snapToGrid w:val="0"/>
              <w:spacing w:line="360" w:lineRule="auto"/>
              <w:ind w:firstLine="420" w:firstLineChars="200"/>
              <w:jc w:val="left"/>
              <w:rPr>
                <w:rFonts w:hint="eastAsia"/>
                <w:color w:val="auto"/>
                <w:sz w:val="21"/>
                <w:szCs w:val="21"/>
                <w:highlight w:val="none"/>
                <w:lang w:val="en-US" w:eastAsia="zh-CN"/>
              </w:rPr>
            </w:pPr>
            <w:r>
              <w:rPr>
                <w:rFonts w:hint="eastAsia"/>
                <w:color w:val="auto"/>
                <w:sz w:val="21"/>
                <w:szCs w:val="21"/>
                <w:highlight w:val="none"/>
                <w:lang w:eastAsia="zh-CN"/>
              </w:rPr>
              <w:t>（</w:t>
            </w:r>
            <w:r>
              <w:rPr>
                <w:rFonts w:hint="eastAsia"/>
                <w:color w:val="auto"/>
                <w:sz w:val="21"/>
                <w:szCs w:val="21"/>
                <w:highlight w:val="none"/>
                <w:lang w:val="en-US" w:eastAsia="zh-CN"/>
              </w:rPr>
              <w:t>1</w:t>
            </w:r>
            <w:r>
              <w:rPr>
                <w:rFonts w:hint="eastAsia"/>
                <w:color w:val="auto"/>
                <w:sz w:val="21"/>
                <w:szCs w:val="21"/>
                <w:highlight w:val="none"/>
                <w:lang w:eastAsia="zh-CN"/>
              </w:rPr>
              <w:t>）</w:t>
            </w:r>
            <w:r>
              <w:rPr>
                <w:rFonts w:hint="eastAsia"/>
                <w:color w:val="auto"/>
                <w:sz w:val="21"/>
                <w:szCs w:val="21"/>
                <w:highlight w:val="none"/>
                <w:lang w:val="en-US" w:eastAsia="zh-CN"/>
              </w:rPr>
              <w:t>有组织废气</w:t>
            </w:r>
          </w:p>
          <w:p w14:paraId="5E648912">
            <w:pPr>
              <w:adjustRightInd w:val="0"/>
              <w:snapToGrid w:val="0"/>
              <w:spacing w:line="360" w:lineRule="auto"/>
              <w:ind w:firstLine="420" w:firstLineChars="200"/>
              <w:jc w:val="left"/>
              <w:rPr>
                <w:rFonts w:hint="default" w:ascii="Times New Roman" w:hAnsi="Times New Roman" w:eastAsia="宋体"/>
                <w:color w:val="auto"/>
                <w:sz w:val="21"/>
                <w:szCs w:val="21"/>
                <w:highlight w:val="none"/>
                <w:lang w:val="en-US" w:eastAsia="zh-CN"/>
              </w:rPr>
            </w:pPr>
            <w:r>
              <w:rPr>
                <w:rFonts w:hint="eastAsia"/>
                <w:bCs/>
                <w:color w:val="auto"/>
                <w:sz w:val="21"/>
                <w:szCs w:val="21"/>
                <w:highlight w:val="none"/>
                <w:lang w:val="en-US" w:eastAsia="zh-CN"/>
              </w:rPr>
              <w:t>①燃烧废气</w:t>
            </w:r>
          </w:p>
          <w:p w14:paraId="6C286613">
            <w:pPr>
              <w:adjustRightInd w:val="0"/>
              <w:snapToGrid w:val="0"/>
              <w:spacing w:line="360" w:lineRule="auto"/>
              <w:ind w:firstLine="420" w:firstLineChars="200"/>
              <w:rPr>
                <w:rFonts w:hint="eastAsia"/>
                <w:bCs/>
                <w:color w:val="auto"/>
                <w:sz w:val="21"/>
                <w:szCs w:val="21"/>
                <w:highlight w:val="none"/>
                <w:lang w:val="en-US" w:eastAsia="zh-CN"/>
              </w:rPr>
            </w:pPr>
            <w:r>
              <w:rPr>
                <w:rFonts w:hint="eastAsia"/>
                <w:color w:val="auto"/>
                <w:sz w:val="21"/>
                <w:szCs w:val="21"/>
                <w:highlight w:val="none"/>
                <w:lang w:val="en-US" w:eastAsia="zh-CN"/>
              </w:rPr>
              <w:t>本项目燃烧废气包括</w:t>
            </w:r>
            <w:r>
              <w:rPr>
                <w:rFonts w:hint="eastAsia"/>
                <w:bCs/>
                <w:color w:val="auto"/>
                <w:sz w:val="21"/>
                <w:szCs w:val="21"/>
                <w:highlight w:val="none"/>
                <w:lang w:val="en-US" w:eastAsia="zh-CN"/>
              </w:rPr>
              <w:t>常化无氧加热炉燃烧废气、燃气辐射管加热炉燃烧废气、脱碳退火工序退火炉燃烧废气、MgO涂层烘干烧结燃烧废气、热拉伸平整工序卧式连续炉燃烧废气、酸再生装置焙烧炉废气，污染物为二氧化硫、氮氧化物、颗粒物、氯化氢。</w:t>
            </w:r>
          </w:p>
          <w:p w14:paraId="16290D00">
            <w:pPr>
              <w:adjustRightInd w:val="0"/>
              <w:snapToGrid w:val="0"/>
              <w:spacing w:line="360" w:lineRule="auto"/>
              <w:ind w:firstLine="420" w:firstLineChars="200"/>
              <w:rPr>
                <w:rFonts w:hint="default"/>
                <w:bCs/>
                <w:color w:val="auto"/>
                <w:sz w:val="21"/>
                <w:szCs w:val="21"/>
                <w:highlight w:val="none"/>
                <w:lang w:val="en-US" w:eastAsia="zh-CN"/>
              </w:rPr>
            </w:pPr>
            <w:r>
              <w:rPr>
                <w:rFonts w:hint="eastAsia"/>
                <w:bCs/>
                <w:color w:val="auto"/>
                <w:sz w:val="21"/>
                <w:szCs w:val="21"/>
                <w:highlight w:val="none"/>
                <w:lang w:val="en-US" w:eastAsia="zh-CN"/>
              </w:rPr>
              <w:t>根据《污染源源强核算技术指南  钢铁工业》（HJ885-2018），新（改、扩）建工程污染源核算时颗粒物、氮氧化物优先采用类比法进行核算（通过利用相同或类似特征的废气污染源的相关资料(包括可研报告、初设文件和监测报告等)，确定污染物质量浓度、废气量、治理效率等相关参数进而核算污染物单位时间产生量或排放量，或者直接确定污染物单位时间产生量或排放量的方法。相同或类似特征是指原燃料成分、产品、工艺、规模、污染控制措施、管理水平等方面相同或类似），二氧化硫优先采用物料衡算法进行核算。因此，本次燃烧废气源强核算方法具体如下：</w:t>
            </w:r>
          </w:p>
          <w:p w14:paraId="35AE53A3">
            <w:pPr>
              <w:adjustRightInd w:val="0"/>
              <w:snapToGrid w:val="0"/>
              <w:spacing w:line="360" w:lineRule="auto"/>
              <w:ind w:firstLine="422" w:firstLineChars="200"/>
              <w:rPr>
                <w:rFonts w:hint="eastAsia"/>
                <w:b/>
                <w:bCs w:val="0"/>
                <w:color w:val="auto"/>
                <w:sz w:val="21"/>
                <w:szCs w:val="21"/>
                <w:highlight w:val="none"/>
                <w:lang w:val="en-US" w:eastAsia="zh-CN"/>
              </w:rPr>
            </w:pPr>
            <w:r>
              <w:rPr>
                <w:rFonts w:hint="eastAsia"/>
                <w:b/>
                <w:bCs w:val="0"/>
                <w:color w:val="auto"/>
                <w:sz w:val="21"/>
                <w:szCs w:val="21"/>
                <w:highlight w:val="none"/>
                <w:lang w:val="en-US" w:eastAsia="zh-CN"/>
              </w:rPr>
              <w:t>退火炉、加热炉等热处理炉燃烧废气（二氧化硫、氮氧化物、颗粒物）：</w:t>
            </w:r>
          </w:p>
          <w:p w14:paraId="7FE79B1A">
            <w:pPr>
              <w:spacing w:line="360" w:lineRule="auto"/>
              <w:ind w:firstLine="420" w:firstLineChars="200"/>
              <w:rPr>
                <w:rFonts w:hint="eastAsia" w:ascii="Times New Roman" w:hAnsi="Times New Roman"/>
                <w:color w:val="auto"/>
                <w:sz w:val="21"/>
                <w:szCs w:val="21"/>
                <w:highlight w:val="none"/>
              </w:rPr>
            </w:pPr>
            <w:r>
              <w:rPr>
                <w:rFonts w:hint="eastAsia"/>
                <w:color w:val="auto"/>
                <w:sz w:val="21"/>
                <w:szCs w:val="21"/>
                <w:highlight w:val="none"/>
                <w:lang w:val="en-US" w:eastAsia="zh-CN"/>
              </w:rPr>
              <w:t>二氧化硫：参考</w:t>
            </w:r>
            <w:r>
              <w:rPr>
                <w:rFonts w:hint="eastAsia" w:ascii="Times New Roman" w:hAnsi="Times New Roman"/>
                <w:color w:val="auto"/>
                <w:sz w:val="21"/>
                <w:szCs w:val="21"/>
                <w:highlight w:val="none"/>
                <w:lang w:val="en-US" w:eastAsia="zh-CN"/>
              </w:rPr>
              <w:t>《污染源源强核算技术指南钢铁工业》（</w:t>
            </w:r>
            <w:r>
              <w:rPr>
                <w:rFonts w:hint="default" w:ascii="Times New Roman" w:hAnsi="Times New Roman"/>
                <w:color w:val="auto"/>
                <w:sz w:val="21"/>
                <w:szCs w:val="21"/>
                <w:highlight w:val="none"/>
                <w:lang w:val="en-US" w:eastAsia="zh-CN"/>
              </w:rPr>
              <w:t>HJ885-2018</w:t>
            </w:r>
            <w:r>
              <w:rPr>
                <w:rFonts w:hint="eastAsia" w:ascii="Times New Roman" w:hAnsi="Times New Roman"/>
                <w:color w:val="auto"/>
                <w:sz w:val="21"/>
                <w:szCs w:val="21"/>
                <w:highlight w:val="none"/>
                <w:lang w:val="en-US" w:eastAsia="zh-CN"/>
              </w:rPr>
              <w:t>）中“</w:t>
            </w:r>
            <w:r>
              <w:rPr>
                <w:rFonts w:hint="default" w:ascii="Times New Roman" w:hAnsi="Times New Roman"/>
                <w:color w:val="auto"/>
                <w:sz w:val="21"/>
                <w:szCs w:val="21"/>
                <w:highlight w:val="none"/>
                <w:lang w:val="en-US" w:eastAsia="zh-CN"/>
              </w:rPr>
              <w:t>5.1.2.2</w:t>
            </w:r>
            <w:r>
              <w:rPr>
                <w:rFonts w:hint="eastAsia" w:ascii="Times New Roman" w:hAnsi="Times New Roman"/>
                <w:color w:val="auto"/>
                <w:sz w:val="21"/>
                <w:szCs w:val="21"/>
                <w:highlight w:val="none"/>
                <w:lang w:val="en-US" w:eastAsia="zh-CN"/>
              </w:rPr>
              <w:t>高炉热风炉烟气、轧钢热处理炉”，二氧化硫产生量计算公式如下：</w:t>
            </w:r>
          </w:p>
          <w:p w14:paraId="7FD4735D">
            <w:pPr>
              <w:spacing w:line="360" w:lineRule="auto"/>
              <w:ind w:firstLine="420" w:firstLineChars="200"/>
              <w:rPr>
                <w:rFonts w:hint="eastAsia" w:ascii="Times New Roman" w:hAnsi="Times New Roman"/>
                <w:color w:val="auto"/>
                <w:sz w:val="21"/>
                <w:szCs w:val="21"/>
                <w:highlight w:val="none"/>
              </w:rPr>
            </w:pPr>
            <w:r>
              <w:rPr>
                <w:rFonts w:hint="eastAsia" w:ascii="Times New Roman" w:hAnsi="Times New Roman"/>
                <w:color w:val="auto"/>
                <w:sz w:val="21"/>
                <w:szCs w:val="21"/>
                <w:highlight w:val="none"/>
              </w:rPr>
              <w:drawing>
                <wp:inline distT="0" distB="0" distL="114300" distR="114300">
                  <wp:extent cx="2432050" cy="560705"/>
                  <wp:effectExtent l="0" t="0" r="6350" b="10795"/>
                  <wp:docPr id="8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0"/>
                          <pic:cNvPicPr>
                            <a:picLocks noChangeAspect="1"/>
                          </pic:cNvPicPr>
                        </pic:nvPicPr>
                        <pic:blipFill>
                          <a:blip r:embed="rId23"/>
                          <a:stretch>
                            <a:fillRect/>
                          </a:stretch>
                        </pic:blipFill>
                        <pic:spPr>
                          <a:xfrm>
                            <a:off x="0" y="0"/>
                            <a:ext cx="2432050" cy="560705"/>
                          </a:xfrm>
                          <a:prstGeom prst="rect">
                            <a:avLst/>
                          </a:prstGeom>
                          <a:noFill/>
                          <a:ln>
                            <a:noFill/>
                          </a:ln>
                        </pic:spPr>
                      </pic:pic>
                    </a:graphicData>
                  </a:graphic>
                </wp:inline>
              </w:drawing>
            </w:r>
          </w:p>
          <w:p w14:paraId="0167932B">
            <w:pPr>
              <w:spacing w:line="360" w:lineRule="auto"/>
              <w:ind w:firstLine="420" w:firstLineChars="200"/>
              <w:rPr>
                <w:rFonts w:hint="eastAsia" w:ascii="Times New Roman" w:hAnsi="Times New Roman"/>
                <w:color w:val="auto"/>
                <w:sz w:val="21"/>
                <w:szCs w:val="21"/>
                <w:highlight w:val="none"/>
              </w:rPr>
            </w:pPr>
            <w:r>
              <w:rPr>
                <w:rFonts w:hint="eastAsia" w:ascii="Times New Roman" w:hAnsi="Times New Roman"/>
                <w:color w:val="auto"/>
                <w:sz w:val="21"/>
                <w:szCs w:val="21"/>
                <w:highlight w:val="none"/>
                <w:lang w:val="en-US" w:eastAsia="zh-CN"/>
              </w:rPr>
              <w:t>式中：</w:t>
            </w:r>
            <w:r>
              <w:rPr>
                <w:rFonts w:hint="default" w:ascii="Times New Roman" w:hAnsi="Times New Roman"/>
                <w:color w:val="auto"/>
                <w:sz w:val="21"/>
                <w:szCs w:val="21"/>
                <w:highlight w:val="none"/>
                <w:lang w:val="en-US" w:eastAsia="zh-CN"/>
              </w:rPr>
              <w:t>D</w:t>
            </w:r>
            <w:r>
              <w:rPr>
                <w:rFonts w:hint="eastAsia" w:ascii="Times New Roman" w:hAnsi="Times New Roman"/>
                <w:color w:val="auto"/>
                <w:sz w:val="21"/>
                <w:szCs w:val="21"/>
                <w:highlight w:val="none"/>
                <w:lang w:val="en-US" w:eastAsia="zh-CN"/>
              </w:rPr>
              <w:t>—核算时段内二氧化硫的排放量，吨；</w:t>
            </w:r>
          </w:p>
          <w:p w14:paraId="0FA3BF5D">
            <w:pPr>
              <w:spacing w:line="360" w:lineRule="auto"/>
              <w:ind w:firstLine="420" w:firstLineChars="200"/>
              <w:rPr>
                <w:rFonts w:hint="default" w:ascii="Times New Roman" w:hAnsi="Times New Roman"/>
                <w:color w:val="auto"/>
                <w:sz w:val="21"/>
                <w:szCs w:val="21"/>
                <w:highlight w:val="none"/>
                <w:lang w:val="en-US" w:eastAsia="zh-CN"/>
              </w:rPr>
            </w:pPr>
            <w:r>
              <w:rPr>
                <w:rFonts w:hint="default" w:ascii="Times New Roman" w:hAnsi="Times New Roman"/>
                <w:color w:val="auto"/>
                <w:sz w:val="21"/>
                <w:szCs w:val="21"/>
                <w:highlight w:val="none"/>
                <w:lang w:val="en-US" w:eastAsia="zh-CN"/>
              </w:rPr>
              <w:t>f</w:t>
            </w:r>
            <w:r>
              <w:rPr>
                <w:rFonts w:hint="default" w:ascii="Times New Roman" w:hAnsi="Times New Roman"/>
                <w:color w:val="auto"/>
                <w:sz w:val="21"/>
                <w:szCs w:val="21"/>
                <w:highlight w:val="none"/>
                <w:vertAlign w:val="subscript"/>
                <w:lang w:val="en-US" w:eastAsia="zh-CN"/>
              </w:rPr>
              <w:t>gi</w:t>
            </w:r>
            <w:r>
              <w:rPr>
                <w:rFonts w:hint="eastAsia" w:ascii="Times New Roman" w:hAnsi="Times New Roman"/>
                <w:color w:val="auto"/>
                <w:sz w:val="21"/>
                <w:szCs w:val="21"/>
                <w:highlight w:val="none"/>
                <w:lang w:val="en-US" w:eastAsia="zh-CN"/>
              </w:rPr>
              <w:t>—核算时段内第</w:t>
            </w:r>
            <w:r>
              <w:rPr>
                <w:rFonts w:hint="default" w:ascii="Times New Roman" w:hAnsi="Times New Roman"/>
                <w:color w:val="auto"/>
                <w:sz w:val="21"/>
                <w:szCs w:val="21"/>
                <w:highlight w:val="none"/>
                <w:lang w:val="en-US" w:eastAsia="zh-CN"/>
              </w:rPr>
              <w:t>i</w:t>
            </w:r>
            <w:r>
              <w:rPr>
                <w:rFonts w:hint="eastAsia" w:ascii="Times New Roman" w:hAnsi="Times New Roman"/>
                <w:color w:val="auto"/>
                <w:sz w:val="21"/>
                <w:szCs w:val="21"/>
                <w:highlight w:val="none"/>
                <w:lang w:val="en-US" w:eastAsia="zh-CN"/>
              </w:rPr>
              <w:t>种燃气的使用量，</w:t>
            </w:r>
            <w:r>
              <w:rPr>
                <w:rFonts w:hint="default" w:ascii="Times New Roman" w:hAnsi="Times New Roman"/>
                <w:color w:val="auto"/>
                <w:sz w:val="21"/>
                <w:szCs w:val="21"/>
                <w:highlight w:val="none"/>
                <w:lang w:val="en-US" w:eastAsia="zh-CN"/>
              </w:rPr>
              <w:t>10</w:t>
            </w:r>
            <w:r>
              <w:rPr>
                <w:rFonts w:hint="default" w:ascii="Times New Roman" w:hAnsi="Times New Roman"/>
                <w:color w:val="auto"/>
                <w:sz w:val="21"/>
                <w:szCs w:val="21"/>
                <w:highlight w:val="none"/>
                <w:vertAlign w:val="superscript"/>
                <w:lang w:val="en-US" w:eastAsia="zh-CN"/>
              </w:rPr>
              <w:t>4</w:t>
            </w:r>
            <w:r>
              <w:rPr>
                <w:rFonts w:hint="eastAsia" w:ascii="Times New Roman" w:hAnsi="Times New Roman"/>
                <w:color w:val="auto"/>
                <w:sz w:val="21"/>
                <w:szCs w:val="21"/>
                <w:highlight w:val="none"/>
                <w:lang w:val="en-US" w:eastAsia="zh-CN"/>
              </w:rPr>
              <w:t>立方米</w:t>
            </w:r>
            <w:r>
              <w:rPr>
                <w:rFonts w:hint="eastAsia"/>
                <w:color w:val="auto"/>
                <w:sz w:val="21"/>
                <w:szCs w:val="21"/>
                <w:highlight w:val="none"/>
                <w:lang w:val="en-US" w:eastAsia="zh-CN"/>
              </w:rPr>
              <w:t>；</w:t>
            </w:r>
          </w:p>
          <w:p w14:paraId="5936A98B">
            <w:pPr>
              <w:spacing w:line="360" w:lineRule="auto"/>
              <w:ind w:firstLine="420" w:firstLineChars="200"/>
              <w:rPr>
                <w:rFonts w:hint="eastAsia" w:ascii="Times New Roman" w:hAnsi="Times New Roman" w:eastAsia="宋体"/>
                <w:color w:val="auto"/>
                <w:sz w:val="21"/>
                <w:szCs w:val="21"/>
                <w:highlight w:val="none"/>
                <w:vertAlign w:val="baseline"/>
                <w:lang w:val="en-US" w:eastAsia="zh-CN"/>
              </w:rPr>
            </w:pPr>
            <w:r>
              <w:rPr>
                <w:rFonts w:hint="default" w:ascii="Times New Roman" w:hAnsi="Times New Roman"/>
                <w:color w:val="auto"/>
                <w:sz w:val="21"/>
                <w:szCs w:val="21"/>
                <w:highlight w:val="none"/>
                <w:lang w:val="en-US" w:eastAsia="zh-CN"/>
              </w:rPr>
              <w:t>S</w:t>
            </w:r>
            <w:r>
              <w:rPr>
                <w:rFonts w:hint="default" w:ascii="Times New Roman" w:hAnsi="Times New Roman"/>
                <w:color w:val="auto"/>
                <w:sz w:val="21"/>
                <w:szCs w:val="21"/>
                <w:highlight w:val="none"/>
                <w:vertAlign w:val="subscript"/>
                <w:lang w:val="en-US" w:eastAsia="zh-CN"/>
              </w:rPr>
              <w:t>fgi</w:t>
            </w:r>
            <w:r>
              <w:rPr>
                <w:rFonts w:hint="eastAsia" w:ascii="Times New Roman" w:hAnsi="Times New Roman"/>
                <w:color w:val="auto"/>
                <w:sz w:val="21"/>
                <w:szCs w:val="21"/>
                <w:highlight w:val="none"/>
                <w:lang w:val="en-US" w:eastAsia="zh-CN"/>
              </w:rPr>
              <w:t>—核算时段内第</w:t>
            </w:r>
            <w:r>
              <w:rPr>
                <w:rFonts w:hint="default" w:ascii="Times New Roman" w:hAnsi="Times New Roman"/>
                <w:color w:val="auto"/>
                <w:sz w:val="21"/>
                <w:szCs w:val="21"/>
                <w:highlight w:val="none"/>
                <w:lang w:val="en-US" w:eastAsia="zh-CN"/>
              </w:rPr>
              <w:t>i</w:t>
            </w:r>
            <w:r>
              <w:rPr>
                <w:rFonts w:hint="eastAsia" w:ascii="Times New Roman" w:hAnsi="Times New Roman"/>
                <w:color w:val="auto"/>
                <w:sz w:val="21"/>
                <w:szCs w:val="21"/>
                <w:highlight w:val="none"/>
                <w:lang w:val="en-US" w:eastAsia="zh-CN"/>
              </w:rPr>
              <w:t>种燃气中总硫含量，</w:t>
            </w:r>
            <w:r>
              <w:rPr>
                <w:rFonts w:hint="eastAsia"/>
                <w:color w:val="auto"/>
                <w:sz w:val="21"/>
                <w:szCs w:val="21"/>
                <w:highlight w:val="none"/>
                <w:lang w:val="en-US" w:eastAsia="zh-CN"/>
              </w:rPr>
              <w:t>mg</w:t>
            </w:r>
            <w:r>
              <w:rPr>
                <w:rFonts w:hint="default" w:ascii="Times New Roman" w:hAnsi="Times New Roman"/>
                <w:color w:val="auto"/>
                <w:sz w:val="21"/>
                <w:szCs w:val="21"/>
                <w:highlight w:val="none"/>
                <w:lang w:val="en-US" w:eastAsia="zh-CN"/>
              </w:rPr>
              <w:t>/</w:t>
            </w:r>
            <w:r>
              <w:rPr>
                <w:rFonts w:hint="eastAsia"/>
                <w:color w:val="auto"/>
                <w:sz w:val="21"/>
                <w:szCs w:val="21"/>
                <w:highlight w:val="none"/>
                <w:lang w:val="en-US" w:eastAsia="zh-CN"/>
              </w:rPr>
              <w:t>m</w:t>
            </w:r>
            <w:r>
              <w:rPr>
                <w:rFonts w:hint="eastAsia"/>
                <w:color w:val="auto"/>
                <w:sz w:val="21"/>
                <w:szCs w:val="21"/>
                <w:highlight w:val="none"/>
                <w:vertAlign w:val="superscript"/>
                <w:lang w:val="en-US" w:eastAsia="zh-CN"/>
              </w:rPr>
              <w:t>3</w:t>
            </w:r>
            <w:r>
              <w:rPr>
                <w:rFonts w:hint="eastAsia" w:ascii="Times New Roman" w:hAnsi="Times New Roman"/>
                <w:color w:val="auto"/>
                <w:sz w:val="21"/>
                <w:szCs w:val="21"/>
                <w:highlight w:val="none"/>
                <w:lang w:val="en-US" w:eastAsia="zh-CN"/>
              </w:rPr>
              <w:t>；</w:t>
            </w:r>
            <w:r>
              <w:rPr>
                <w:rFonts w:ascii="Times New Roman" w:hAnsi="Times New Roman"/>
                <w:color w:val="auto"/>
                <w:sz w:val="21"/>
                <w:szCs w:val="21"/>
                <w:highlight w:val="none"/>
              </w:rPr>
              <w:t>根据《天然气》（GB17820-2018）中规定，</w:t>
            </w:r>
            <w:r>
              <w:rPr>
                <w:rFonts w:hint="eastAsia"/>
                <w:color w:val="auto"/>
                <w:sz w:val="21"/>
                <w:szCs w:val="21"/>
                <w:highlight w:val="none"/>
                <w:vertAlign w:val="baseline"/>
                <w:lang w:val="en-US" w:eastAsia="zh-CN"/>
              </w:rPr>
              <w:t>天然气中总硫含量为100</w:t>
            </w:r>
            <w:r>
              <w:rPr>
                <w:rFonts w:ascii="Times New Roman" w:hAnsi="Times New Roman"/>
                <w:color w:val="auto"/>
                <w:sz w:val="21"/>
                <w:szCs w:val="21"/>
                <w:highlight w:val="none"/>
              </w:rPr>
              <w:t>mg/m</w:t>
            </w:r>
            <w:r>
              <w:rPr>
                <w:rFonts w:ascii="Times New Roman" w:hAnsi="Times New Roman"/>
                <w:color w:val="auto"/>
                <w:sz w:val="21"/>
                <w:szCs w:val="21"/>
                <w:highlight w:val="none"/>
                <w:vertAlign w:val="superscript"/>
              </w:rPr>
              <w:t>3</w:t>
            </w:r>
            <w:r>
              <w:rPr>
                <w:rFonts w:hint="eastAsia"/>
                <w:color w:val="auto"/>
                <w:sz w:val="21"/>
                <w:szCs w:val="21"/>
                <w:highlight w:val="none"/>
                <w:vertAlign w:val="baseline"/>
                <w:lang w:val="en-US" w:eastAsia="zh-CN"/>
              </w:rPr>
              <w:t>；</w:t>
            </w:r>
          </w:p>
          <w:p w14:paraId="7F8D1EA9">
            <w:pPr>
              <w:spacing w:line="360" w:lineRule="auto"/>
              <w:ind w:firstLine="420" w:firstLineChars="200"/>
              <w:rPr>
                <w:rFonts w:hint="eastAsia" w:ascii="Times New Roman" w:hAnsi="Times New Roman"/>
                <w:color w:val="auto"/>
                <w:sz w:val="21"/>
                <w:szCs w:val="21"/>
                <w:highlight w:val="none"/>
              </w:rPr>
            </w:pPr>
            <w:r>
              <w:rPr>
                <w:rFonts w:hint="default" w:ascii="Times New Roman" w:hAnsi="Times New Roman" w:cs="Times New Roman"/>
                <w:color w:val="auto"/>
                <w:sz w:val="21"/>
                <w:szCs w:val="21"/>
                <w:highlight w:val="none"/>
                <w:lang w:val="en-US" w:eastAsia="zh-CN"/>
              </w:rPr>
              <w:t>η</w:t>
            </w:r>
            <w:r>
              <w:rPr>
                <w:rFonts w:hint="eastAsia" w:ascii="Times New Roman" w:hAnsi="Times New Roman"/>
                <w:color w:val="auto"/>
                <w:sz w:val="21"/>
                <w:szCs w:val="21"/>
                <w:highlight w:val="none"/>
                <w:lang w:val="en-US" w:eastAsia="zh-CN"/>
              </w:rPr>
              <w:t>—脱硫效率，</w:t>
            </w:r>
            <w:r>
              <w:rPr>
                <w:rFonts w:hint="default" w:ascii="Times New Roman" w:hAnsi="Times New Roman"/>
                <w:color w:val="auto"/>
                <w:sz w:val="21"/>
                <w:szCs w:val="21"/>
                <w:highlight w:val="none"/>
                <w:lang w:val="en-US" w:eastAsia="zh-CN"/>
              </w:rPr>
              <w:t>%</w:t>
            </w:r>
            <w:r>
              <w:rPr>
                <w:rFonts w:hint="eastAsia" w:ascii="Times New Roman" w:hAnsi="Times New Roman"/>
                <w:color w:val="auto"/>
                <w:sz w:val="21"/>
                <w:szCs w:val="21"/>
                <w:highlight w:val="none"/>
                <w:lang w:val="en-US" w:eastAsia="zh-CN"/>
              </w:rPr>
              <w:t>；本次取</w:t>
            </w:r>
            <w:r>
              <w:rPr>
                <w:rFonts w:hint="default" w:ascii="Times New Roman" w:hAnsi="Times New Roman"/>
                <w:color w:val="auto"/>
                <w:sz w:val="21"/>
                <w:szCs w:val="21"/>
                <w:highlight w:val="none"/>
                <w:lang w:val="en-US" w:eastAsia="zh-CN"/>
              </w:rPr>
              <w:t>0</w:t>
            </w:r>
            <w:r>
              <w:rPr>
                <w:rFonts w:hint="eastAsia" w:ascii="Times New Roman" w:hAnsi="Times New Roman"/>
                <w:color w:val="auto"/>
                <w:sz w:val="21"/>
                <w:szCs w:val="21"/>
                <w:highlight w:val="none"/>
                <w:lang w:val="en-US" w:eastAsia="zh-CN"/>
              </w:rPr>
              <w:t>。</w:t>
            </w:r>
          </w:p>
          <w:p w14:paraId="464B834A">
            <w:pPr>
              <w:adjustRightInd w:val="0"/>
              <w:snapToGrid w:val="0"/>
              <w:spacing w:line="360" w:lineRule="auto"/>
              <w:ind w:firstLine="420" w:firstLineChars="200"/>
              <w:rPr>
                <w:rFonts w:hint="default"/>
                <w:bCs/>
                <w:color w:val="auto"/>
                <w:sz w:val="21"/>
                <w:szCs w:val="21"/>
                <w:highlight w:val="none"/>
                <w:lang w:val="en-US" w:eastAsia="zh-CN"/>
              </w:rPr>
            </w:pPr>
            <w:r>
              <w:rPr>
                <w:rFonts w:hint="eastAsia"/>
                <w:bCs/>
                <w:color w:val="auto"/>
                <w:sz w:val="21"/>
                <w:szCs w:val="21"/>
                <w:highlight w:val="none"/>
                <w:lang w:val="en-US" w:eastAsia="zh-CN"/>
              </w:rPr>
              <w:t>颗粒物、氮氧化物排放量采用类比法并参照《污染源源强核算技术指南  钢铁工业》（HJ885-2018）附录D计算：类比《湖南宏旺新材料科技有限公司年产15万吨高磁感取向硅钢及配套铁芯扩建项目竣工环境保护验收监测报告》（2025年3月）中退火炉、加热炉等热处理炉监测数据中的排放速率并根据产能进行折算，该项目产品为高磁感取向硅钢，与本项目一致；产能15万吨/年；生产工艺与本项目基本一致；热处理炉燃料均为天然气，均采用低氮燃烧技术，因此，具备可类比性。</w:t>
            </w:r>
            <w:r>
              <w:rPr>
                <w:rFonts w:hint="eastAsia"/>
                <w:color w:val="auto"/>
                <w:sz w:val="21"/>
                <w:szCs w:val="21"/>
                <w:highlight w:val="none"/>
                <w:lang w:val="en-US" w:eastAsia="zh-CN"/>
              </w:rPr>
              <w:t>参考</w:t>
            </w:r>
            <w:r>
              <w:rPr>
                <w:rFonts w:hint="eastAsia" w:ascii="Times New Roman" w:hAnsi="Times New Roman"/>
                <w:color w:val="auto"/>
                <w:sz w:val="21"/>
                <w:szCs w:val="21"/>
                <w:highlight w:val="none"/>
                <w:lang w:val="en-US" w:eastAsia="zh-CN"/>
              </w:rPr>
              <w:t>《污染源源强核算技术指南钢铁工业》（</w:t>
            </w:r>
            <w:r>
              <w:rPr>
                <w:rFonts w:hint="default" w:ascii="Times New Roman" w:hAnsi="Times New Roman"/>
                <w:color w:val="auto"/>
                <w:sz w:val="21"/>
                <w:szCs w:val="21"/>
                <w:highlight w:val="none"/>
                <w:lang w:val="en-US" w:eastAsia="zh-CN"/>
              </w:rPr>
              <w:t>HJ885-2018</w:t>
            </w:r>
            <w:r>
              <w:rPr>
                <w:rFonts w:hint="eastAsia" w:ascii="Times New Roman" w:hAnsi="Times New Roman"/>
                <w:color w:val="auto"/>
                <w:sz w:val="21"/>
                <w:szCs w:val="21"/>
                <w:highlight w:val="none"/>
                <w:lang w:val="en-US" w:eastAsia="zh-CN"/>
              </w:rPr>
              <w:t>）中“</w:t>
            </w:r>
            <w:r>
              <w:rPr>
                <w:rFonts w:hint="default" w:ascii="Times New Roman" w:hAnsi="Times New Roman"/>
                <w:color w:val="auto"/>
                <w:sz w:val="21"/>
                <w:szCs w:val="21"/>
                <w:highlight w:val="none"/>
                <w:lang w:val="en-US" w:eastAsia="zh-CN"/>
              </w:rPr>
              <w:t>5.1.2.2</w:t>
            </w:r>
            <w:r>
              <w:rPr>
                <w:rFonts w:hint="eastAsia" w:ascii="Times New Roman" w:hAnsi="Times New Roman"/>
                <w:color w:val="auto"/>
                <w:sz w:val="21"/>
                <w:szCs w:val="21"/>
                <w:highlight w:val="none"/>
                <w:lang w:val="en-US" w:eastAsia="zh-CN"/>
              </w:rPr>
              <w:t>高炉热风炉烟气、轧钢热处理炉”</w:t>
            </w:r>
            <w:r>
              <w:rPr>
                <w:rFonts w:hint="eastAsia"/>
                <w:bCs/>
                <w:color w:val="auto"/>
                <w:sz w:val="21"/>
                <w:szCs w:val="21"/>
                <w:highlight w:val="none"/>
                <w:lang w:val="en-US" w:eastAsia="zh-CN"/>
              </w:rPr>
              <w:t>天然气燃烧废气量为13.3mg/m</w:t>
            </w:r>
            <w:r>
              <w:rPr>
                <w:rFonts w:hint="eastAsia"/>
                <w:bCs/>
                <w:color w:val="auto"/>
                <w:sz w:val="21"/>
                <w:szCs w:val="21"/>
                <w:highlight w:val="none"/>
                <w:vertAlign w:val="superscript"/>
                <w:lang w:val="en-US" w:eastAsia="zh-CN"/>
              </w:rPr>
              <w:t>3</w:t>
            </w:r>
            <w:r>
              <w:rPr>
                <w:rFonts w:hint="eastAsia"/>
                <w:bCs/>
                <w:color w:val="auto"/>
                <w:sz w:val="21"/>
                <w:szCs w:val="21"/>
                <w:highlight w:val="none"/>
                <w:vertAlign w:val="baseline"/>
                <w:lang w:val="en-US" w:eastAsia="zh-CN"/>
              </w:rPr>
              <w:t>天然气，根据浓度和废气量可算出颗粒物和氮氧化物的排放量。由于燃烧废气温度过高会损坏设备，因此本项目在</w:t>
            </w:r>
            <w:r>
              <w:rPr>
                <w:rFonts w:hint="eastAsia"/>
                <w:bCs/>
                <w:color w:val="auto"/>
                <w:sz w:val="21"/>
                <w:szCs w:val="21"/>
                <w:highlight w:val="none"/>
                <w:lang w:val="en-US" w:eastAsia="zh-CN"/>
              </w:rPr>
              <w:t>常化无氧加热炉燃烧废气、燃气辐射管加热炉燃烧废气、脱碳退火工序退火炉燃烧废气、MgO涂层烘干烧结燃烧废气、热拉伸平整工序卧式连续炉燃烧废气中会补充一部分冷风，因此，本项目常化无氧加热炉燃烧废气、燃气辐射管加热炉燃烧废气、脱碳退火工序退火炉燃烧废气、MgO涂层烘干烧结燃烧废气中二氧化硫、氮氧化物、颗粒物实际排放浓度按照前述方法算出的排放量和排放速率及设计风量重新计算。</w:t>
            </w:r>
          </w:p>
          <w:p w14:paraId="7A0C57F8">
            <w:pPr>
              <w:keepNext w:val="0"/>
              <w:keepLines w:val="0"/>
              <w:pageBreakBefore w:val="0"/>
              <w:widowControl/>
              <w:kinsoku/>
              <w:wordWrap/>
              <w:overflowPunct/>
              <w:topLinePunct w:val="0"/>
              <w:autoSpaceDE/>
              <w:autoSpaceDN/>
              <w:bidi w:val="0"/>
              <w:adjustRightInd w:val="0"/>
              <w:snapToGrid w:val="0"/>
              <w:spacing w:line="360" w:lineRule="auto"/>
              <w:ind w:firstLine="422" w:firstLineChars="200"/>
              <w:jc w:val="both"/>
              <w:textAlignment w:val="auto"/>
              <w:rPr>
                <w:rFonts w:hint="eastAsia"/>
                <w:b/>
                <w:bCs/>
                <w:color w:val="auto"/>
                <w:sz w:val="21"/>
                <w:szCs w:val="21"/>
                <w:highlight w:val="none"/>
                <w:lang w:val="en-US" w:eastAsia="zh-CN"/>
              </w:rPr>
            </w:pPr>
            <w:r>
              <w:rPr>
                <w:rFonts w:hint="eastAsia"/>
                <w:b/>
                <w:bCs/>
                <w:color w:val="auto"/>
                <w:highlight w:val="none"/>
                <w:lang w:val="en-US" w:eastAsia="zh-CN"/>
              </w:rPr>
              <w:t>酸再生装置焙烧炉废气</w:t>
            </w:r>
            <w:r>
              <w:rPr>
                <w:rFonts w:hint="eastAsia"/>
                <w:b/>
                <w:bCs/>
                <w:color w:val="auto"/>
                <w:sz w:val="21"/>
                <w:szCs w:val="21"/>
                <w:highlight w:val="none"/>
                <w:lang w:val="en-US" w:eastAsia="zh-CN"/>
              </w:rPr>
              <w:t>：</w:t>
            </w:r>
          </w:p>
          <w:p w14:paraId="4D52E2C7">
            <w:pPr>
              <w:spacing w:line="360" w:lineRule="auto"/>
              <w:ind w:firstLine="420" w:firstLineChars="200"/>
              <w:rPr>
                <w:rFonts w:hint="eastAsia" w:ascii="Times New Roman" w:hAnsi="Times New Roman"/>
                <w:color w:val="auto"/>
                <w:sz w:val="21"/>
                <w:szCs w:val="21"/>
                <w:highlight w:val="none"/>
              </w:rPr>
            </w:pPr>
            <w:r>
              <w:rPr>
                <w:rFonts w:hint="eastAsia"/>
                <w:color w:val="auto"/>
                <w:sz w:val="21"/>
                <w:szCs w:val="21"/>
                <w:highlight w:val="none"/>
                <w:lang w:val="en-US" w:eastAsia="zh-CN"/>
              </w:rPr>
              <w:t>二氧化硫：参考</w:t>
            </w:r>
            <w:r>
              <w:rPr>
                <w:rFonts w:hint="eastAsia" w:ascii="Times New Roman" w:hAnsi="Times New Roman"/>
                <w:color w:val="auto"/>
                <w:sz w:val="21"/>
                <w:szCs w:val="21"/>
                <w:highlight w:val="none"/>
                <w:lang w:val="en-US" w:eastAsia="zh-CN"/>
              </w:rPr>
              <w:t>《污染源源强核算技术指南钢铁工业》（</w:t>
            </w:r>
            <w:r>
              <w:rPr>
                <w:rFonts w:hint="default" w:ascii="Times New Roman" w:hAnsi="Times New Roman"/>
                <w:color w:val="auto"/>
                <w:sz w:val="21"/>
                <w:szCs w:val="21"/>
                <w:highlight w:val="none"/>
                <w:lang w:val="en-US" w:eastAsia="zh-CN"/>
              </w:rPr>
              <w:t>HJ885-2018</w:t>
            </w:r>
            <w:r>
              <w:rPr>
                <w:rFonts w:hint="eastAsia" w:ascii="Times New Roman" w:hAnsi="Times New Roman"/>
                <w:color w:val="auto"/>
                <w:sz w:val="21"/>
                <w:szCs w:val="21"/>
                <w:highlight w:val="none"/>
                <w:lang w:val="en-US" w:eastAsia="zh-CN"/>
              </w:rPr>
              <w:t>）中“</w:t>
            </w:r>
            <w:r>
              <w:rPr>
                <w:rFonts w:hint="default" w:ascii="Times New Roman" w:hAnsi="Times New Roman"/>
                <w:color w:val="auto"/>
                <w:sz w:val="21"/>
                <w:szCs w:val="21"/>
                <w:highlight w:val="none"/>
                <w:lang w:val="en-US" w:eastAsia="zh-CN"/>
              </w:rPr>
              <w:t>5.1.2.2</w:t>
            </w:r>
            <w:r>
              <w:rPr>
                <w:rFonts w:hint="eastAsia" w:ascii="Times New Roman" w:hAnsi="Times New Roman"/>
                <w:color w:val="auto"/>
                <w:sz w:val="21"/>
                <w:szCs w:val="21"/>
                <w:highlight w:val="none"/>
                <w:lang w:val="en-US" w:eastAsia="zh-CN"/>
              </w:rPr>
              <w:t>高炉热风炉烟气、轧钢热处理炉”，二氧化硫产生量计算公式如下：</w:t>
            </w:r>
          </w:p>
          <w:p w14:paraId="59ACE633">
            <w:pPr>
              <w:spacing w:line="360" w:lineRule="auto"/>
              <w:ind w:firstLine="420" w:firstLineChars="200"/>
              <w:rPr>
                <w:rFonts w:hint="eastAsia" w:ascii="Times New Roman" w:hAnsi="Times New Roman"/>
                <w:color w:val="auto"/>
                <w:sz w:val="21"/>
                <w:szCs w:val="21"/>
                <w:highlight w:val="none"/>
              </w:rPr>
            </w:pPr>
            <w:r>
              <w:rPr>
                <w:rFonts w:hint="eastAsia" w:ascii="Times New Roman" w:hAnsi="Times New Roman"/>
                <w:color w:val="auto"/>
                <w:sz w:val="21"/>
                <w:szCs w:val="21"/>
                <w:highlight w:val="none"/>
              </w:rPr>
              <w:drawing>
                <wp:inline distT="0" distB="0" distL="114300" distR="114300">
                  <wp:extent cx="2432050" cy="560705"/>
                  <wp:effectExtent l="0" t="0" r="6350" b="10795"/>
                  <wp:docPr id="5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0"/>
                          <pic:cNvPicPr>
                            <a:picLocks noChangeAspect="1"/>
                          </pic:cNvPicPr>
                        </pic:nvPicPr>
                        <pic:blipFill>
                          <a:blip r:embed="rId23"/>
                          <a:stretch>
                            <a:fillRect/>
                          </a:stretch>
                        </pic:blipFill>
                        <pic:spPr>
                          <a:xfrm>
                            <a:off x="0" y="0"/>
                            <a:ext cx="2432050" cy="560705"/>
                          </a:xfrm>
                          <a:prstGeom prst="rect">
                            <a:avLst/>
                          </a:prstGeom>
                          <a:noFill/>
                          <a:ln>
                            <a:noFill/>
                          </a:ln>
                        </pic:spPr>
                      </pic:pic>
                    </a:graphicData>
                  </a:graphic>
                </wp:inline>
              </w:drawing>
            </w:r>
          </w:p>
          <w:p w14:paraId="1F93EF19">
            <w:pPr>
              <w:spacing w:line="360" w:lineRule="auto"/>
              <w:ind w:firstLine="420" w:firstLineChars="200"/>
              <w:rPr>
                <w:rFonts w:hint="eastAsia" w:ascii="Times New Roman" w:hAnsi="Times New Roman"/>
                <w:color w:val="auto"/>
                <w:sz w:val="21"/>
                <w:szCs w:val="21"/>
                <w:highlight w:val="none"/>
              </w:rPr>
            </w:pPr>
            <w:r>
              <w:rPr>
                <w:rFonts w:hint="eastAsia" w:ascii="Times New Roman" w:hAnsi="Times New Roman"/>
                <w:color w:val="auto"/>
                <w:sz w:val="21"/>
                <w:szCs w:val="21"/>
                <w:highlight w:val="none"/>
                <w:lang w:val="en-US" w:eastAsia="zh-CN"/>
              </w:rPr>
              <w:t>式中：</w:t>
            </w:r>
            <w:r>
              <w:rPr>
                <w:rFonts w:hint="default" w:ascii="Times New Roman" w:hAnsi="Times New Roman"/>
                <w:color w:val="auto"/>
                <w:sz w:val="21"/>
                <w:szCs w:val="21"/>
                <w:highlight w:val="none"/>
                <w:lang w:val="en-US" w:eastAsia="zh-CN"/>
              </w:rPr>
              <w:t>D</w:t>
            </w:r>
            <w:r>
              <w:rPr>
                <w:rFonts w:hint="eastAsia" w:ascii="Times New Roman" w:hAnsi="Times New Roman"/>
                <w:color w:val="auto"/>
                <w:sz w:val="21"/>
                <w:szCs w:val="21"/>
                <w:highlight w:val="none"/>
                <w:lang w:val="en-US" w:eastAsia="zh-CN"/>
              </w:rPr>
              <w:t>—核算时段内二氧化硫的排放量，吨；</w:t>
            </w:r>
          </w:p>
          <w:p w14:paraId="0667F9F5">
            <w:pPr>
              <w:spacing w:line="360" w:lineRule="auto"/>
              <w:ind w:firstLine="420" w:firstLineChars="200"/>
              <w:rPr>
                <w:rFonts w:hint="default" w:ascii="Times New Roman" w:hAnsi="Times New Roman"/>
                <w:color w:val="auto"/>
                <w:sz w:val="21"/>
                <w:szCs w:val="21"/>
                <w:highlight w:val="none"/>
                <w:lang w:val="en-US" w:eastAsia="zh-CN"/>
              </w:rPr>
            </w:pPr>
            <w:r>
              <w:rPr>
                <w:rFonts w:hint="default" w:ascii="Times New Roman" w:hAnsi="Times New Roman"/>
                <w:color w:val="auto"/>
                <w:sz w:val="21"/>
                <w:szCs w:val="21"/>
                <w:highlight w:val="none"/>
                <w:lang w:val="en-US" w:eastAsia="zh-CN"/>
              </w:rPr>
              <w:t>f</w:t>
            </w:r>
            <w:r>
              <w:rPr>
                <w:rFonts w:hint="default" w:ascii="Times New Roman" w:hAnsi="Times New Roman"/>
                <w:color w:val="auto"/>
                <w:sz w:val="21"/>
                <w:szCs w:val="21"/>
                <w:highlight w:val="none"/>
                <w:vertAlign w:val="subscript"/>
                <w:lang w:val="en-US" w:eastAsia="zh-CN"/>
              </w:rPr>
              <w:t>gi</w:t>
            </w:r>
            <w:r>
              <w:rPr>
                <w:rFonts w:hint="eastAsia" w:ascii="Times New Roman" w:hAnsi="Times New Roman"/>
                <w:color w:val="auto"/>
                <w:sz w:val="21"/>
                <w:szCs w:val="21"/>
                <w:highlight w:val="none"/>
                <w:lang w:val="en-US" w:eastAsia="zh-CN"/>
              </w:rPr>
              <w:t>—核算时段内第</w:t>
            </w:r>
            <w:r>
              <w:rPr>
                <w:rFonts w:hint="default" w:ascii="Times New Roman" w:hAnsi="Times New Roman"/>
                <w:color w:val="auto"/>
                <w:sz w:val="21"/>
                <w:szCs w:val="21"/>
                <w:highlight w:val="none"/>
                <w:lang w:val="en-US" w:eastAsia="zh-CN"/>
              </w:rPr>
              <w:t>i</w:t>
            </w:r>
            <w:r>
              <w:rPr>
                <w:rFonts w:hint="eastAsia" w:ascii="Times New Roman" w:hAnsi="Times New Roman"/>
                <w:color w:val="auto"/>
                <w:sz w:val="21"/>
                <w:szCs w:val="21"/>
                <w:highlight w:val="none"/>
                <w:lang w:val="en-US" w:eastAsia="zh-CN"/>
              </w:rPr>
              <w:t>种燃气的使用量，</w:t>
            </w:r>
            <w:r>
              <w:rPr>
                <w:rFonts w:hint="default" w:ascii="Times New Roman" w:hAnsi="Times New Roman"/>
                <w:color w:val="auto"/>
                <w:sz w:val="21"/>
                <w:szCs w:val="21"/>
                <w:highlight w:val="none"/>
                <w:lang w:val="en-US" w:eastAsia="zh-CN"/>
              </w:rPr>
              <w:t>10</w:t>
            </w:r>
            <w:r>
              <w:rPr>
                <w:rFonts w:hint="default" w:ascii="Times New Roman" w:hAnsi="Times New Roman"/>
                <w:color w:val="auto"/>
                <w:sz w:val="21"/>
                <w:szCs w:val="21"/>
                <w:highlight w:val="none"/>
                <w:vertAlign w:val="superscript"/>
                <w:lang w:val="en-US" w:eastAsia="zh-CN"/>
              </w:rPr>
              <w:t>4</w:t>
            </w:r>
            <w:r>
              <w:rPr>
                <w:rFonts w:hint="eastAsia" w:ascii="Times New Roman" w:hAnsi="Times New Roman"/>
                <w:color w:val="auto"/>
                <w:sz w:val="21"/>
                <w:szCs w:val="21"/>
                <w:highlight w:val="none"/>
                <w:lang w:val="en-US" w:eastAsia="zh-CN"/>
              </w:rPr>
              <w:t>立方米</w:t>
            </w:r>
            <w:r>
              <w:rPr>
                <w:rFonts w:hint="eastAsia"/>
                <w:color w:val="auto"/>
                <w:sz w:val="21"/>
                <w:szCs w:val="21"/>
                <w:highlight w:val="none"/>
                <w:lang w:val="en-US" w:eastAsia="zh-CN"/>
              </w:rPr>
              <w:t>；</w:t>
            </w:r>
          </w:p>
          <w:p w14:paraId="6DBB5F43">
            <w:pPr>
              <w:spacing w:line="360" w:lineRule="auto"/>
              <w:ind w:firstLine="420" w:firstLineChars="200"/>
              <w:rPr>
                <w:rFonts w:hint="eastAsia" w:ascii="Times New Roman" w:hAnsi="Times New Roman" w:eastAsia="宋体"/>
                <w:color w:val="auto"/>
                <w:sz w:val="21"/>
                <w:szCs w:val="21"/>
                <w:highlight w:val="none"/>
                <w:vertAlign w:val="baseline"/>
                <w:lang w:val="en-US" w:eastAsia="zh-CN"/>
              </w:rPr>
            </w:pPr>
            <w:r>
              <w:rPr>
                <w:rFonts w:hint="default" w:ascii="Times New Roman" w:hAnsi="Times New Roman"/>
                <w:color w:val="auto"/>
                <w:sz w:val="21"/>
                <w:szCs w:val="21"/>
                <w:highlight w:val="none"/>
                <w:lang w:val="en-US" w:eastAsia="zh-CN"/>
              </w:rPr>
              <w:t>S</w:t>
            </w:r>
            <w:r>
              <w:rPr>
                <w:rFonts w:hint="default" w:ascii="Times New Roman" w:hAnsi="Times New Roman"/>
                <w:color w:val="auto"/>
                <w:sz w:val="21"/>
                <w:szCs w:val="21"/>
                <w:highlight w:val="none"/>
                <w:vertAlign w:val="subscript"/>
                <w:lang w:val="en-US" w:eastAsia="zh-CN"/>
              </w:rPr>
              <w:t>fgi</w:t>
            </w:r>
            <w:r>
              <w:rPr>
                <w:rFonts w:hint="eastAsia" w:ascii="Times New Roman" w:hAnsi="Times New Roman"/>
                <w:color w:val="auto"/>
                <w:sz w:val="21"/>
                <w:szCs w:val="21"/>
                <w:highlight w:val="none"/>
                <w:lang w:val="en-US" w:eastAsia="zh-CN"/>
              </w:rPr>
              <w:t>—核算时段内第</w:t>
            </w:r>
            <w:r>
              <w:rPr>
                <w:rFonts w:hint="default" w:ascii="Times New Roman" w:hAnsi="Times New Roman"/>
                <w:color w:val="auto"/>
                <w:sz w:val="21"/>
                <w:szCs w:val="21"/>
                <w:highlight w:val="none"/>
                <w:lang w:val="en-US" w:eastAsia="zh-CN"/>
              </w:rPr>
              <w:t>i</w:t>
            </w:r>
            <w:r>
              <w:rPr>
                <w:rFonts w:hint="eastAsia" w:ascii="Times New Roman" w:hAnsi="Times New Roman"/>
                <w:color w:val="auto"/>
                <w:sz w:val="21"/>
                <w:szCs w:val="21"/>
                <w:highlight w:val="none"/>
                <w:lang w:val="en-US" w:eastAsia="zh-CN"/>
              </w:rPr>
              <w:t>种燃气中总硫含量，</w:t>
            </w:r>
            <w:r>
              <w:rPr>
                <w:rFonts w:hint="eastAsia"/>
                <w:color w:val="auto"/>
                <w:sz w:val="21"/>
                <w:szCs w:val="21"/>
                <w:highlight w:val="none"/>
                <w:lang w:val="en-US" w:eastAsia="zh-CN"/>
              </w:rPr>
              <w:t>mg</w:t>
            </w:r>
            <w:r>
              <w:rPr>
                <w:rFonts w:hint="default" w:ascii="Times New Roman" w:hAnsi="Times New Roman"/>
                <w:color w:val="auto"/>
                <w:sz w:val="21"/>
                <w:szCs w:val="21"/>
                <w:highlight w:val="none"/>
                <w:lang w:val="en-US" w:eastAsia="zh-CN"/>
              </w:rPr>
              <w:t>/</w:t>
            </w:r>
            <w:r>
              <w:rPr>
                <w:rFonts w:hint="eastAsia"/>
                <w:color w:val="auto"/>
                <w:sz w:val="21"/>
                <w:szCs w:val="21"/>
                <w:highlight w:val="none"/>
                <w:lang w:val="en-US" w:eastAsia="zh-CN"/>
              </w:rPr>
              <w:t>m</w:t>
            </w:r>
            <w:r>
              <w:rPr>
                <w:rFonts w:hint="eastAsia"/>
                <w:color w:val="auto"/>
                <w:sz w:val="21"/>
                <w:szCs w:val="21"/>
                <w:highlight w:val="none"/>
                <w:vertAlign w:val="superscript"/>
                <w:lang w:val="en-US" w:eastAsia="zh-CN"/>
              </w:rPr>
              <w:t>3</w:t>
            </w:r>
            <w:r>
              <w:rPr>
                <w:rFonts w:hint="eastAsia" w:ascii="Times New Roman" w:hAnsi="Times New Roman"/>
                <w:color w:val="auto"/>
                <w:sz w:val="21"/>
                <w:szCs w:val="21"/>
                <w:highlight w:val="none"/>
                <w:lang w:val="en-US" w:eastAsia="zh-CN"/>
              </w:rPr>
              <w:t>；</w:t>
            </w:r>
            <w:r>
              <w:rPr>
                <w:rFonts w:ascii="Times New Roman" w:hAnsi="Times New Roman"/>
                <w:color w:val="auto"/>
                <w:sz w:val="21"/>
                <w:szCs w:val="21"/>
                <w:highlight w:val="none"/>
              </w:rPr>
              <w:t>根据《天然气》（GB17820-2018）中规定，</w:t>
            </w:r>
            <w:r>
              <w:rPr>
                <w:rFonts w:hint="eastAsia"/>
                <w:color w:val="auto"/>
                <w:sz w:val="21"/>
                <w:szCs w:val="21"/>
                <w:highlight w:val="none"/>
                <w:vertAlign w:val="baseline"/>
                <w:lang w:val="en-US" w:eastAsia="zh-CN"/>
              </w:rPr>
              <w:t>天然气中总硫含量为100</w:t>
            </w:r>
            <w:r>
              <w:rPr>
                <w:rFonts w:ascii="Times New Roman" w:hAnsi="Times New Roman"/>
                <w:color w:val="auto"/>
                <w:sz w:val="21"/>
                <w:szCs w:val="21"/>
                <w:highlight w:val="none"/>
              </w:rPr>
              <w:t>mg/m</w:t>
            </w:r>
            <w:r>
              <w:rPr>
                <w:rFonts w:ascii="Times New Roman" w:hAnsi="Times New Roman"/>
                <w:color w:val="auto"/>
                <w:sz w:val="21"/>
                <w:szCs w:val="21"/>
                <w:highlight w:val="none"/>
                <w:vertAlign w:val="superscript"/>
              </w:rPr>
              <w:t>3</w:t>
            </w:r>
            <w:r>
              <w:rPr>
                <w:rFonts w:hint="eastAsia"/>
                <w:color w:val="auto"/>
                <w:sz w:val="21"/>
                <w:szCs w:val="21"/>
                <w:highlight w:val="none"/>
                <w:vertAlign w:val="baseline"/>
                <w:lang w:val="en-US" w:eastAsia="zh-CN"/>
              </w:rPr>
              <w:t>；</w:t>
            </w:r>
          </w:p>
          <w:p w14:paraId="3FB14DF6">
            <w:pPr>
              <w:spacing w:line="360" w:lineRule="auto"/>
              <w:ind w:firstLine="420" w:firstLineChars="200"/>
              <w:rPr>
                <w:rFonts w:hint="eastAsia" w:ascii="Times New Roman" w:hAnsi="Times New Roman"/>
                <w:color w:val="auto"/>
                <w:sz w:val="21"/>
                <w:szCs w:val="21"/>
                <w:highlight w:val="none"/>
              </w:rPr>
            </w:pPr>
            <w:r>
              <w:rPr>
                <w:rFonts w:hint="default" w:ascii="Times New Roman" w:hAnsi="Times New Roman" w:cs="Times New Roman"/>
                <w:color w:val="auto"/>
                <w:sz w:val="21"/>
                <w:szCs w:val="21"/>
                <w:highlight w:val="none"/>
                <w:lang w:val="en-US" w:eastAsia="zh-CN"/>
              </w:rPr>
              <w:t>η</w:t>
            </w:r>
            <w:r>
              <w:rPr>
                <w:rFonts w:hint="eastAsia" w:ascii="Times New Roman" w:hAnsi="Times New Roman"/>
                <w:color w:val="auto"/>
                <w:sz w:val="21"/>
                <w:szCs w:val="21"/>
                <w:highlight w:val="none"/>
                <w:lang w:val="en-US" w:eastAsia="zh-CN"/>
              </w:rPr>
              <w:t>—脱硫效率，</w:t>
            </w:r>
            <w:r>
              <w:rPr>
                <w:rFonts w:hint="default" w:ascii="Times New Roman" w:hAnsi="Times New Roman"/>
                <w:color w:val="auto"/>
                <w:sz w:val="21"/>
                <w:szCs w:val="21"/>
                <w:highlight w:val="none"/>
                <w:lang w:val="en-US" w:eastAsia="zh-CN"/>
              </w:rPr>
              <w:t>%</w:t>
            </w:r>
            <w:r>
              <w:rPr>
                <w:rFonts w:hint="eastAsia" w:ascii="Times New Roman" w:hAnsi="Times New Roman"/>
                <w:color w:val="auto"/>
                <w:sz w:val="21"/>
                <w:szCs w:val="21"/>
                <w:highlight w:val="none"/>
                <w:lang w:val="en-US" w:eastAsia="zh-CN"/>
              </w:rPr>
              <w:t>；本次取</w:t>
            </w:r>
            <w:r>
              <w:rPr>
                <w:rFonts w:hint="default" w:ascii="Times New Roman" w:hAnsi="Times New Roman"/>
                <w:color w:val="auto"/>
                <w:sz w:val="21"/>
                <w:szCs w:val="21"/>
                <w:highlight w:val="none"/>
                <w:lang w:val="en-US" w:eastAsia="zh-CN"/>
              </w:rPr>
              <w:t>0</w:t>
            </w:r>
            <w:r>
              <w:rPr>
                <w:rFonts w:hint="eastAsia" w:ascii="Times New Roman" w:hAnsi="Times New Roman"/>
                <w:color w:val="auto"/>
                <w:sz w:val="21"/>
                <w:szCs w:val="21"/>
                <w:highlight w:val="none"/>
                <w:lang w:val="en-US" w:eastAsia="zh-CN"/>
              </w:rPr>
              <w:t>。</w:t>
            </w:r>
          </w:p>
          <w:p w14:paraId="204ACEA0">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default"/>
                <w:color w:val="auto"/>
                <w:highlight w:val="none"/>
                <w:lang w:val="en-US" w:eastAsia="zh-CN"/>
              </w:rPr>
            </w:pPr>
            <w:r>
              <w:rPr>
                <w:rFonts w:hint="eastAsia"/>
                <w:bCs/>
                <w:color w:val="auto"/>
                <w:sz w:val="21"/>
                <w:szCs w:val="21"/>
                <w:highlight w:val="none"/>
                <w:lang w:val="en-US" w:eastAsia="zh-CN"/>
              </w:rPr>
              <w:t>颗粒物、氮氧化物采用类比法并参照《污染源源强核算技术指南  钢铁工业》（HJ885-2018）附录D：类比湖南宏旺新材料科技有限公司酸再生装置排放口排放浓度，其酸再生装置工艺与本项目一致，环保设施一致，生产规模与本项目差距不大；燃料均为天然气，均采用低氮燃烧技术，因此，具备可类比性。根据其检测数据，湖南宏旺新材料科技有限公司酸再生装置废气处理装置风量为6000m</w:t>
            </w:r>
            <w:r>
              <w:rPr>
                <w:rFonts w:hint="eastAsia"/>
                <w:bCs/>
                <w:color w:val="auto"/>
                <w:sz w:val="21"/>
                <w:szCs w:val="21"/>
                <w:highlight w:val="none"/>
                <w:vertAlign w:val="superscript"/>
                <w:lang w:val="en-US" w:eastAsia="zh-CN"/>
              </w:rPr>
              <w:t>3</w:t>
            </w:r>
            <w:r>
              <w:rPr>
                <w:rFonts w:hint="eastAsia"/>
                <w:bCs/>
                <w:color w:val="auto"/>
                <w:sz w:val="21"/>
                <w:szCs w:val="21"/>
                <w:highlight w:val="none"/>
                <w:lang w:val="en-US" w:eastAsia="zh-CN"/>
              </w:rPr>
              <w:t>/h左右，氯化氢酸雾排放速率在0.058kg/h左右，本项目设计风量12000m</w:t>
            </w:r>
            <w:r>
              <w:rPr>
                <w:rFonts w:hint="eastAsia"/>
                <w:bCs/>
                <w:color w:val="auto"/>
                <w:sz w:val="21"/>
                <w:szCs w:val="21"/>
                <w:highlight w:val="none"/>
                <w:vertAlign w:val="superscript"/>
                <w:lang w:val="en-US" w:eastAsia="zh-CN"/>
              </w:rPr>
              <w:t>3</w:t>
            </w:r>
            <w:r>
              <w:rPr>
                <w:rFonts w:hint="eastAsia"/>
                <w:bCs/>
                <w:color w:val="auto"/>
                <w:sz w:val="21"/>
                <w:szCs w:val="21"/>
                <w:highlight w:val="none"/>
                <w:lang w:val="en-US" w:eastAsia="zh-CN"/>
              </w:rPr>
              <w:t>/h，氯化氢排放速率保守折算为按照0.116kg/h</w:t>
            </w:r>
            <w:r>
              <w:rPr>
                <w:rFonts w:hint="eastAsia"/>
                <w:bCs/>
                <w:color w:val="auto"/>
                <w:sz w:val="21"/>
                <w:szCs w:val="21"/>
                <w:highlight w:val="none"/>
                <w:vertAlign w:val="baseline"/>
                <w:lang w:val="en-US" w:eastAsia="zh-CN"/>
              </w:rPr>
              <w:t>计算，颗粒物</w:t>
            </w:r>
            <w:r>
              <w:rPr>
                <w:rFonts w:hint="eastAsia"/>
                <w:bCs/>
                <w:color w:val="auto"/>
                <w:sz w:val="21"/>
                <w:szCs w:val="21"/>
                <w:highlight w:val="none"/>
                <w:lang w:val="en-US" w:eastAsia="zh-CN"/>
              </w:rPr>
              <w:t>排放速率在0.03kg/h左右，本次保守按照0.06kg/h计算，氮氧化物排放速率在0.4kg/h左右，本次保守按照0.8kg/h计算，</w:t>
            </w:r>
            <w:r>
              <w:rPr>
                <w:rFonts w:hint="eastAsia"/>
                <w:bCs/>
                <w:color w:val="auto"/>
                <w:sz w:val="21"/>
                <w:szCs w:val="21"/>
                <w:highlight w:val="none"/>
                <w:vertAlign w:val="baseline"/>
                <w:lang w:val="en-US" w:eastAsia="zh-CN"/>
              </w:rPr>
              <w:t>处理后经DA013排气筒排放。</w:t>
            </w:r>
          </w:p>
          <w:p w14:paraId="5C650F80">
            <w:pPr>
              <w:adjustRightInd w:val="0"/>
              <w:snapToGrid w:val="0"/>
              <w:spacing w:line="360" w:lineRule="auto"/>
              <w:ind w:firstLine="420" w:firstLineChars="200"/>
              <w:rPr>
                <w:rFonts w:hint="default"/>
                <w:bCs/>
                <w:color w:val="auto"/>
                <w:sz w:val="21"/>
                <w:szCs w:val="21"/>
                <w:highlight w:val="none"/>
                <w:lang w:val="en-US" w:eastAsia="zh-CN"/>
              </w:rPr>
            </w:pPr>
            <w:r>
              <w:rPr>
                <w:rFonts w:hint="eastAsia"/>
                <w:color w:val="auto"/>
                <w:highlight w:val="none"/>
                <w:lang w:val="en-US" w:eastAsia="zh-CN"/>
              </w:rPr>
              <w:t>具体计算过程如下：</w:t>
            </w:r>
          </w:p>
          <w:p w14:paraId="2F7D215D">
            <w:pPr>
              <w:jc w:val="center"/>
              <w:rPr>
                <w:rFonts w:hint="default" w:ascii="Times New Roman" w:hAnsi="Times New Roman" w:eastAsia="黑体" w:cs="Times New Roman"/>
                <w:color w:val="auto"/>
                <w:sz w:val="21"/>
                <w:szCs w:val="22"/>
              </w:rPr>
            </w:pPr>
          </w:p>
          <w:p w14:paraId="024BFBFC">
            <w:pPr>
              <w:jc w:val="center"/>
              <w:rPr>
                <w:rFonts w:hint="default" w:ascii="Times New Roman" w:hAnsi="Times New Roman" w:eastAsia="黑体" w:cs="Times New Roman"/>
                <w:color w:val="auto"/>
                <w:sz w:val="21"/>
                <w:szCs w:val="22"/>
              </w:rPr>
            </w:pPr>
          </w:p>
          <w:p w14:paraId="666117E4">
            <w:pPr>
              <w:jc w:val="center"/>
              <w:rPr>
                <w:rFonts w:hint="default" w:ascii="Times New Roman" w:hAnsi="Times New Roman" w:eastAsia="黑体" w:cs="Times New Roman"/>
                <w:color w:val="auto"/>
                <w:sz w:val="21"/>
                <w:szCs w:val="22"/>
              </w:rPr>
            </w:pPr>
          </w:p>
          <w:p w14:paraId="1CAFF850">
            <w:pPr>
              <w:jc w:val="center"/>
              <w:rPr>
                <w:rFonts w:hint="default" w:ascii="Times New Roman" w:hAnsi="Times New Roman" w:eastAsia="黑体" w:cs="Times New Roman"/>
                <w:color w:val="auto"/>
                <w:sz w:val="21"/>
                <w:szCs w:val="22"/>
              </w:rPr>
            </w:pPr>
          </w:p>
          <w:p w14:paraId="0C93F0C5">
            <w:pPr>
              <w:jc w:val="center"/>
              <w:rPr>
                <w:rFonts w:hint="eastAsia" w:ascii="黑体" w:hAnsi="黑体" w:eastAsia="黑体"/>
                <w:color w:val="auto"/>
                <w:sz w:val="24"/>
                <w:szCs w:val="28"/>
              </w:rPr>
            </w:pPr>
            <w:r>
              <w:rPr>
                <w:rFonts w:hint="default" w:ascii="Times New Roman" w:hAnsi="Times New Roman" w:eastAsia="黑体" w:cs="Times New Roman"/>
                <w:color w:val="auto"/>
                <w:sz w:val="24"/>
                <w:szCs w:val="28"/>
              </w:rPr>
              <w:t>表</w:t>
            </w:r>
            <w:r>
              <w:rPr>
                <w:rFonts w:hint="default" w:ascii="Times New Roman" w:hAnsi="Times New Roman" w:eastAsia="黑体" w:cs="Times New Roman"/>
                <w:color w:val="auto"/>
                <w:sz w:val="24"/>
                <w:szCs w:val="28"/>
                <w:lang w:val="en-US" w:eastAsia="zh-CN"/>
              </w:rPr>
              <w:t>4</w:t>
            </w:r>
            <w:r>
              <w:rPr>
                <w:rFonts w:hint="eastAsia" w:eastAsia="黑体" w:cs="Times New Roman"/>
                <w:color w:val="auto"/>
                <w:sz w:val="24"/>
                <w:szCs w:val="28"/>
                <w:lang w:val="en-US" w:eastAsia="zh-CN"/>
              </w:rPr>
              <w:t>-3</w:t>
            </w:r>
            <w:r>
              <w:rPr>
                <w:rFonts w:hint="default" w:ascii="Times New Roman" w:hAnsi="Times New Roman" w:eastAsia="黑体" w:cs="Times New Roman"/>
                <w:color w:val="auto"/>
                <w:sz w:val="24"/>
                <w:szCs w:val="28"/>
              </w:rPr>
              <w:t xml:space="preserve">  拟建项目各装置燃料</w:t>
            </w:r>
            <w:r>
              <w:rPr>
                <w:rFonts w:hint="eastAsia" w:ascii="黑体" w:hAnsi="黑体" w:eastAsia="黑体"/>
                <w:color w:val="auto"/>
                <w:sz w:val="24"/>
                <w:szCs w:val="28"/>
              </w:rPr>
              <w:t>使用消耗校核一览表</w:t>
            </w:r>
          </w:p>
          <w:tbl>
            <w:tblPr>
              <w:tblStyle w:val="33"/>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57"/>
              <w:gridCol w:w="936"/>
              <w:gridCol w:w="606"/>
              <w:gridCol w:w="523"/>
              <w:gridCol w:w="757"/>
              <w:gridCol w:w="918"/>
              <w:gridCol w:w="994"/>
              <w:gridCol w:w="891"/>
              <w:gridCol w:w="622"/>
              <w:gridCol w:w="711"/>
              <w:gridCol w:w="487"/>
            </w:tblGrid>
            <w:tr w14:paraId="040B50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7" w:type="dxa"/>
                  <w:vMerge w:val="restart"/>
                  <w:tcBorders>
                    <w:tl2br w:val="nil"/>
                    <w:tr2bl w:val="nil"/>
                  </w:tcBorders>
                  <w:noWrap w:val="0"/>
                  <w:vAlign w:val="center"/>
                </w:tcPr>
                <w:p w14:paraId="4D48901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rPr>
                  </w:pPr>
                  <w:r>
                    <w:rPr>
                      <w:rFonts w:hint="eastAsia" w:ascii="Times New Roman" w:hAnsi="Times New Roman" w:cs="Times New Roman"/>
                      <w:bCs/>
                      <w:color w:val="auto"/>
                      <w:kern w:val="0"/>
                      <w:sz w:val="18"/>
                      <w:szCs w:val="18"/>
                      <w:lang w:val="en-US" w:eastAsia="zh-CN"/>
                    </w:rPr>
                    <w:t>产污工序</w:t>
                  </w:r>
                </w:p>
              </w:tc>
              <w:tc>
                <w:tcPr>
                  <w:tcW w:w="936" w:type="dxa"/>
                  <w:vMerge w:val="restart"/>
                  <w:tcBorders>
                    <w:tl2br w:val="nil"/>
                    <w:tr2bl w:val="nil"/>
                  </w:tcBorders>
                  <w:noWrap w:val="0"/>
                  <w:vAlign w:val="center"/>
                </w:tcPr>
                <w:p w14:paraId="7F06709A">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rPr>
                  </w:pPr>
                  <w:r>
                    <w:rPr>
                      <w:rFonts w:hint="eastAsia" w:ascii="Times New Roman" w:hAnsi="Times New Roman" w:cs="Times New Roman"/>
                      <w:bCs/>
                      <w:color w:val="auto"/>
                      <w:kern w:val="0"/>
                      <w:sz w:val="18"/>
                      <w:szCs w:val="18"/>
                      <w:lang w:val="en-US" w:eastAsia="zh-CN"/>
                    </w:rPr>
                    <w:t>天然气用量m</w:t>
                  </w:r>
                  <w:r>
                    <w:rPr>
                      <w:rFonts w:hint="eastAsia" w:ascii="Times New Roman" w:hAnsi="Times New Roman" w:cs="Times New Roman"/>
                      <w:bCs/>
                      <w:color w:val="auto"/>
                      <w:kern w:val="0"/>
                      <w:sz w:val="18"/>
                      <w:szCs w:val="18"/>
                      <w:vertAlign w:val="superscript"/>
                      <w:lang w:val="en-US" w:eastAsia="zh-CN"/>
                    </w:rPr>
                    <w:t>3</w:t>
                  </w:r>
                  <w:r>
                    <w:rPr>
                      <w:rFonts w:hint="eastAsia" w:ascii="Times New Roman" w:hAnsi="Times New Roman" w:cs="Times New Roman"/>
                      <w:bCs/>
                      <w:color w:val="auto"/>
                      <w:kern w:val="0"/>
                      <w:sz w:val="18"/>
                      <w:szCs w:val="18"/>
                      <w:lang w:val="en-US" w:eastAsia="zh-CN"/>
                    </w:rPr>
                    <w:t>/a</w:t>
                  </w:r>
                </w:p>
              </w:tc>
              <w:tc>
                <w:tcPr>
                  <w:tcW w:w="606" w:type="dxa"/>
                  <w:vMerge w:val="restart"/>
                  <w:tcBorders>
                    <w:tl2br w:val="nil"/>
                    <w:tr2bl w:val="nil"/>
                  </w:tcBorders>
                  <w:noWrap w:val="0"/>
                  <w:vAlign w:val="center"/>
                </w:tcPr>
                <w:p w14:paraId="079568D8">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auto"/>
                      <w:kern w:val="0"/>
                      <w:sz w:val="18"/>
                      <w:szCs w:val="18"/>
                      <w:lang w:val="en-US" w:eastAsia="zh-CN"/>
                    </w:rPr>
                  </w:pPr>
                  <w:r>
                    <w:rPr>
                      <w:rFonts w:hint="eastAsia" w:ascii="Times New Roman" w:hAnsi="Times New Roman" w:cs="Times New Roman"/>
                      <w:bCs/>
                      <w:color w:val="auto"/>
                      <w:kern w:val="0"/>
                      <w:sz w:val="18"/>
                      <w:szCs w:val="18"/>
                      <w:lang w:val="en-US" w:eastAsia="zh-CN"/>
                    </w:rPr>
                    <w:t>污染物</w:t>
                  </w:r>
                </w:p>
              </w:tc>
              <w:tc>
                <w:tcPr>
                  <w:tcW w:w="523" w:type="dxa"/>
                  <w:vMerge w:val="restart"/>
                  <w:tcBorders>
                    <w:tl2br w:val="nil"/>
                    <w:tr2bl w:val="nil"/>
                  </w:tcBorders>
                  <w:noWrap w:val="0"/>
                  <w:vAlign w:val="center"/>
                </w:tcPr>
                <w:p w14:paraId="7FD3632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kern w:val="0"/>
                      <w:sz w:val="18"/>
                      <w:szCs w:val="18"/>
                      <w:lang w:val="en-US" w:eastAsia="zh-CN"/>
                    </w:rPr>
                  </w:pPr>
                  <w:r>
                    <w:rPr>
                      <w:rFonts w:hint="eastAsia" w:cs="Times New Roman"/>
                      <w:bCs/>
                      <w:color w:val="auto"/>
                      <w:kern w:val="0"/>
                      <w:sz w:val="18"/>
                      <w:szCs w:val="18"/>
                      <w:lang w:val="en-US" w:eastAsia="zh-CN"/>
                    </w:rPr>
                    <w:t>核算方法</w:t>
                  </w:r>
                </w:p>
              </w:tc>
              <w:tc>
                <w:tcPr>
                  <w:tcW w:w="1675" w:type="dxa"/>
                  <w:gridSpan w:val="2"/>
                  <w:tcBorders>
                    <w:tl2br w:val="nil"/>
                    <w:tr2bl w:val="nil"/>
                  </w:tcBorders>
                  <w:noWrap w:val="0"/>
                  <w:vAlign w:val="center"/>
                </w:tcPr>
                <w:p w14:paraId="249B81D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cs="Times New Roman"/>
                      <w:bCs/>
                      <w:color w:val="auto"/>
                      <w:kern w:val="0"/>
                      <w:sz w:val="18"/>
                      <w:szCs w:val="18"/>
                      <w:lang w:val="en-US" w:eastAsia="zh-CN"/>
                    </w:rPr>
                  </w:pPr>
                  <w:r>
                    <w:rPr>
                      <w:rFonts w:hint="eastAsia" w:cs="Times New Roman"/>
                      <w:bCs/>
                      <w:color w:val="auto"/>
                      <w:kern w:val="0"/>
                      <w:sz w:val="18"/>
                      <w:szCs w:val="18"/>
                      <w:lang w:val="en-US" w:eastAsia="zh-CN"/>
                    </w:rPr>
                    <w:t>类比项目</w:t>
                  </w:r>
                  <w:r>
                    <w:rPr>
                      <w:rFonts w:hint="eastAsia" w:ascii="Times New Roman" w:hAnsi="Times New Roman" w:cs="Times New Roman"/>
                      <w:bCs/>
                      <w:color w:val="auto"/>
                      <w:kern w:val="0"/>
                      <w:sz w:val="18"/>
                      <w:szCs w:val="18"/>
                      <w:lang w:val="en-US" w:eastAsia="zh-CN"/>
                    </w:rPr>
                    <w:t>情况</w:t>
                  </w:r>
                </w:p>
              </w:tc>
              <w:tc>
                <w:tcPr>
                  <w:tcW w:w="994" w:type="dxa"/>
                  <w:vMerge w:val="restart"/>
                  <w:tcBorders>
                    <w:tl2br w:val="nil"/>
                    <w:tr2bl w:val="nil"/>
                  </w:tcBorders>
                  <w:noWrap w:val="0"/>
                  <w:vAlign w:val="center"/>
                </w:tcPr>
                <w:p w14:paraId="0180BB5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kern w:val="0"/>
                      <w:sz w:val="18"/>
                      <w:szCs w:val="18"/>
                      <w:lang w:val="en-US" w:eastAsia="zh-CN"/>
                    </w:rPr>
                  </w:pPr>
                  <w:r>
                    <w:rPr>
                      <w:rFonts w:hint="eastAsia" w:cs="Times New Roman"/>
                      <w:bCs/>
                      <w:color w:val="auto"/>
                      <w:kern w:val="0"/>
                      <w:sz w:val="18"/>
                      <w:szCs w:val="18"/>
                      <w:lang w:val="en-US" w:eastAsia="zh-CN"/>
                    </w:rPr>
                    <w:t>处理措施及排放去向</w:t>
                  </w:r>
                </w:p>
              </w:tc>
              <w:tc>
                <w:tcPr>
                  <w:tcW w:w="2224" w:type="dxa"/>
                  <w:gridSpan w:val="3"/>
                  <w:tcBorders>
                    <w:tl2br w:val="nil"/>
                    <w:tr2bl w:val="nil"/>
                  </w:tcBorders>
                  <w:noWrap w:val="0"/>
                  <w:vAlign w:val="center"/>
                </w:tcPr>
                <w:p w14:paraId="7FE62022">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kern w:val="0"/>
                      <w:sz w:val="18"/>
                      <w:szCs w:val="18"/>
                      <w:lang w:val="en-US"/>
                    </w:rPr>
                  </w:pPr>
                  <w:r>
                    <w:rPr>
                      <w:rFonts w:hint="eastAsia" w:cs="Times New Roman"/>
                      <w:bCs/>
                      <w:color w:val="auto"/>
                      <w:kern w:val="0"/>
                      <w:sz w:val="18"/>
                      <w:szCs w:val="18"/>
                      <w:lang w:val="en-US" w:eastAsia="zh-CN"/>
                    </w:rPr>
                    <w:t>本项目</w:t>
                  </w:r>
                  <w:r>
                    <w:rPr>
                      <w:rFonts w:hint="eastAsia" w:ascii="Times New Roman" w:hAnsi="Times New Roman" w:cs="Times New Roman"/>
                      <w:bCs/>
                      <w:color w:val="auto"/>
                      <w:kern w:val="0"/>
                      <w:sz w:val="18"/>
                      <w:szCs w:val="18"/>
                      <w:lang w:val="en-US" w:eastAsia="zh-CN"/>
                    </w:rPr>
                    <w:t>污染物排放情况</w:t>
                  </w:r>
                </w:p>
              </w:tc>
              <w:tc>
                <w:tcPr>
                  <w:tcW w:w="487" w:type="dxa"/>
                  <w:tcBorders>
                    <w:tl2br w:val="nil"/>
                    <w:tr2bl w:val="nil"/>
                  </w:tcBorders>
                  <w:noWrap w:val="0"/>
                  <w:vAlign w:val="center"/>
                </w:tcPr>
                <w:p w14:paraId="74B8700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cs="Times New Roman"/>
                      <w:bCs/>
                      <w:color w:val="auto"/>
                      <w:kern w:val="0"/>
                      <w:sz w:val="18"/>
                      <w:szCs w:val="18"/>
                      <w:lang w:val="en-US" w:eastAsia="zh-CN"/>
                    </w:rPr>
                  </w:pPr>
                  <w:r>
                    <w:rPr>
                      <w:rFonts w:hint="eastAsia" w:cs="Times New Roman"/>
                      <w:bCs/>
                      <w:color w:val="auto"/>
                      <w:kern w:val="0"/>
                      <w:sz w:val="18"/>
                      <w:szCs w:val="18"/>
                      <w:lang w:val="en-US" w:eastAsia="zh-CN"/>
                    </w:rPr>
                    <w:t>排放标准</w:t>
                  </w:r>
                </w:p>
              </w:tc>
            </w:tr>
            <w:tr w14:paraId="38E1F4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7" w:type="dxa"/>
                  <w:vMerge w:val="continue"/>
                  <w:tcBorders>
                    <w:tl2br w:val="nil"/>
                    <w:tr2bl w:val="nil"/>
                  </w:tcBorders>
                  <w:noWrap w:val="0"/>
                  <w:vAlign w:val="center"/>
                </w:tcPr>
                <w:p w14:paraId="0254026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Cs/>
                      <w:color w:val="auto"/>
                      <w:kern w:val="0"/>
                      <w:sz w:val="18"/>
                      <w:szCs w:val="18"/>
                      <w:lang w:val="en-US" w:eastAsia="zh-CN"/>
                    </w:rPr>
                  </w:pPr>
                </w:p>
              </w:tc>
              <w:tc>
                <w:tcPr>
                  <w:tcW w:w="936" w:type="dxa"/>
                  <w:vMerge w:val="continue"/>
                  <w:tcBorders>
                    <w:tl2br w:val="nil"/>
                    <w:tr2bl w:val="nil"/>
                  </w:tcBorders>
                  <w:noWrap w:val="0"/>
                  <w:vAlign w:val="center"/>
                </w:tcPr>
                <w:p w14:paraId="39FAEE34">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Cs/>
                      <w:color w:val="auto"/>
                      <w:kern w:val="0"/>
                      <w:sz w:val="18"/>
                      <w:szCs w:val="18"/>
                      <w:lang w:val="en-US" w:eastAsia="zh-CN"/>
                    </w:rPr>
                  </w:pPr>
                </w:p>
              </w:tc>
              <w:tc>
                <w:tcPr>
                  <w:tcW w:w="606" w:type="dxa"/>
                  <w:vMerge w:val="continue"/>
                  <w:tcBorders>
                    <w:tl2br w:val="nil"/>
                    <w:tr2bl w:val="nil"/>
                  </w:tcBorders>
                  <w:noWrap w:val="0"/>
                  <w:vAlign w:val="center"/>
                </w:tcPr>
                <w:p w14:paraId="00E743F5">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Cs/>
                      <w:color w:val="auto"/>
                      <w:kern w:val="0"/>
                      <w:sz w:val="18"/>
                      <w:szCs w:val="18"/>
                      <w:lang w:val="en-US" w:eastAsia="zh-CN"/>
                    </w:rPr>
                  </w:pPr>
                </w:p>
              </w:tc>
              <w:tc>
                <w:tcPr>
                  <w:tcW w:w="523" w:type="dxa"/>
                  <w:vMerge w:val="continue"/>
                  <w:tcBorders>
                    <w:tl2br w:val="nil"/>
                    <w:tr2bl w:val="nil"/>
                  </w:tcBorders>
                  <w:noWrap w:val="0"/>
                  <w:vAlign w:val="center"/>
                </w:tcPr>
                <w:p w14:paraId="76DAE68B">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Cs/>
                      <w:color w:val="auto"/>
                      <w:kern w:val="0"/>
                      <w:sz w:val="18"/>
                      <w:szCs w:val="18"/>
                      <w:lang w:val="en-US" w:eastAsia="zh-CN"/>
                    </w:rPr>
                  </w:pPr>
                </w:p>
              </w:tc>
              <w:tc>
                <w:tcPr>
                  <w:tcW w:w="757" w:type="dxa"/>
                  <w:tcBorders>
                    <w:tl2br w:val="nil"/>
                    <w:tr2bl w:val="nil"/>
                  </w:tcBorders>
                  <w:noWrap w:val="0"/>
                  <w:vAlign w:val="center"/>
                </w:tcPr>
                <w:p w14:paraId="2DD5B08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Cs/>
                      <w:color w:val="auto"/>
                      <w:kern w:val="0"/>
                      <w:sz w:val="18"/>
                      <w:szCs w:val="18"/>
                      <w:lang w:val="en-US" w:eastAsia="zh-CN"/>
                    </w:rPr>
                  </w:pPr>
                  <w:r>
                    <w:rPr>
                      <w:rFonts w:hint="eastAsia" w:cs="Times New Roman"/>
                      <w:bCs/>
                      <w:color w:val="auto"/>
                      <w:kern w:val="0"/>
                      <w:sz w:val="18"/>
                      <w:szCs w:val="18"/>
                      <w:lang w:val="en-US" w:eastAsia="zh-CN"/>
                    </w:rPr>
                    <w:t>类比平均速率kg/h</w:t>
                  </w:r>
                </w:p>
              </w:tc>
              <w:tc>
                <w:tcPr>
                  <w:tcW w:w="918" w:type="dxa"/>
                  <w:tcBorders>
                    <w:tl2br w:val="nil"/>
                    <w:tr2bl w:val="nil"/>
                  </w:tcBorders>
                  <w:noWrap w:val="0"/>
                  <w:vAlign w:val="center"/>
                </w:tcPr>
                <w:p w14:paraId="3E35EA88">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Cs/>
                      <w:color w:val="auto"/>
                      <w:kern w:val="0"/>
                      <w:sz w:val="18"/>
                      <w:szCs w:val="18"/>
                      <w:lang w:val="en-US" w:eastAsia="zh-CN"/>
                    </w:rPr>
                  </w:pPr>
                  <w:r>
                    <w:rPr>
                      <w:rFonts w:hint="eastAsia" w:cs="Times New Roman"/>
                      <w:bCs/>
                      <w:color w:val="auto"/>
                      <w:kern w:val="0"/>
                      <w:sz w:val="18"/>
                      <w:szCs w:val="18"/>
                      <w:lang w:val="en-US" w:eastAsia="zh-CN"/>
                    </w:rPr>
                    <w:t>类比产能万t/a</w:t>
                  </w:r>
                </w:p>
              </w:tc>
              <w:tc>
                <w:tcPr>
                  <w:tcW w:w="994" w:type="dxa"/>
                  <w:vMerge w:val="continue"/>
                  <w:tcBorders>
                    <w:tl2br w:val="nil"/>
                    <w:tr2bl w:val="nil"/>
                  </w:tcBorders>
                  <w:noWrap w:val="0"/>
                  <w:vAlign w:val="center"/>
                </w:tcPr>
                <w:p w14:paraId="06FE5EB3">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kern w:val="0"/>
                      <w:sz w:val="18"/>
                      <w:szCs w:val="18"/>
                      <w:lang w:val="en-US" w:eastAsia="zh-CN"/>
                    </w:rPr>
                  </w:pPr>
                </w:p>
              </w:tc>
              <w:tc>
                <w:tcPr>
                  <w:tcW w:w="891" w:type="dxa"/>
                  <w:tcBorders>
                    <w:tl2br w:val="nil"/>
                    <w:tr2bl w:val="nil"/>
                  </w:tcBorders>
                  <w:noWrap w:val="0"/>
                  <w:vAlign w:val="center"/>
                </w:tcPr>
                <w:p w14:paraId="4AB11B6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kern w:val="0"/>
                      <w:sz w:val="18"/>
                      <w:szCs w:val="18"/>
                      <w:lang w:val="en-US" w:eastAsia="zh-CN"/>
                    </w:rPr>
                  </w:pPr>
                  <w:r>
                    <w:rPr>
                      <w:rFonts w:hint="eastAsia" w:ascii="Times New Roman" w:hAnsi="Times New Roman" w:cs="Times New Roman"/>
                      <w:bCs/>
                      <w:color w:val="auto"/>
                      <w:kern w:val="0"/>
                      <w:sz w:val="18"/>
                      <w:szCs w:val="18"/>
                      <w:lang w:val="en-US" w:eastAsia="zh-CN"/>
                    </w:rPr>
                    <w:t>排放量</w:t>
                  </w:r>
                </w:p>
              </w:tc>
              <w:tc>
                <w:tcPr>
                  <w:tcW w:w="622" w:type="dxa"/>
                  <w:tcBorders>
                    <w:tl2br w:val="nil"/>
                    <w:tr2bl w:val="nil"/>
                  </w:tcBorders>
                  <w:noWrap w:val="0"/>
                  <w:vAlign w:val="center"/>
                </w:tcPr>
                <w:p w14:paraId="4EECA78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kern w:val="0"/>
                      <w:sz w:val="18"/>
                      <w:szCs w:val="18"/>
                      <w:lang w:val="en-US" w:eastAsia="zh-CN"/>
                    </w:rPr>
                  </w:pPr>
                  <w:r>
                    <w:rPr>
                      <w:rFonts w:hint="eastAsia" w:ascii="Times New Roman" w:hAnsi="Times New Roman" w:cs="Times New Roman"/>
                      <w:bCs/>
                      <w:color w:val="auto"/>
                      <w:kern w:val="0"/>
                      <w:sz w:val="18"/>
                      <w:szCs w:val="18"/>
                      <w:lang w:val="en-US" w:eastAsia="zh-CN"/>
                    </w:rPr>
                    <w:t>排放速率</w:t>
                  </w:r>
                </w:p>
              </w:tc>
              <w:tc>
                <w:tcPr>
                  <w:tcW w:w="711" w:type="dxa"/>
                  <w:tcBorders>
                    <w:tl2br w:val="nil"/>
                    <w:tr2bl w:val="nil"/>
                  </w:tcBorders>
                  <w:noWrap w:val="0"/>
                  <w:vAlign w:val="center"/>
                </w:tcPr>
                <w:p w14:paraId="5940D6A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kern w:val="0"/>
                      <w:sz w:val="18"/>
                      <w:szCs w:val="18"/>
                      <w:lang w:val="en-US"/>
                    </w:rPr>
                  </w:pPr>
                  <w:r>
                    <w:rPr>
                      <w:rFonts w:hint="eastAsia" w:ascii="Times New Roman" w:hAnsi="Times New Roman" w:cs="Times New Roman"/>
                      <w:bCs/>
                      <w:color w:val="auto"/>
                      <w:kern w:val="0"/>
                      <w:sz w:val="18"/>
                      <w:szCs w:val="18"/>
                      <w:lang w:val="en-US" w:eastAsia="zh-CN"/>
                    </w:rPr>
                    <w:t>排放浓度</w:t>
                  </w:r>
                </w:p>
              </w:tc>
              <w:tc>
                <w:tcPr>
                  <w:tcW w:w="487" w:type="dxa"/>
                  <w:tcBorders>
                    <w:tl2br w:val="nil"/>
                    <w:tr2bl w:val="nil"/>
                  </w:tcBorders>
                  <w:shd w:val="clear" w:color="auto" w:fill="auto"/>
                  <w:noWrap w:val="0"/>
                  <w:vAlign w:val="center"/>
                </w:tcPr>
                <w:p w14:paraId="2DEA2BA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auto"/>
                      <w:kern w:val="0"/>
                      <w:sz w:val="18"/>
                      <w:szCs w:val="18"/>
                      <w:lang w:val="en-US" w:eastAsia="zh-CN" w:bidi="ar-SA"/>
                    </w:rPr>
                  </w:pPr>
                  <w:r>
                    <w:rPr>
                      <w:rFonts w:hint="eastAsia" w:ascii="Times New Roman" w:hAnsi="Times New Roman" w:cs="Times New Roman"/>
                      <w:bCs/>
                      <w:color w:val="auto"/>
                      <w:kern w:val="0"/>
                      <w:sz w:val="18"/>
                      <w:szCs w:val="18"/>
                      <w:lang w:val="en-US" w:eastAsia="zh-CN"/>
                    </w:rPr>
                    <w:t>排放浓度</w:t>
                  </w:r>
                </w:p>
              </w:tc>
            </w:tr>
            <w:tr w14:paraId="57C52C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7" w:type="dxa"/>
                  <w:vMerge w:val="restart"/>
                  <w:tcBorders>
                    <w:tl2br w:val="nil"/>
                    <w:tr2bl w:val="nil"/>
                  </w:tcBorders>
                  <w:noWrap w:val="0"/>
                  <w:vAlign w:val="center"/>
                </w:tcPr>
                <w:p w14:paraId="1CE3AAB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rPr>
                  </w:pPr>
                  <w:r>
                    <w:rPr>
                      <w:rFonts w:hint="eastAsia"/>
                      <w:color w:val="auto"/>
                      <w:sz w:val="18"/>
                      <w:szCs w:val="18"/>
                    </w:rPr>
                    <w:t>常化</w:t>
                  </w:r>
                  <w:r>
                    <w:rPr>
                      <w:rFonts w:hint="eastAsia"/>
                      <w:color w:val="auto"/>
                      <w:sz w:val="18"/>
                      <w:szCs w:val="18"/>
                      <w:lang w:val="en-US" w:eastAsia="zh-CN"/>
                    </w:rPr>
                    <w:t>无氧加热炉燃烧废气</w:t>
                  </w:r>
                </w:p>
              </w:tc>
              <w:tc>
                <w:tcPr>
                  <w:tcW w:w="936" w:type="dxa"/>
                  <w:vMerge w:val="restart"/>
                  <w:tcBorders>
                    <w:tl2br w:val="nil"/>
                    <w:tr2bl w:val="nil"/>
                  </w:tcBorders>
                  <w:noWrap w:val="0"/>
                  <w:vAlign w:val="center"/>
                </w:tcPr>
                <w:p w14:paraId="025FE084">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rPr>
                  </w:pPr>
                  <w:r>
                    <w:rPr>
                      <w:rFonts w:hint="eastAsia" w:ascii="Times New Roman" w:hAnsi="Times New Roman" w:eastAsia="宋体" w:cs="Times New Roman"/>
                      <w:bCs/>
                      <w:color w:val="auto"/>
                      <w:kern w:val="0"/>
                      <w:sz w:val="18"/>
                      <w:szCs w:val="18"/>
                      <w:lang w:val="en-US" w:eastAsia="zh-CN"/>
                    </w:rPr>
                    <w:t xml:space="preserve">8842105 </w:t>
                  </w:r>
                </w:p>
              </w:tc>
              <w:tc>
                <w:tcPr>
                  <w:tcW w:w="606" w:type="dxa"/>
                  <w:tcBorders>
                    <w:tl2br w:val="nil"/>
                    <w:tr2bl w:val="nil"/>
                  </w:tcBorders>
                  <w:shd w:val="clear" w:color="auto" w:fill="auto"/>
                  <w:noWrap w:val="0"/>
                  <w:vAlign w:val="center"/>
                </w:tcPr>
                <w:p w14:paraId="0AACC0F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bidi="ar-SA"/>
                    </w:rPr>
                  </w:pPr>
                  <w:r>
                    <w:rPr>
                      <w:rFonts w:hint="eastAsia" w:ascii="Times New Roman" w:hAnsi="Times New Roman" w:cs="Times New Roman"/>
                      <w:bCs/>
                      <w:color w:val="auto"/>
                      <w:kern w:val="0"/>
                      <w:sz w:val="18"/>
                      <w:szCs w:val="18"/>
                      <w:lang w:val="en-US" w:eastAsia="zh-CN"/>
                    </w:rPr>
                    <w:t>颗粒物</w:t>
                  </w:r>
                </w:p>
              </w:tc>
              <w:tc>
                <w:tcPr>
                  <w:tcW w:w="523" w:type="dxa"/>
                  <w:tcBorders>
                    <w:tl2br w:val="nil"/>
                    <w:tr2bl w:val="nil"/>
                  </w:tcBorders>
                  <w:noWrap w:val="0"/>
                  <w:vAlign w:val="center"/>
                </w:tcPr>
                <w:p w14:paraId="5477004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rPr>
                  </w:pPr>
                  <w:r>
                    <w:rPr>
                      <w:rFonts w:hint="eastAsia" w:cs="Times New Roman"/>
                      <w:bCs/>
                      <w:color w:val="auto"/>
                      <w:kern w:val="0"/>
                      <w:sz w:val="18"/>
                      <w:szCs w:val="18"/>
                      <w:lang w:val="en-US" w:eastAsia="zh-CN"/>
                    </w:rPr>
                    <w:t>类比法</w:t>
                  </w:r>
                </w:p>
              </w:tc>
              <w:tc>
                <w:tcPr>
                  <w:tcW w:w="757" w:type="dxa"/>
                  <w:tcBorders>
                    <w:tl2br w:val="nil"/>
                    <w:tr2bl w:val="nil"/>
                  </w:tcBorders>
                  <w:shd w:val="clear" w:color="auto" w:fill="auto"/>
                  <w:noWrap w:val="0"/>
                  <w:vAlign w:val="center"/>
                </w:tcPr>
                <w:p w14:paraId="320F534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cs="Times New Roman"/>
                      <w:bCs/>
                      <w:color w:val="auto"/>
                      <w:kern w:val="0"/>
                      <w:sz w:val="18"/>
                      <w:szCs w:val="18"/>
                      <w:lang w:val="en-US" w:eastAsia="zh-CN"/>
                    </w:rPr>
                  </w:pPr>
                  <w:r>
                    <w:rPr>
                      <w:rFonts w:hint="eastAsia" w:cs="Times New Roman"/>
                      <w:bCs/>
                      <w:color w:val="auto"/>
                      <w:kern w:val="0"/>
                      <w:sz w:val="18"/>
                      <w:szCs w:val="18"/>
                      <w:lang w:val="en-US" w:eastAsia="zh-CN"/>
                    </w:rPr>
                    <w:t>0.152</w:t>
                  </w:r>
                </w:p>
              </w:tc>
              <w:tc>
                <w:tcPr>
                  <w:tcW w:w="918" w:type="dxa"/>
                  <w:vMerge w:val="restart"/>
                  <w:tcBorders>
                    <w:tl2br w:val="nil"/>
                    <w:tr2bl w:val="nil"/>
                  </w:tcBorders>
                  <w:shd w:val="clear" w:color="auto" w:fill="auto"/>
                  <w:noWrap w:val="0"/>
                  <w:vAlign w:val="center"/>
                </w:tcPr>
                <w:p w14:paraId="4D8203E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cs="Times New Roman"/>
                      <w:bCs/>
                      <w:color w:val="auto"/>
                      <w:kern w:val="0"/>
                      <w:sz w:val="18"/>
                      <w:szCs w:val="18"/>
                      <w:lang w:val="en-US" w:eastAsia="zh-CN"/>
                    </w:rPr>
                  </w:pPr>
                  <w:r>
                    <w:rPr>
                      <w:rFonts w:hint="eastAsia" w:cs="Times New Roman"/>
                      <w:bCs/>
                      <w:color w:val="auto"/>
                      <w:kern w:val="0"/>
                      <w:sz w:val="18"/>
                      <w:szCs w:val="18"/>
                      <w:lang w:val="en-US" w:eastAsia="zh-CN"/>
                    </w:rPr>
                    <w:t>15</w:t>
                  </w:r>
                </w:p>
              </w:tc>
              <w:tc>
                <w:tcPr>
                  <w:tcW w:w="994" w:type="dxa"/>
                  <w:vMerge w:val="restart"/>
                  <w:tcBorders>
                    <w:tl2br w:val="nil"/>
                    <w:tr2bl w:val="nil"/>
                  </w:tcBorders>
                  <w:shd w:val="clear" w:color="auto" w:fill="auto"/>
                  <w:noWrap w:val="0"/>
                  <w:vAlign w:val="center"/>
                </w:tcPr>
                <w:p w14:paraId="2D07766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cs="Times New Roman"/>
                      <w:bCs/>
                      <w:color w:val="auto"/>
                      <w:kern w:val="0"/>
                      <w:sz w:val="18"/>
                      <w:szCs w:val="18"/>
                      <w:lang w:val="en-US" w:eastAsia="zh-CN"/>
                    </w:rPr>
                  </w:pPr>
                  <w:r>
                    <w:rPr>
                      <w:rFonts w:hint="eastAsia" w:cs="Times New Roman"/>
                      <w:bCs/>
                      <w:color w:val="auto"/>
                      <w:kern w:val="0"/>
                      <w:sz w:val="18"/>
                      <w:szCs w:val="18"/>
                      <w:lang w:val="en-US" w:eastAsia="zh-CN"/>
                    </w:rPr>
                    <w:t>低氮燃烧技术+DA001排气筒</w:t>
                  </w:r>
                </w:p>
              </w:tc>
              <w:tc>
                <w:tcPr>
                  <w:tcW w:w="891" w:type="dxa"/>
                  <w:tcBorders>
                    <w:tl2br w:val="nil"/>
                    <w:tr2bl w:val="nil"/>
                  </w:tcBorders>
                  <w:shd w:val="clear" w:color="auto" w:fill="auto"/>
                  <w:noWrap w:val="0"/>
                  <w:vAlign w:val="center"/>
                </w:tcPr>
                <w:p w14:paraId="65EF79B7">
                  <w:pPr>
                    <w:keepNext w:val="0"/>
                    <w:keepLines w:val="0"/>
                    <w:widowControl/>
                    <w:suppressLineNumbers w:val="0"/>
                    <w:jc w:val="center"/>
                    <w:textAlignment w:val="center"/>
                    <w:rPr>
                      <w:rFonts w:hint="default" w:ascii="Times New Roman" w:hAnsi="Times New Roman" w:eastAsia="宋体" w:cs="Times New Roman"/>
                      <w:bCs/>
                      <w:color w:val="auto"/>
                      <w:kern w:val="0"/>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0.71 </w:t>
                  </w:r>
                </w:p>
              </w:tc>
              <w:tc>
                <w:tcPr>
                  <w:tcW w:w="622" w:type="dxa"/>
                  <w:tcBorders>
                    <w:tl2br w:val="nil"/>
                    <w:tr2bl w:val="nil"/>
                  </w:tcBorders>
                  <w:noWrap w:val="0"/>
                  <w:vAlign w:val="center"/>
                </w:tcPr>
                <w:p w14:paraId="49C8A670">
                  <w:pPr>
                    <w:keepNext w:val="0"/>
                    <w:keepLines w:val="0"/>
                    <w:widowControl/>
                    <w:suppressLineNumbers w:val="0"/>
                    <w:jc w:val="center"/>
                    <w:textAlignment w:val="center"/>
                    <w:rPr>
                      <w:rFonts w:hint="default" w:ascii="Times New Roman" w:hAnsi="Times New Roman" w:eastAsia="宋体" w:cs="Times New Roman"/>
                      <w:bCs/>
                      <w:color w:val="auto"/>
                      <w:kern w:val="0"/>
                      <w:sz w:val="18"/>
                      <w:szCs w:val="18"/>
                      <w:lang w:val="en-US" w:eastAsia="zh-CN"/>
                    </w:rPr>
                  </w:pPr>
                  <w:r>
                    <w:rPr>
                      <w:rFonts w:hint="default" w:ascii="Times New Roman" w:hAnsi="Times New Roman" w:eastAsia="宋体" w:cs="Times New Roman"/>
                      <w:i w:val="0"/>
                      <w:iCs w:val="0"/>
                      <w:color w:val="auto"/>
                      <w:kern w:val="0"/>
                      <w:sz w:val="18"/>
                      <w:szCs w:val="18"/>
                      <w:u w:val="none"/>
                      <w:lang w:val="en-US" w:eastAsia="zh-CN" w:bidi="ar"/>
                    </w:rPr>
                    <w:t xml:space="preserve">0.102 </w:t>
                  </w:r>
                </w:p>
              </w:tc>
              <w:tc>
                <w:tcPr>
                  <w:tcW w:w="711" w:type="dxa"/>
                  <w:tcBorders>
                    <w:tl2br w:val="nil"/>
                    <w:tr2bl w:val="nil"/>
                  </w:tcBorders>
                  <w:noWrap w:val="0"/>
                  <w:vAlign w:val="center"/>
                </w:tcPr>
                <w:p w14:paraId="2FB07D31">
                  <w:pPr>
                    <w:keepNext w:val="0"/>
                    <w:keepLines w:val="0"/>
                    <w:widowControl/>
                    <w:suppressLineNumbers w:val="0"/>
                    <w:jc w:val="center"/>
                    <w:textAlignment w:val="center"/>
                    <w:rPr>
                      <w:rFonts w:hint="default" w:ascii="Times New Roman" w:hAnsi="Times New Roman" w:cs="Times New Roman"/>
                      <w:bCs/>
                      <w:color w:val="auto"/>
                      <w:kern w:val="0"/>
                      <w:sz w:val="18"/>
                      <w:szCs w:val="18"/>
                      <w:lang w:val="en-US" w:eastAsia="zh-CN"/>
                    </w:rPr>
                  </w:pPr>
                  <w:r>
                    <w:rPr>
                      <w:rFonts w:hint="default" w:ascii="Times New Roman" w:hAnsi="Times New Roman" w:eastAsia="宋体" w:cs="Times New Roman"/>
                      <w:i w:val="0"/>
                      <w:iCs w:val="0"/>
                      <w:color w:val="auto"/>
                      <w:kern w:val="0"/>
                      <w:sz w:val="18"/>
                      <w:szCs w:val="18"/>
                      <w:u w:val="none"/>
                      <w:lang w:val="en-US" w:eastAsia="zh-CN" w:bidi="ar"/>
                    </w:rPr>
                    <w:t xml:space="preserve">5.91 </w:t>
                  </w:r>
                </w:p>
              </w:tc>
              <w:tc>
                <w:tcPr>
                  <w:tcW w:w="487" w:type="dxa"/>
                  <w:tcBorders>
                    <w:tl2br w:val="nil"/>
                    <w:tr2bl w:val="nil"/>
                  </w:tcBorders>
                  <w:shd w:val="clear" w:color="auto" w:fill="auto"/>
                  <w:noWrap w:val="0"/>
                  <w:vAlign w:val="center"/>
                </w:tcPr>
                <w:p w14:paraId="18E679B3">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lang w:val="en-US" w:eastAsia="zh-CN" w:bidi="ar"/>
                    </w:rPr>
                  </w:pPr>
                  <w:r>
                    <w:rPr>
                      <w:rFonts w:hint="eastAsia" w:cs="Times New Roman"/>
                      <w:color w:val="auto"/>
                      <w:kern w:val="0"/>
                      <w:sz w:val="18"/>
                      <w:szCs w:val="18"/>
                      <w:lang w:val="en-US" w:eastAsia="zh-CN" w:bidi="ar"/>
                    </w:rPr>
                    <w:t>10</w:t>
                  </w:r>
                </w:p>
              </w:tc>
            </w:tr>
            <w:tr w14:paraId="7414F6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7" w:type="dxa"/>
                  <w:vMerge w:val="continue"/>
                  <w:tcBorders>
                    <w:tl2br w:val="nil"/>
                    <w:tr2bl w:val="nil"/>
                  </w:tcBorders>
                  <w:shd w:val="clear" w:color="auto" w:fill="auto"/>
                  <w:noWrap w:val="0"/>
                  <w:vAlign w:val="center"/>
                </w:tcPr>
                <w:p w14:paraId="79EA5C7B">
                  <w:pPr>
                    <w:jc w:val="center"/>
                    <w:textAlignment w:val="center"/>
                    <w:rPr>
                      <w:rFonts w:hint="default" w:ascii="Times New Roman" w:hAnsi="Times New Roman" w:eastAsia="宋体" w:cs="Times New Roman"/>
                      <w:color w:val="auto"/>
                      <w:kern w:val="2"/>
                      <w:sz w:val="18"/>
                      <w:szCs w:val="18"/>
                      <w:lang w:val="en-US" w:eastAsia="zh-CN" w:bidi="ar-SA"/>
                    </w:rPr>
                  </w:pPr>
                </w:p>
              </w:tc>
              <w:tc>
                <w:tcPr>
                  <w:tcW w:w="936" w:type="dxa"/>
                  <w:vMerge w:val="continue"/>
                  <w:tcBorders>
                    <w:tl2br w:val="nil"/>
                    <w:tr2bl w:val="nil"/>
                  </w:tcBorders>
                  <w:noWrap w:val="0"/>
                  <w:vAlign w:val="center"/>
                </w:tcPr>
                <w:p w14:paraId="1E6881A4">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rPr>
                  </w:pPr>
                </w:p>
              </w:tc>
              <w:tc>
                <w:tcPr>
                  <w:tcW w:w="606" w:type="dxa"/>
                  <w:tcBorders>
                    <w:tl2br w:val="nil"/>
                    <w:tr2bl w:val="nil"/>
                  </w:tcBorders>
                  <w:shd w:val="clear" w:color="auto" w:fill="auto"/>
                  <w:noWrap w:val="0"/>
                  <w:vAlign w:val="center"/>
                </w:tcPr>
                <w:p w14:paraId="2B5D1E8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cs="Times New Roman"/>
                      <w:bCs/>
                      <w:color w:val="auto"/>
                      <w:kern w:val="0"/>
                      <w:sz w:val="18"/>
                      <w:szCs w:val="18"/>
                      <w:lang w:val="en-US" w:eastAsia="zh-CN"/>
                    </w:rPr>
                    <w:t>SO</w:t>
                  </w:r>
                  <w:r>
                    <w:rPr>
                      <w:rFonts w:hint="eastAsia" w:ascii="Times New Roman" w:hAnsi="Times New Roman" w:cs="Times New Roman"/>
                      <w:bCs/>
                      <w:color w:val="auto"/>
                      <w:kern w:val="0"/>
                      <w:sz w:val="18"/>
                      <w:szCs w:val="18"/>
                      <w:vertAlign w:val="subscript"/>
                      <w:lang w:val="en-US" w:eastAsia="zh-CN"/>
                    </w:rPr>
                    <w:t>2</w:t>
                  </w:r>
                </w:p>
              </w:tc>
              <w:tc>
                <w:tcPr>
                  <w:tcW w:w="523" w:type="dxa"/>
                  <w:tcBorders>
                    <w:tl2br w:val="nil"/>
                    <w:tr2bl w:val="nil"/>
                  </w:tcBorders>
                  <w:noWrap w:val="0"/>
                  <w:vAlign w:val="center"/>
                </w:tcPr>
                <w:p w14:paraId="218A18E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物料衡算</w:t>
                  </w:r>
                </w:p>
              </w:tc>
              <w:tc>
                <w:tcPr>
                  <w:tcW w:w="757" w:type="dxa"/>
                  <w:tcBorders>
                    <w:tl2br w:val="nil"/>
                    <w:tr2bl w:val="nil"/>
                  </w:tcBorders>
                  <w:shd w:val="clear" w:color="auto" w:fill="auto"/>
                  <w:noWrap w:val="0"/>
                  <w:vAlign w:val="center"/>
                </w:tcPr>
                <w:p w14:paraId="308FB55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w:t>
                  </w:r>
                </w:p>
              </w:tc>
              <w:tc>
                <w:tcPr>
                  <w:tcW w:w="918" w:type="dxa"/>
                  <w:vMerge w:val="continue"/>
                  <w:tcBorders>
                    <w:tl2br w:val="nil"/>
                    <w:tr2bl w:val="nil"/>
                  </w:tcBorders>
                  <w:shd w:val="clear" w:color="auto" w:fill="auto"/>
                  <w:noWrap w:val="0"/>
                  <w:vAlign w:val="center"/>
                </w:tcPr>
                <w:p w14:paraId="2F0729A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color w:val="auto"/>
                      <w:sz w:val="18"/>
                      <w:szCs w:val="18"/>
                      <w:lang w:val="en-US" w:eastAsia="zh-CN"/>
                    </w:rPr>
                  </w:pPr>
                </w:p>
              </w:tc>
              <w:tc>
                <w:tcPr>
                  <w:tcW w:w="994" w:type="dxa"/>
                  <w:vMerge w:val="continue"/>
                  <w:tcBorders>
                    <w:tl2br w:val="nil"/>
                    <w:tr2bl w:val="nil"/>
                  </w:tcBorders>
                  <w:shd w:val="clear" w:color="auto" w:fill="auto"/>
                  <w:noWrap w:val="0"/>
                  <w:vAlign w:val="center"/>
                </w:tcPr>
                <w:p w14:paraId="25AB425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18"/>
                      <w:szCs w:val="18"/>
                      <w:lang w:val="en-US" w:eastAsia="zh-CN"/>
                    </w:rPr>
                  </w:pPr>
                </w:p>
              </w:tc>
              <w:tc>
                <w:tcPr>
                  <w:tcW w:w="891" w:type="dxa"/>
                  <w:tcBorders>
                    <w:tl2br w:val="nil"/>
                    <w:tr2bl w:val="nil"/>
                  </w:tcBorders>
                  <w:shd w:val="clear" w:color="auto" w:fill="auto"/>
                  <w:noWrap w:val="0"/>
                  <w:vAlign w:val="center"/>
                </w:tcPr>
                <w:p w14:paraId="26C6247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1.77 </w:t>
                  </w:r>
                </w:p>
              </w:tc>
              <w:tc>
                <w:tcPr>
                  <w:tcW w:w="622" w:type="dxa"/>
                  <w:tcBorders>
                    <w:tl2br w:val="nil"/>
                    <w:tr2bl w:val="nil"/>
                  </w:tcBorders>
                  <w:noWrap w:val="0"/>
                  <w:vAlign w:val="center"/>
                </w:tcPr>
                <w:p w14:paraId="36E924B1">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0.25 </w:t>
                  </w:r>
                </w:p>
              </w:tc>
              <w:tc>
                <w:tcPr>
                  <w:tcW w:w="711" w:type="dxa"/>
                  <w:tcBorders>
                    <w:tl2br w:val="nil"/>
                    <w:tr2bl w:val="nil"/>
                  </w:tcBorders>
                  <w:noWrap w:val="0"/>
                  <w:vAlign w:val="center"/>
                </w:tcPr>
                <w:p w14:paraId="483B8FD3">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14.71 </w:t>
                  </w:r>
                </w:p>
              </w:tc>
              <w:tc>
                <w:tcPr>
                  <w:tcW w:w="487" w:type="dxa"/>
                  <w:tcBorders>
                    <w:tl2br w:val="nil"/>
                    <w:tr2bl w:val="nil"/>
                  </w:tcBorders>
                  <w:shd w:val="clear" w:color="auto" w:fill="auto"/>
                  <w:noWrap w:val="0"/>
                  <w:vAlign w:val="center"/>
                </w:tcPr>
                <w:p w14:paraId="31313646">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lang w:val="en-US" w:eastAsia="zh-CN" w:bidi="ar"/>
                    </w:rPr>
                  </w:pPr>
                  <w:r>
                    <w:rPr>
                      <w:rFonts w:hint="eastAsia" w:cs="Times New Roman"/>
                      <w:color w:val="auto"/>
                      <w:kern w:val="0"/>
                      <w:sz w:val="18"/>
                      <w:szCs w:val="18"/>
                      <w:lang w:val="en-US" w:eastAsia="zh-CN" w:bidi="ar"/>
                    </w:rPr>
                    <w:t>50</w:t>
                  </w:r>
                </w:p>
              </w:tc>
            </w:tr>
            <w:tr w14:paraId="18B247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7" w:type="dxa"/>
                  <w:vMerge w:val="continue"/>
                  <w:tcBorders>
                    <w:tl2br w:val="nil"/>
                    <w:tr2bl w:val="nil"/>
                  </w:tcBorders>
                  <w:shd w:val="clear" w:color="auto" w:fill="auto"/>
                  <w:noWrap w:val="0"/>
                  <w:vAlign w:val="center"/>
                </w:tcPr>
                <w:p w14:paraId="34B23092">
                  <w:pPr>
                    <w:jc w:val="center"/>
                    <w:textAlignment w:val="center"/>
                    <w:rPr>
                      <w:rFonts w:hint="eastAsia"/>
                      <w:color w:val="auto"/>
                      <w:sz w:val="18"/>
                      <w:szCs w:val="18"/>
                    </w:rPr>
                  </w:pPr>
                </w:p>
              </w:tc>
              <w:tc>
                <w:tcPr>
                  <w:tcW w:w="936" w:type="dxa"/>
                  <w:vMerge w:val="continue"/>
                  <w:tcBorders>
                    <w:tl2br w:val="nil"/>
                    <w:tr2bl w:val="nil"/>
                  </w:tcBorders>
                  <w:noWrap w:val="0"/>
                  <w:vAlign w:val="center"/>
                </w:tcPr>
                <w:p w14:paraId="4B0B41B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rPr>
                  </w:pPr>
                </w:p>
              </w:tc>
              <w:tc>
                <w:tcPr>
                  <w:tcW w:w="606" w:type="dxa"/>
                  <w:tcBorders>
                    <w:tl2br w:val="nil"/>
                    <w:tr2bl w:val="nil"/>
                  </w:tcBorders>
                  <w:shd w:val="clear" w:color="auto" w:fill="auto"/>
                  <w:noWrap w:val="0"/>
                  <w:vAlign w:val="center"/>
                </w:tcPr>
                <w:p w14:paraId="20B0372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cs="Times New Roman"/>
                      <w:bCs/>
                      <w:color w:val="auto"/>
                      <w:kern w:val="0"/>
                      <w:sz w:val="18"/>
                      <w:szCs w:val="18"/>
                      <w:lang w:val="en-US" w:eastAsia="zh-CN"/>
                    </w:rPr>
                    <w:t>NO</w:t>
                  </w:r>
                  <w:r>
                    <w:rPr>
                      <w:rFonts w:hint="eastAsia" w:ascii="Times New Roman" w:hAnsi="Times New Roman" w:cs="Times New Roman"/>
                      <w:bCs/>
                      <w:color w:val="auto"/>
                      <w:kern w:val="0"/>
                      <w:sz w:val="18"/>
                      <w:szCs w:val="18"/>
                      <w:vertAlign w:val="subscript"/>
                      <w:lang w:val="en-US" w:eastAsia="zh-CN"/>
                    </w:rPr>
                    <w:t>X</w:t>
                  </w:r>
                </w:p>
              </w:tc>
              <w:tc>
                <w:tcPr>
                  <w:tcW w:w="523" w:type="dxa"/>
                  <w:tcBorders>
                    <w:tl2br w:val="nil"/>
                    <w:tr2bl w:val="nil"/>
                  </w:tcBorders>
                  <w:noWrap w:val="0"/>
                  <w:vAlign w:val="center"/>
                </w:tcPr>
                <w:p w14:paraId="73688D9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lang w:val="en-US" w:eastAsia="zh-CN"/>
                    </w:rPr>
                  </w:pPr>
                  <w:r>
                    <w:rPr>
                      <w:rFonts w:hint="eastAsia" w:cs="Times New Roman"/>
                      <w:bCs/>
                      <w:color w:val="auto"/>
                      <w:kern w:val="0"/>
                      <w:sz w:val="18"/>
                      <w:szCs w:val="18"/>
                      <w:lang w:val="en-US" w:eastAsia="zh-CN"/>
                    </w:rPr>
                    <w:t>类比法</w:t>
                  </w:r>
                </w:p>
              </w:tc>
              <w:tc>
                <w:tcPr>
                  <w:tcW w:w="757" w:type="dxa"/>
                  <w:tcBorders>
                    <w:tl2br w:val="nil"/>
                    <w:tr2bl w:val="nil"/>
                  </w:tcBorders>
                  <w:shd w:val="clear" w:color="auto" w:fill="auto"/>
                  <w:noWrap w:val="0"/>
                  <w:vAlign w:val="center"/>
                </w:tcPr>
                <w:p w14:paraId="4514255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2.195</w:t>
                  </w:r>
                </w:p>
              </w:tc>
              <w:tc>
                <w:tcPr>
                  <w:tcW w:w="918" w:type="dxa"/>
                  <w:vMerge w:val="continue"/>
                  <w:tcBorders>
                    <w:tl2br w:val="nil"/>
                    <w:tr2bl w:val="nil"/>
                  </w:tcBorders>
                  <w:shd w:val="clear" w:color="auto" w:fill="auto"/>
                  <w:noWrap w:val="0"/>
                  <w:vAlign w:val="center"/>
                </w:tcPr>
                <w:p w14:paraId="2EFA286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lang w:val="en-US" w:eastAsia="zh-CN" w:bidi="ar-SA"/>
                    </w:rPr>
                  </w:pPr>
                </w:p>
              </w:tc>
              <w:tc>
                <w:tcPr>
                  <w:tcW w:w="994" w:type="dxa"/>
                  <w:vMerge w:val="continue"/>
                  <w:tcBorders>
                    <w:tl2br w:val="nil"/>
                    <w:tr2bl w:val="nil"/>
                  </w:tcBorders>
                  <w:shd w:val="clear" w:color="auto" w:fill="auto"/>
                  <w:noWrap w:val="0"/>
                  <w:vAlign w:val="center"/>
                </w:tcPr>
                <w:p w14:paraId="575EDF1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bCs/>
                      <w:color w:val="auto"/>
                      <w:kern w:val="0"/>
                      <w:sz w:val="18"/>
                      <w:szCs w:val="18"/>
                      <w:lang w:val="en-US" w:eastAsia="zh-CN"/>
                    </w:rPr>
                  </w:pPr>
                </w:p>
              </w:tc>
              <w:tc>
                <w:tcPr>
                  <w:tcW w:w="891" w:type="dxa"/>
                  <w:tcBorders>
                    <w:tl2br w:val="nil"/>
                    <w:tr2bl w:val="nil"/>
                  </w:tcBorders>
                  <w:shd w:val="clear" w:color="auto" w:fill="auto"/>
                  <w:noWrap w:val="0"/>
                  <w:vAlign w:val="center"/>
                </w:tcPr>
                <w:p w14:paraId="152D89E3">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10.24 </w:t>
                  </w:r>
                </w:p>
              </w:tc>
              <w:tc>
                <w:tcPr>
                  <w:tcW w:w="622" w:type="dxa"/>
                  <w:tcBorders>
                    <w:tl2br w:val="nil"/>
                    <w:tr2bl w:val="nil"/>
                  </w:tcBorders>
                  <w:noWrap w:val="0"/>
                  <w:vAlign w:val="center"/>
                </w:tcPr>
                <w:p w14:paraId="1F82B3CA">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1.463 </w:t>
                  </w:r>
                </w:p>
              </w:tc>
              <w:tc>
                <w:tcPr>
                  <w:tcW w:w="711" w:type="dxa"/>
                  <w:tcBorders>
                    <w:tl2br w:val="nil"/>
                    <w:tr2bl w:val="nil"/>
                  </w:tcBorders>
                  <w:noWrap w:val="0"/>
                  <w:vAlign w:val="center"/>
                </w:tcPr>
                <w:p w14:paraId="5C5FC424">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85.17 </w:t>
                  </w:r>
                </w:p>
              </w:tc>
              <w:tc>
                <w:tcPr>
                  <w:tcW w:w="487" w:type="dxa"/>
                  <w:tcBorders>
                    <w:tl2br w:val="nil"/>
                    <w:tr2bl w:val="nil"/>
                  </w:tcBorders>
                  <w:shd w:val="clear" w:color="auto" w:fill="auto"/>
                  <w:noWrap w:val="0"/>
                  <w:vAlign w:val="center"/>
                </w:tcPr>
                <w:p w14:paraId="1477B291">
                  <w:pPr>
                    <w:keepNext w:val="0"/>
                    <w:keepLines w:val="0"/>
                    <w:widowControl/>
                    <w:suppressLineNumbers w:val="0"/>
                    <w:spacing w:line="240" w:lineRule="auto"/>
                    <w:ind w:firstLine="0" w:firstLineChars="0"/>
                    <w:jc w:val="center"/>
                    <w:rPr>
                      <w:rFonts w:hint="eastAsia" w:ascii="Times New Roman" w:hAnsi="Times New Roman" w:eastAsia="宋体" w:cs="Times New Roman"/>
                      <w:color w:val="auto"/>
                      <w:kern w:val="0"/>
                      <w:sz w:val="18"/>
                      <w:szCs w:val="18"/>
                      <w:lang w:val="en-US" w:eastAsia="zh-CN" w:bidi="ar"/>
                    </w:rPr>
                  </w:pPr>
                  <w:r>
                    <w:rPr>
                      <w:rFonts w:hint="eastAsia" w:cs="Times New Roman"/>
                      <w:color w:val="auto"/>
                      <w:kern w:val="0"/>
                      <w:sz w:val="18"/>
                      <w:szCs w:val="18"/>
                      <w:lang w:val="en-US" w:eastAsia="zh-CN" w:bidi="ar"/>
                    </w:rPr>
                    <w:t>200</w:t>
                  </w:r>
                </w:p>
              </w:tc>
            </w:tr>
            <w:tr w14:paraId="51B92B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7" w:type="dxa"/>
                  <w:vMerge w:val="continue"/>
                  <w:tcBorders>
                    <w:tl2br w:val="nil"/>
                    <w:tr2bl w:val="nil"/>
                  </w:tcBorders>
                  <w:shd w:val="clear" w:color="auto" w:fill="auto"/>
                  <w:noWrap w:val="0"/>
                  <w:vAlign w:val="center"/>
                </w:tcPr>
                <w:p w14:paraId="646A5737">
                  <w:pPr>
                    <w:jc w:val="center"/>
                    <w:textAlignment w:val="center"/>
                    <w:rPr>
                      <w:rFonts w:hint="eastAsia"/>
                      <w:color w:val="auto"/>
                      <w:sz w:val="18"/>
                      <w:szCs w:val="18"/>
                    </w:rPr>
                  </w:pPr>
                </w:p>
              </w:tc>
              <w:tc>
                <w:tcPr>
                  <w:tcW w:w="936" w:type="dxa"/>
                  <w:vMerge w:val="continue"/>
                  <w:tcBorders>
                    <w:tl2br w:val="nil"/>
                    <w:tr2bl w:val="nil"/>
                  </w:tcBorders>
                  <w:noWrap w:val="0"/>
                  <w:vAlign w:val="center"/>
                </w:tcPr>
                <w:p w14:paraId="514440A8">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rPr>
                  </w:pPr>
                </w:p>
              </w:tc>
              <w:tc>
                <w:tcPr>
                  <w:tcW w:w="606" w:type="dxa"/>
                  <w:tcBorders>
                    <w:tl2br w:val="nil"/>
                    <w:tr2bl w:val="nil"/>
                  </w:tcBorders>
                  <w:shd w:val="clear" w:color="auto" w:fill="auto"/>
                  <w:noWrap w:val="0"/>
                  <w:vAlign w:val="center"/>
                </w:tcPr>
                <w:p w14:paraId="42F1F90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bidi="ar-SA"/>
                    </w:rPr>
                  </w:pPr>
                  <w:r>
                    <w:rPr>
                      <w:rFonts w:hint="eastAsia" w:ascii="Times New Roman" w:hAnsi="Times New Roman" w:cs="Times New Roman"/>
                      <w:bCs/>
                      <w:color w:val="auto"/>
                      <w:kern w:val="0"/>
                      <w:sz w:val="18"/>
                      <w:szCs w:val="18"/>
                      <w:lang w:val="en-US" w:eastAsia="zh-CN"/>
                    </w:rPr>
                    <w:t>废气量</w:t>
                  </w:r>
                </w:p>
              </w:tc>
              <w:tc>
                <w:tcPr>
                  <w:tcW w:w="523" w:type="dxa"/>
                  <w:tcBorders>
                    <w:tl2br w:val="nil"/>
                    <w:tr2bl w:val="nil"/>
                  </w:tcBorders>
                  <w:noWrap w:val="0"/>
                  <w:vAlign w:val="center"/>
                </w:tcPr>
                <w:p w14:paraId="1B0F9C8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设计值</w:t>
                  </w:r>
                </w:p>
              </w:tc>
              <w:tc>
                <w:tcPr>
                  <w:tcW w:w="757" w:type="dxa"/>
                  <w:tcBorders>
                    <w:tl2br w:val="nil"/>
                    <w:tr2bl w:val="nil"/>
                  </w:tcBorders>
                  <w:noWrap w:val="0"/>
                  <w:vAlign w:val="center"/>
                </w:tcPr>
                <w:p w14:paraId="44E04D3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w:t>
                  </w:r>
                </w:p>
              </w:tc>
              <w:tc>
                <w:tcPr>
                  <w:tcW w:w="918" w:type="dxa"/>
                  <w:vMerge w:val="continue"/>
                  <w:tcBorders>
                    <w:tl2br w:val="nil"/>
                    <w:tr2bl w:val="nil"/>
                  </w:tcBorders>
                  <w:noWrap w:val="0"/>
                  <w:vAlign w:val="center"/>
                </w:tcPr>
                <w:p w14:paraId="14821EC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color w:val="auto"/>
                      <w:sz w:val="18"/>
                      <w:szCs w:val="18"/>
                      <w:lang w:val="en-US" w:eastAsia="zh-CN"/>
                    </w:rPr>
                  </w:pPr>
                </w:p>
              </w:tc>
              <w:tc>
                <w:tcPr>
                  <w:tcW w:w="994" w:type="dxa"/>
                  <w:vMerge w:val="continue"/>
                  <w:tcBorders>
                    <w:tl2br w:val="nil"/>
                    <w:tr2bl w:val="nil"/>
                  </w:tcBorders>
                  <w:noWrap w:val="0"/>
                  <w:vAlign w:val="center"/>
                </w:tcPr>
                <w:p w14:paraId="5FBA7B4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18"/>
                      <w:szCs w:val="18"/>
                      <w:lang w:val="en-US" w:eastAsia="zh-CN"/>
                    </w:rPr>
                  </w:pPr>
                </w:p>
              </w:tc>
              <w:tc>
                <w:tcPr>
                  <w:tcW w:w="891" w:type="dxa"/>
                  <w:tcBorders>
                    <w:tl2br w:val="nil"/>
                    <w:tr2bl w:val="nil"/>
                  </w:tcBorders>
                  <w:noWrap w:val="0"/>
                  <w:vAlign w:val="center"/>
                </w:tcPr>
                <w:p w14:paraId="0F1B8CEA">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17178.9</w:t>
                  </w:r>
                  <w:r>
                    <w:rPr>
                      <w:rFonts w:hint="eastAsia" w:cs="Times New Roman"/>
                      <w:i w:val="0"/>
                      <w:iCs w:val="0"/>
                      <w:color w:val="auto"/>
                      <w:kern w:val="0"/>
                      <w:sz w:val="18"/>
                      <w:szCs w:val="18"/>
                      <w:u w:val="none"/>
                      <w:lang w:val="en-US" w:eastAsia="zh-CN" w:bidi="ar"/>
                    </w:rPr>
                    <w:t>5</w:t>
                  </w:r>
                </w:p>
              </w:tc>
              <w:tc>
                <w:tcPr>
                  <w:tcW w:w="622" w:type="dxa"/>
                  <w:tcBorders>
                    <w:tl2br w:val="nil"/>
                    <w:tr2bl w:val="nil"/>
                  </w:tcBorders>
                  <w:shd w:val="clear" w:color="auto" w:fill="auto"/>
                  <w:noWrap w:val="0"/>
                  <w:vAlign w:val="center"/>
                </w:tcPr>
                <w:p w14:paraId="3EB27EB6">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w:t>
                  </w:r>
                </w:p>
              </w:tc>
              <w:tc>
                <w:tcPr>
                  <w:tcW w:w="711" w:type="dxa"/>
                  <w:tcBorders>
                    <w:tl2br w:val="nil"/>
                    <w:tr2bl w:val="nil"/>
                  </w:tcBorders>
                  <w:shd w:val="clear" w:color="auto" w:fill="auto"/>
                  <w:noWrap w:val="0"/>
                  <w:vAlign w:val="center"/>
                </w:tcPr>
                <w:p w14:paraId="2B6A0A5F">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w:t>
                  </w:r>
                </w:p>
              </w:tc>
              <w:tc>
                <w:tcPr>
                  <w:tcW w:w="487" w:type="dxa"/>
                  <w:tcBorders>
                    <w:tl2br w:val="nil"/>
                    <w:tr2bl w:val="nil"/>
                  </w:tcBorders>
                  <w:shd w:val="clear" w:color="auto" w:fill="auto"/>
                  <w:noWrap w:val="0"/>
                  <w:vAlign w:val="center"/>
                </w:tcPr>
                <w:p w14:paraId="53CDE47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r>
            <w:tr w14:paraId="34B8FD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7" w:type="dxa"/>
                  <w:vMerge w:val="restart"/>
                  <w:tcBorders>
                    <w:tl2br w:val="nil"/>
                    <w:tr2bl w:val="nil"/>
                  </w:tcBorders>
                  <w:shd w:val="clear" w:color="auto" w:fill="auto"/>
                  <w:noWrap w:val="0"/>
                  <w:vAlign w:val="center"/>
                </w:tcPr>
                <w:p w14:paraId="6770B17B">
                  <w:pPr>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常化</w:t>
                  </w:r>
                  <w:r>
                    <w:rPr>
                      <w:rFonts w:hint="eastAsia"/>
                      <w:bCs/>
                      <w:color w:val="auto"/>
                      <w:sz w:val="18"/>
                      <w:szCs w:val="18"/>
                      <w:highlight w:val="none"/>
                      <w:lang w:val="en-US" w:eastAsia="zh-CN"/>
                    </w:rPr>
                    <w:t>辐射管加热炉燃烧废气</w:t>
                  </w:r>
                </w:p>
              </w:tc>
              <w:tc>
                <w:tcPr>
                  <w:tcW w:w="936" w:type="dxa"/>
                  <w:vMerge w:val="restart"/>
                  <w:tcBorders>
                    <w:tl2br w:val="nil"/>
                    <w:tr2bl w:val="nil"/>
                  </w:tcBorders>
                  <w:noWrap w:val="0"/>
                  <w:vAlign w:val="center"/>
                </w:tcPr>
                <w:p w14:paraId="636E592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rPr>
                  </w:pPr>
                  <w:r>
                    <w:rPr>
                      <w:rFonts w:hint="eastAsia" w:ascii="Times New Roman" w:hAnsi="Times New Roman" w:eastAsia="宋体" w:cs="Times New Roman"/>
                      <w:bCs/>
                      <w:color w:val="auto"/>
                      <w:kern w:val="0"/>
                      <w:sz w:val="18"/>
                      <w:szCs w:val="18"/>
                      <w:lang w:val="en-US" w:eastAsia="zh-CN"/>
                    </w:rPr>
                    <w:t xml:space="preserve">2357895 </w:t>
                  </w:r>
                </w:p>
              </w:tc>
              <w:tc>
                <w:tcPr>
                  <w:tcW w:w="606" w:type="dxa"/>
                  <w:tcBorders>
                    <w:tl2br w:val="nil"/>
                    <w:tr2bl w:val="nil"/>
                  </w:tcBorders>
                  <w:shd w:val="clear" w:color="auto" w:fill="auto"/>
                  <w:noWrap w:val="0"/>
                  <w:vAlign w:val="center"/>
                </w:tcPr>
                <w:p w14:paraId="3E7F63F8">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bidi="ar-SA"/>
                    </w:rPr>
                  </w:pPr>
                  <w:r>
                    <w:rPr>
                      <w:rFonts w:hint="eastAsia" w:ascii="Times New Roman" w:hAnsi="Times New Roman" w:cs="Times New Roman"/>
                      <w:bCs/>
                      <w:color w:val="auto"/>
                      <w:kern w:val="0"/>
                      <w:sz w:val="18"/>
                      <w:szCs w:val="18"/>
                      <w:lang w:val="en-US" w:eastAsia="zh-CN"/>
                    </w:rPr>
                    <w:t>颗粒物</w:t>
                  </w:r>
                </w:p>
              </w:tc>
              <w:tc>
                <w:tcPr>
                  <w:tcW w:w="523" w:type="dxa"/>
                  <w:tcBorders>
                    <w:tl2br w:val="nil"/>
                    <w:tr2bl w:val="nil"/>
                  </w:tcBorders>
                  <w:shd w:val="clear" w:color="auto" w:fill="auto"/>
                  <w:noWrap w:val="0"/>
                  <w:vAlign w:val="center"/>
                </w:tcPr>
                <w:p w14:paraId="4323CD7B">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bidi="ar-SA"/>
                    </w:rPr>
                  </w:pPr>
                  <w:r>
                    <w:rPr>
                      <w:rFonts w:hint="eastAsia" w:cs="Times New Roman"/>
                      <w:bCs/>
                      <w:color w:val="auto"/>
                      <w:kern w:val="0"/>
                      <w:sz w:val="18"/>
                      <w:szCs w:val="18"/>
                      <w:lang w:val="en-US" w:eastAsia="zh-CN"/>
                    </w:rPr>
                    <w:t>类比法</w:t>
                  </w:r>
                </w:p>
              </w:tc>
              <w:tc>
                <w:tcPr>
                  <w:tcW w:w="757" w:type="dxa"/>
                  <w:tcBorders>
                    <w:tl2br w:val="nil"/>
                    <w:tr2bl w:val="nil"/>
                  </w:tcBorders>
                  <w:noWrap w:val="0"/>
                  <w:vAlign w:val="center"/>
                </w:tcPr>
                <w:p w14:paraId="08537736">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cs="Times New Roman"/>
                      <w:bCs/>
                      <w:color w:val="auto"/>
                      <w:kern w:val="0"/>
                      <w:sz w:val="18"/>
                      <w:szCs w:val="18"/>
                      <w:lang w:val="en-US" w:eastAsia="zh-CN"/>
                    </w:rPr>
                  </w:pPr>
                  <w:r>
                    <w:rPr>
                      <w:rFonts w:hint="eastAsia" w:cs="Times New Roman"/>
                      <w:bCs/>
                      <w:color w:val="auto"/>
                      <w:kern w:val="0"/>
                      <w:sz w:val="18"/>
                      <w:szCs w:val="18"/>
                      <w:lang w:val="en-US" w:eastAsia="zh-CN"/>
                    </w:rPr>
                    <w:t>0.041</w:t>
                  </w:r>
                </w:p>
              </w:tc>
              <w:tc>
                <w:tcPr>
                  <w:tcW w:w="918" w:type="dxa"/>
                  <w:vMerge w:val="continue"/>
                  <w:tcBorders>
                    <w:tl2br w:val="nil"/>
                    <w:tr2bl w:val="nil"/>
                  </w:tcBorders>
                  <w:noWrap w:val="0"/>
                  <w:vAlign w:val="center"/>
                </w:tcPr>
                <w:p w14:paraId="080F4A35">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cs="Times New Roman"/>
                      <w:bCs/>
                      <w:color w:val="auto"/>
                      <w:kern w:val="0"/>
                      <w:sz w:val="18"/>
                      <w:szCs w:val="18"/>
                      <w:lang w:val="en-US" w:eastAsia="zh-CN"/>
                    </w:rPr>
                  </w:pPr>
                </w:p>
              </w:tc>
              <w:tc>
                <w:tcPr>
                  <w:tcW w:w="994" w:type="dxa"/>
                  <w:vMerge w:val="restart"/>
                  <w:tcBorders>
                    <w:tl2br w:val="nil"/>
                    <w:tr2bl w:val="nil"/>
                  </w:tcBorders>
                  <w:noWrap w:val="0"/>
                  <w:vAlign w:val="center"/>
                </w:tcPr>
                <w:p w14:paraId="7C2F7912">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cs="Times New Roman"/>
                      <w:bCs/>
                      <w:color w:val="auto"/>
                      <w:kern w:val="0"/>
                      <w:sz w:val="18"/>
                      <w:szCs w:val="18"/>
                      <w:lang w:val="en-US" w:eastAsia="zh-CN"/>
                    </w:rPr>
                  </w:pPr>
                  <w:r>
                    <w:rPr>
                      <w:rFonts w:hint="eastAsia" w:cs="Times New Roman"/>
                      <w:bCs/>
                      <w:color w:val="auto"/>
                      <w:kern w:val="0"/>
                      <w:sz w:val="18"/>
                      <w:szCs w:val="18"/>
                      <w:lang w:val="en-US" w:eastAsia="zh-CN"/>
                    </w:rPr>
                    <w:t>低氮燃烧技术+DA002排气筒</w:t>
                  </w:r>
                </w:p>
              </w:tc>
              <w:tc>
                <w:tcPr>
                  <w:tcW w:w="891" w:type="dxa"/>
                  <w:tcBorders>
                    <w:tl2br w:val="nil"/>
                    <w:tr2bl w:val="nil"/>
                  </w:tcBorders>
                  <w:noWrap w:val="0"/>
                  <w:vAlign w:val="center"/>
                </w:tcPr>
                <w:p w14:paraId="4BC54BF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0.27 </w:t>
                  </w:r>
                </w:p>
              </w:tc>
              <w:tc>
                <w:tcPr>
                  <w:tcW w:w="622" w:type="dxa"/>
                  <w:tcBorders>
                    <w:tl2br w:val="nil"/>
                    <w:tr2bl w:val="nil"/>
                  </w:tcBorders>
                  <w:noWrap w:val="0"/>
                  <w:vAlign w:val="center"/>
                </w:tcPr>
                <w:p w14:paraId="71E64243">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0.04 </w:t>
                  </w:r>
                </w:p>
              </w:tc>
              <w:tc>
                <w:tcPr>
                  <w:tcW w:w="711" w:type="dxa"/>
                  <w:tcBorders>
                    <w:tl2br w:val="nil"/>
                    <w:tr2bl w:val="nil"/>
                  </w:tcBorders>
                  <w:shd w:val="clear" w:color="auto" w:fill="auto"/>
                  <w:noWrap w:val="0"/>
                  <w:vAlign w:val="center"/>
                </w:tcPr>
                <w:p w14:paraId="40A486C6">
                  <w:pPr>
                    <w:keepNext w:val="0"/>
                    <w:keepLines w:val="0"/>
                    <w:widowControl/>
                    <w:suppressLineNumbers w:val="0"/>
                    <w:jc w:val="center"/>
                    <w:textAlignment w:val="center"/>
                    <w:rPr>
                      <w:rFonts w:hint="default" w:ascii="Times New Roman" w:hAnsi="Times New Roman" w:eastAsia="宋体" w:cs="Times New Roman"/>
                      <w:bCs/>
                      <w:color w:val="auto"/>
                      <w:kern w:val="0"/>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8.42 </w:t>
                  </w:r>
                </w:p>
              </w:tc>
              <w:tc>
                <w:tcPr>
                  <w:tcW w:w="487" w:type="dxa"/>
                  <w:tcBorders>
                    <w:tl2br w:val="nil"/>
                    <w:tr2bl w:val="nil"/>
                  </w:tcBorders>
                  <w:shd w:val="clear" w:color="auto" w:fill="auto"/>
                  <w:noWrap w:val="0"/>
                  <w:vAlign w:val="center"/>
                </w:tcPr>
                <w:p w14:paraId="05FD3AC3">
                  <w:pPr>
                    <w:keepNext w:val="0"/>
                    <w:keepLines w:val="0"/>
                    <w:widowControl/>
                    <w:suppressLineNumbers w:val="0"/>
                    <w:spacing w:line="240" w:lineRule="auto"/>
                    <w:ind w:firstLine="0" w:firstLineChars="0"/>
                    <w:jc w:val="center"/>
                    <w:rPr>
                      <w:rFonts w:hint="eastAsia" w:ascii="Times New Roman" w:hAnsi="Times New Roman" w:eastAsia="宋体" w:cs="Times New Roman"/>
                      <w:color w:val="auto"/>
                      <w:kern w:val="0"/>
                      <w:sz w:val="18"/>
                      <w:szCs w:val="18"/>
                      <w:lang w:val="en-US" w:eastAsia="zh-CN" w:bidi="ar"/>
                    </w:rPr>
                  </w:pPr>
                  <w:r>
                    <w:rPr>
                      <w:rFonts w:hint="eastAsia" w:cs="Times New Roman"/>
                      <w:color w:val="auto"/>
                      <w:kern w:val="0"/>
                      <w:sz w:val="18"/>
                      <w:szCs w:val="18"/>
                      <w:lang w:val="en-US" w:eastAsia="zh-CN" w:bidi="ar"/>
                    </w:rPr>
                    <w:t>10</w:t>
                  </w:r>
                </w:p>
              </w:tc>
            </w:tr>
            <w:tr w14:paraId="3B8C52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7" w:type="dxa"/>
                  <w:vMerge w:val="continue"/>
                  <w:tcBorders>
                    <w:tl2br w:val="nil"/>
                    <w:tr2bl w:val="nil"/>
                  </w:tcBorders>
                  <w:shd w:val="clear" w:color="auto" w:fill="auto"/>
                  <w:noWrap w:val="0"/>
                  <w:vAlign w:val="center"/>
                </w:tcPr>
                <w:p w14:paraId="2E5B27BF">
                  <w:pPr>
                    <w:jc w:val="center"/>
                    <w:textAlignment w:val="center"/>
                    <w:rPr>
                      <w:rFonts w:hint="eastAsia"/>
                      <w:color w:val="auto"/>
                      <w:sz w:val="18"/>
                      <w:szCs w:val="18"/>
                    </w:rPr>
                  </w:pPr>
                </w:p>
              </w:tc>
              <w:tc>
                <w:tcPr>
                  <w:tcW w:w="936" w:type="dxa"/>
                  <w:vMerge w:val="continue"/>
                  <w:tcBorders>
                    <w:tl2br w:val="nil"/>
                    <w:tr2bl w:val="nil"/>
                  </w:tcBorders>
                  <w:noWrap w:val="0"/>
                  <w:vAlign w:val="center"/>
                </w:tcPr>
                <w:p w14:paraId="4F42EB6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rPr>
                  </w:pPr>
                </w:p>
              </w:tc>
              <w:tc>
                <w:tcPr>
                  <w:tcW w:w="606" w:type="dxa"/>
                  <w:tcBorders>
                    <w:tl2br w:val="nil"/>
                    <w:tr2bl w:val="nil"/>
                  </w:tcBorders>
                  <w:shd w:val="clear" w:color="auto" w:fill="auto"/>
                  <w:noWrap w:val="0"/>
                  <w:vAlign w:val="center"/>
                </w:tcPr>
                <w:p w14:paraId="7AD7687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cs="Times New Roman"/>
                      <w:bCs/>
                      <w:color w:val="auto"/>
                      <w:kern w:val="0"/>
                      <w:sz w:val="18"/>
                      <w:szCs w:val="18"/>
                      <w:lang w:val="en-US" w:eastAsia="zh-CN"/>
                    </w:rPr>
                    <w:t>SO</w:t>
                  </w:r>
                  <w:r>
                    <w:rPr>
                      <w:rFonts w:hint="eastAsia" w:ascii="Times New Roman" w:hAnsi="Times New Roman" w:cs="Times New Roman"/>
                      <w:bCs/>
                      <w:color w:val="auto"/>
                      <w:kern w:val="0"/>
                      <w:sz w:val="18"/>
                      <w:szCs w:val="18"/>
                      <w:vertAlign w:val="subscript"/>
                      <w:lang w:val="en-US" w:eastAsia="zh-CN"/>
                    </w:rPr>
                    <w:t>2</w:t>
                  </w:r>
                </w:p>
              </w:tc>
              <w:tc>
                <w:tcPr>
                  <w:tcW w:w="523" w:type="dxa"/>
                  <w:tcBorders>
                    <w:tl2br w:val="nil"/>
                    <w:tr2bl w:val="nil"/>
                  </w:tcBorders>
                  <w:shd w:val="clear" w:color="auto" w:fill="auto"/>
                  <w:noWrap w:val="0"/>
                  <w:vAlign w:val="center"/>
                </w:tcPr>
                <w:p w14:paraId="56C624D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物料衡算</w:t>
                  </w:r>
                </w:p>
              </w:tc>
              <w:tc>
                <w:tcPr>
                  <w:tcW w:w="757" w:type="dxa"/>
                  <w:tcBorders>
                    <w:tl2br w:val="nil"/>
                    <w:tr2bl w:val="nil"/>
                  </w:tcBorders>
                  <w:noWrap w:val="0"/>
                  <w:vAlign w:val="center"/>
                </w:tcPr>
                <w:p w14:paraId="198F927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w:t>
                  </w:r>
                </w:p>
              </w:tc>
              <w:tc>
                <w:tcPr>
                  <w:tcW w:w="918" w:type="dxa"/>
                  <w:vMerge w:val="continue"/>
                  <w:tcBorders>
                    <w:tl2br w:val="nil"/>
                    <w:tr2bl w:val="nil"/>
                  </w:tcBorders>
                  <w:noWrap w:val="0"/>
                  <w:vAlign w:val="center"/>
                </w:tcPr>
                <w:p w14:paraId="2F8FD99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18"/>
                      <w:szCs w:val="18"/>
                      <w:lang w:val="en-US" w:eastAsia="zh-CN"/>
                    </w:rPr>
                  </w:pPr>
                </w:p>
              </w:tc>
              <w:tc>
                <w:tcPr>
                  <w:tcW w:w="994" w:type="dxa"/>
                  <w:vMerge w:val="continue"/>
                  <w:tcBorders>
                    <w:tl2br w:val="nil"/>
                    <w:tr2bl w:val="nil"/>
                  </w:tcBorders>
                  <w:noWrap w:val="0"/>
                  <w:vAlign w:val="center"/>
                </w:tcPr>
                <w:p w14:paraId="6DC1A7E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18"/>
                      <w:szCs w:val="18"/>
                      <w:lang w:val="en-US" w:eastAsia="zh-CN"/>
                    </w:rPr>
                  </w:pPr>
                </w:p>
              </w:tc>
              <w:tc>
                <w:tcPr>
                  <w:tcW w:w="891" w:type="dxa"/>
                  <w:tcBorders>
                    <w:tl2br w:val="nil"/>
                    <w:tr2bl w:val="nil"/>
                  </w:tcBorders>
                  <w:noWrap w:val="0"/>
                  <w:vAlign w:val="center"/>
                </w:tcPr>
                <w:p w14:paraId="747429CF">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0.47</w:t>
                  </w:r>
                </w:p>
              </w:tc>
              <w:tc>
                <w:tcPr>
                  <w:tcW w:w="622" w:type="dxa"/>
                  <w:tcBorders>
                    <w:tl2br w:val="nil"/>
                    <w:tr2bl w:val="nil"/>
                  </w:tcBorders>
                  <w:noWrap w:val="0"/>
                  <w:vAlign w:val="center"/>
                </w:tcPr>
                <w:p w14:paraId="4433F677">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0.067</w:t>
                  </w:r>
                </w:p>
              </w:tc>
              <w:tc>
                <w:tcPr>
                  <w:tcW w:w="711" w:type="dxa"/>
                  <w:tcBorders>
                    <w:tl2br w:val="nil"/>
                    <w:tr2bl w:val="nil"/>
                  </w:tcBorders>
                  <w:shd w:val="clear" w:color="auto" w:fill="auto"/>
                  <w:noWrap w:val="0"/>
                  <w:vAlign w:val="center"/>
                </w:tcPr>
                <w:p w14:paraId="1122E892">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14.63 </w:t>
                  </w:r>
                </w:p>
              </w:tc>
              <w:tc>
                <w:tcPr>
                  <w:tcW w:w="487" w:type="dxa"/>
                  <w:tcBorders>
                    <w:tl2br w:val="nil"/>
                    <w:tr2bl w:val="nil"/>
                  </w:tcBorders>
                  <w:shd w:val="clear" w:color="auto" w:fill="auto"/>
                  <w:noWrap w:val="0"/>
                  <w:vAlign w:val="center"/>
                </w:tcPr>
                <w:p w14:paraId="1329DE67">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lang w:val="en-US" w:eastAsia="zh-CN" w:bidi="ar"/>
                    </w:rPr>
                  </w:pPr>
                  <w:r>
                    <w:rPr>
                      <w:rFonts w:hint="eastAsia" w:cs="Times New Roman"/>
                      <w:color w:val="auto"/>
                      <w:kern w:val="0"/>
                      <w:sz w:val="18"/>
                      <w:szCs w:val="18"/>
                      <w:lang w:val="en-US" w:eastAsia="zh-CN" w:bidi="ar"/>
                    </w:rPr>
                    <w:t>50</w:t>
                  </w:r>
                </w:p>
              </w:tc>
            </w:tr>
            <w:tr w14:paraId="1B8DD0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7" w:type="dxa"/>
                  <w:vMerge w:val="continue"/>
                  <w:tcBorders>
                    <w:tl2br w:val="nil"/>
                    <w:tr2bl w:val="nil"/>
                  </w:tcBorders>
                  <w:shd w:val="clear" w:color="auto" w:fill="auto"/>
                  <w:noWrap w:val="0"/>
                  <w:vAlign w:val="center"/>
                </w:tcPr>
                <w:p w14:paraId="4619024B">
                  <w:pPr>
                    <w:jc w:val="center"/>
                    <w:textAlignment w:val="center"/>
                    <w:rPr>
                      <w:rFonts w:hint="eastAsia"/>
                      <w:color w:val="auto"/>
                      <w:sz w:val="18"/>
                      <w:szCs w:val="18"/>
                    </w:rPr>
                  </w:pPr>
                </w:p>
              </w:tc>
              <w:tc>
                <w:tcPr>
                  <w:tcW w:w="936" w:type="dxa"/>
                  <w:vMerge w:val="continue"/>
                  <w:tcBorders>
                    <w:tl2br w:val="nil"/>
                    <w:tr2bl w:val="nil"/>
                  </w:tcBorders>
                  <w:noWrap w:val="0"/>
                  <w:vAlign w:val="center"/>
                </w:tcPr>
                <w:p w14:paraId="1D7CD262">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rPr>
                  </w:pPr>
                </w:p>
              </w:tc>
              <w:tc>
                <w:tcPr>
                  <w:tcW w:w="606" w:type="dxa"/>
                  <w:tcBorders>
                    <w:tl2br w:val="nil"/>
                    <w:tr2bl w:val="nil"/>
                  </w:tcBorders>
                  <w:shd w:val="clear" w:color="auto" w:fill="auto"/>
                  <w:noWrap w:val="0"/>
                  <w:vAlign w:val="center"/>
                </w:tcPr>
                <w:p w14:paraId="7172949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cs="Times New Roman"/>
                      <w:bCs/>
                      <w:color w:val="auto"/>
                      <w:kern w:val="0"/>
                      <w:sz w:val="18"/>
                      <w:szCs w:val="18"/>
                      <w:lang w:val="en-US" w:eastAsia="zh-CN"/>
                    </w:rPr>
                    <w:t>NO</w:t>
                  </w:r>
                  <w:r>
                    <w:rPr>
                      <w:rFonts w:hint="eastAsia" w:ascii="Times New Roman" w:hAnsi="Times New Roman" w:cs="Times New Roman"/>
                      <w:bCs/>
                      <w:color w:val="auto"/>
                      <w:kern w:val="0"/>
                      <w:sz w:val="18"/>
                      <w:szCs w:val="18"/>
                      <w:vertAlign w:val="subscript"/>
                      <w:lang w:val="en-US" w:eastAsia="zh-CN"/>
                    </w:rPr>
                    <w:t>X</w:t>
                  </w:r>
                </w:p>
              </w:tc>
              <w:tc>
                <w:tcPr>
                  <w:tcW w:w="523" w:type="dxa"/>
                  <w:tcBorders>
                    <w:tl2br w:val="nil"/>
                    <w:tr2bl w:val="nil"/>
                  </w:tcBorders>
                  <w:shd w:val="clear" w:color="auto" w:fill="auto"/>
                  <w:noWrap w:val="0"/>
                  <w:vAlign w:val="center"/>
                </w:tcPr>
                <w:p w14:paraId="6AD3571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bCs/>
                      <w:color w:val="auto"/>
                      <w:kern w:val="0"/>
                      <w:sz w:val="18"/>
                      <w:szCs w:val="18"/>
                      <w:lang w:val="en-US" w:eastAsia="zh-CN"/>
                    </w:rPr>
                    <w:t>类比法</w:t>
                  </w:r>
                </w:p>
              </w:tc>
              <w:tc>
                <w:tcPr>
                  <w:tcW w:w="757" w:type="dxa"/>
                  <w:tcBorders>
                    <w:tl2br w:val="nil"/>
                    <w:tr2bl w:val="nil"/>
                  </w:tcBorders>
                  <w:noWrap w:val="0"/>
                  <w:vAlign w:val="center"/>
                </w:tcPr>
                <w:p w14:paraId="07F2211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bCs/>
                      <w:color w:val="auto"/>
                      <w:kern w:val="0"/>
                      <w:sz w:val="18"/>
                      <w:szCs w:val="18"/>
                      <w:lang w:val="en-US" w:eastAsia="zh-CN"/>
                    </w:rPr>
                  </w:pPr>
                  <w:r>
                    <w:rPr>
                      <w:rFonts w:hint="eastAsia" w:cs="Times New Roman"/>
                      <w:bCs/>
                      <w:color w:val="auto"/>
                      <w:kern w:val="0"/>
                      <w:sz w:val="18"/>
                      <w:szCs w:val="18"/>
                      <w:lang w:val="en-US" w:eastAsia="zh-CN"/>
                    </w:rPr>
                    <w:t>0.585</w:t>
                  </w:r>
                </w:p>
              </w:tc>
              <w:tc>
                <w:tcPr>
                  <w:tcW w:w="918" w:type="dxa"/>
                  <w:vMerge w:val="continue"/>
                  <w:tcBorders>
                    <w:tl2br w:val="nil"/>
                    <w:tr2bl w:val="nil"/>
                  </w:tcBorders>
                  <w:noWrap w:val="0"/>
                  <w:vAlign w:val="center"/>
                </w:tcPr>
                <w:p w14:paraId="50BAEA5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bCs/>
                      <w:color w:val="auto"/>
                      <w:kern w:val="0"/>
                      <w:sz w:val="18"/>
                      <w:szCs w:val="18"/>
                      <w:lang w:val="en-US" w:eastAsia="zh-CN"/>
                    </w:rPr>
                  </w:pPr>
                </w:p>
              </w:tc>
              <w:tc>
                <w:tcPr>
                  <w:tcW w:w="994" w:type="dxa"/>
                  <w:vMerge w:val="continue"/>
                  <w:tcBorders>
                    <w:tl2br w:val="nil"/>
                    <w:tr2bl w:val="nil"/>
                  </w:tcBorders>
                  <w:noWrap w:val="0"/>
                  <w:vAlign w:val="center"/>
                </w:tcPr>
                <w:p w14:paraId="35C0606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bCs/>
                      <w:color w:val="auto"/>
                      <w:kern w:val="0"/>
                      <w:sz w:val="18"/>
                      <w:szCs w:val="18"/>
                      <w:lang w:val="en-US" w:eastAsia="zh-CN"/>
                    </w:rPr>
                  </w:pPr>
                </w:p>
              </w:tc>
              <w:tc>
                <w:tcPr>
                  <w:tcW w:w="891" w:type="dxa"/>
                  <w:tcBorders>
                    <w:tl2br w:val="nil"/>
                    <w:tr2bl w:val="nil"/>
                  </w:tcBorders>
                  <w:noWrap w:val="0"/>
                  <w:vAlign w:val="center"/>
                </w:tcPr>
                <w:p w14:paraId="1363C97D">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3.89 </w:t>
                  </w:r>
                </w:p>
              </w:tc>
              <w:tc>
                <w:tcPr>
                  <w:tcW w:w="622" w:type="dxa"/>
                  <w:tcBorders>
                    <w:tl2br w:val="nil"/>
                    <w:tr2bl w:val="nil"/>
                  </w:tcBorders>
                  <w:noWrap w:val="0"/>
                  <w:vAlign w:val="center"/>
                </w:tcPr>
                <w:p w14:paraId="00EBADAF">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0.56 </w:t>
                  </w:r>
                </w:p>
              </w:tc>
              <w:tc>
                <w:tcPr>
                  <w:tcW w:w="711" w:type="dxa"/>
                  <w:tcBorders>
                    <w:tl2br w:val="nil"/>
                    <w:tr2bl w:val="nil"/>
                  </w:tcBorders>
                  <w:shd w:val="clear" w:color="auto" w:fill="auto"/>
                  <w:noWrap w:val="0"/>
                  <w:vAlign w:val="center"/>
                </w:tcPr>
                <w:p w14:paraId="65A93122">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121.29 </w:t>
                  </w:r>
                </w:p>
              </w:tc>
              <w:tc>
                <w:tcPr>
                  <w:tcW w:w="487" w:type="dxa"/>
                  <w:tcBorders>
                    <w:tl2br w:val="nil"/>
                    <w:tr2bl w:val="nil"/>
                  </w:tcBorders>
                  <w:shd w:val="clear" w:color="auto" w:fill="auto"/>
                  <w:noWrap w:val="0"/>
                  <w:vAlign w:val="center"/>
                </w:tcPr>
                <w:p w14:paraId="4D4588F2">
                  <w:pPr>
                    <w:keepNext w:val="0"/>
                    <w:keepLines w:val="0"/>
                    <w:widowControl/>
                    <w:suppressLineNumbers w:val="0"/>
                    <w:spacing w:line="240" w:lineRule="auto"/>
                    <w:ind w:firstLine="0" w:firstLineChars="0"/>
                    <w:jc w:val="center"/>
                    <w:rPr>
                      <w:rFonts w:hint="eastAsia" w:ascii="Times New Roman" w:hAnsi="Times New Roman" w:eastAsia="宋体" w:cs="Times New Roman"/>
                      <w:color w:val="auto"/>
                      <w:kern w:val="0"/>
                      <w:sz w:val="18"/>
                      <w:szCs w:val="18"/>
                      <w:lang w:val="en-US" w:eastAsia="zh-CN" w:bidi="ar"/>
                    </w:rPr>
                  </w:pPr>
                  <w:r>
                    <w:rPr>
                      <w:rFonts w:hint="eastAsia" w:cs="Times New Roman"/>
                      <w:color w:val="auto"/>
                      <w:kern w:val="0"/>
                      <w:sz w:val="18"/>
                      <w:szCs w:val="18"/>
                      <w:lang w:val="en-US" w:eastAsia="zh-CN" w:bidi="ar"/>
                    </w:rPr>
                    <w:t>200</w:t>
                  </w:r>
                </w:p>
              </w:tc>
            </w:tr>
            <w:tr w14:paraId="328D0C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7" w:type="dxa"/>
                  <w:vMerge w:val="continue"/>
                  <w:tcBorders>
                    <w:tl2br w:val="nil"/>
                    <w:tr2bl w:val="nil"/>
                  </w:tcBorders>
                  <w:shd w:val="clear" w:color="auto" w:fill="auto"/>
                  <w:noWrap w:val="0"/>
                  <w:vAlign w:val="center"/>
                </w:tcPr>
                <w:p w14:paraId="29E13B49">
                  <w:pPr>
                    <w:jc w:val="center"/>
                    <w:textAlignment w:val="center"/>
                    <w:rPr>
                      <w:rFonts w:hint="eastAsia"/>
                      <w:color w:val="auto"/>
                      <w:sz w:val="18"/>
                      <w:szCs w:val="18"/>
                    </w:rPr>
                  </w:pPr>
                </w:p>
              </w:tc>
              <w:tc>
                <w:tcPr>
                  <w:tcW w:w="936" w:type="dxa"/>
                  <w:vMerge w:val="continue"/>
                  <w:tcBorders>
                    <w:tl2br w:val="nil"/>
                    <w:tr2bl w:val="nil"/>
                  </w:tcBorders>
                  <w:noWrap w:val="0"/>
                  <w:vAlign w:val="center"/>
                </w:tcPr>
                <w:p w14:paraId="2080363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rPr>
                  </w:pPr>
                </w:p>
              </w:tc>
              <w:tc>
                <w:tcPr>
                  <w:tcW w:w="606" w:type="dxa"/>
                  <w:tcBorders>
                    <w:tl2br w:val="nil"/>
                    <w:tr2bl w:val="nil"/>
                  </w:tcBorders>
                  <w:shd w:val="clear" w:color="auto" w:fill="auto"/>
                  <w:noWrap w:val="0"/>
                  <w:vAlign w:val="center"/>
                </w:tcPr>
                <w:p w14:paraId="2779B88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bidi="ar-SA"/>
                    </w:rPr>
                  </w:pPr>
                  <w:r>
                    <w:rPr>
                      <w:rFonts w:hint="eastAsia" w:ascii="Times New Roman" w:hAnsi="Times New Roman" w:cs="Times New Roman"/>
                      <w:bCs/>
                      <w:color w:val="auto"/>
                      <w:kern w:val="0"/>
                      <w:sz w:val="18"/>
                      <w:szCs w:val="18"/>
                      <w:lang w:val="en-US" w:eastAsia="zh-CN"/>
                    </w:rPr>
                    <w:t>废气量</w:t>
                  </w:r>
                </w:p>
              </w:tc>
              <w:tc>
                <w:tcPr>
                  <w:tcW w:w="523" w:type="dxa"/>
                  <w:tcBorders>
                    <w:tl2br w:val="nil"/>
                    <w:tr2bl w:val="nil"/>
                  </w:tcBorders>
                  <w:shd w:val="clear" w:color="auto" w:fill="auto"/>
                  <w:noWrap w:val="0"/>
                  <w:vAlign w:val="center"/>
                </w:tcPr>
                <w:p w14:paraId="78BA7F2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产污系数法</w:t>
                  </w:r>
                </w:p>
              </w:tc>
              <w:tc>
                <w:tcPr>
                  <w:tcW w:w="757" w:type="dxa"/>
                  <w:tcBorders>
                    <w:tl2br w:val="nil"/>
                    <w:tr2bl w:val="nil"/>
                  </w:tcBorders>
                  <w:noWrap w:val="0"/>
                  <w:vAlign w:val="center"/>
                </w:tcPr>
                <w:p w14:paraId="385808A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w:t>
                  </w:r>
                </w:p>
              </w:tc>
              <w:tc>
                <w:tcPr>
                  <w:tcW w:w="918" w:type="dxa"/>
                  <w:vMerge w:val="continue"/>
                  <w:tcBorders>
                    <w:tl2br w:val="nil"/>
                    <w:tr2bl w:val="nil"/>
                  </w:tcBorders>
                  <w:noWrap w:val="0"/>
                  <w:vAlign w:val="center"/>
                </w:tcPr>
                <w:p w14:paraId="62F550F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18"/>
                      <w:szCs w:val="18"/>
                      <w:lang w:val="en-US" w:eastAsia="zh-CN"/>
                    </w:rPr>
                  </w:pPr>
                </w:p>
              </w:tc>
              <w:tc>
                <w:tcPr>
                  <w:tcW w:w="994" w:type="dxa"/>
                  <w:vMerge w:val="continue"/>
                  <w:tcBorders>
                    <w:tl2br w:val="nil"/>
                    <w:tr2bl w:val="nil"/>
                  </w:tcBorders>
                  <w:noWrap w:val="0"/>
                  <w:vAlign w:val="center"/>
                </w:tcPr>
                <w:p w14:paraId="014D8B4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18"/>
                      <w:szCs w:val="18"/>
                      <w:lang w:val="en-US" w:eastAsia="zh-CN"/>
                    </w:rPr>
                  </w:pPr>
                </w:p>
              </w:tc>
              <w:tc>
                <w:tcPr>
                  <w:tcW w:w="891" w:type="dxa"/>
                  <w:tcBorders>
                    <w:tl2br w:val="nil"/>
                    <w:tr2bl w:val="nil"/>
                  </w:tcBorders>
                  <w:noWrap w:val="0"/>
                  <w:vAlign w:val="center"/>
                </w:tcPr>
                <w:p w14:paraId="79585A36">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4581.05</w:t>
                  </w:r>
                </w:p>
              </w:tc>
              <w:tc>
                <w:tcPr>
                  <w:tcW w:w="622" w:type="dxa"/>
                  <w:tcBorders>
                    <w:tl2br w:val="nil"/>
                    <w:tr2bl w:val="nil"/>
                  </w:tcBorders>
                  <w:shd w:val="clear" w:color="auto" w:fill="auto"/>
                  <w:noWrap w:val="0"/>
                  <w:vAlign w:val="center"/>
                </w:tcPr>
                <w:p w14:paraId="730E92C4">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w:t>
                  </w:r>
                </w:p>
              </w:tc>
              <w:tc>
                <w:tcPr>
                  <w:tcW w:w="711" w:type="dxa"/>
                  <w:tcBorders>
                    <w:tl2br w:val="nil"/>
                    <w:tr2bl w:val="nil"/>
                  </w:tcBorders>
                  <w:shd w:val="clear" w:color="auto" w:fill="auto"/>
                  <w:noWrap w:val="0"/>
                  <w:vAlign w:val="center"/>
                </w:tcPr>
                <w:p w14:paraId="55AF2F70">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w:t>
                  </w:r>
                </w:p>
              </w:tc>
              <w:tc>
                <w:tcPr>
                  <w:tcW w:w="487" w:type="dxa"/>
                  <w:tcBorders>
                    <w:tl2br w:val="nil"/>
                    <w:tr2bl w:val="nil"/>
                  </w:tcBorders>
                  <w:shd w:val="clear" w:color="auto" w:fill="auto"/>
                  <w:noWrap w:val="0"/>
                  <w:vAlign w:val="center"/>
                </w:tcPr>
                <w:p w14:paraId="00D4F33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r>
            <w:tr w14:paraId="1AD67D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7" w:type="dxa"/>
                  <w:vMerge w:val="restart"/>
                  <w:tcBorders>
                    <w:tl2br w:val="nil"/>
                    <w:tr2bl w:val="nil"/>
                  </w:tcBorders>
                  <w:shd w:val="clear" w:color="auto" w:fill="auto"/>
                  <w:noWrap w:val="0"/>
                  <w:vAlign w:val="center"/>
                </w:tcPr>
                <w:p w14:paraId="12F4CF03">
                  <w:pPr>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脱碳渗氮机组DCL</w:t>
                  </w:r>
                  <w:r>
                    <w:rPr>
                      <w:rFonts w:hint="eastAsia"/>
                      <w:color w:val="auto"/>
                      <w:sz w:val="18"/>
                      <w:szCs w:val="18"/>
                      <w:lang w:val="en-US" w:eastAsia="zh-CN"/>
                    </w:rPr>
                    <w:t>退火炉燃烧废气</w:t>
                  </w:r>
                </w:p>
              </w:tc>
              <w:tc>
                <w:tcPr>
                  <w:tcW w:w="936" w:type="dxa"/>
                  <w:vMerge w:val="restart"/>
                  <w:tcBorders>
                    <w:tl2br w:val="nil"/>
                    <w:tr2bl w:val="nil"/>
                  </w:tcBorders>
                  <w:noWrap w:val="0"/>
                  <w:vAlign w:val="center"/>
                </w:tcPr>
                <w:p w14:paraId="3C5A762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rPr>
                  </w:pPr>
                  <w:r>
                    <w:rPr>
                      <w:rFonts w:hint="eastAsia" w:ascii="Times New Roman" w:hAnsi="Times New Roman" w:eastAsia="宋体" w:cs="Times New Roman"/>
                      <w:bCs/>
                      <w:color w:val="auto"/>
                      <w:kern w:val="0"/>
                      <w:sz w:val="18"/>
                      <w:szCs w:val="18"/>
                      <w:lang w:val="en-US" w:eastAsia="zh-CN"/>
                    </w:rPr>
                    <w:t>3360000</w:t>
                  </w:r>
                </w:p>
              </w:tc>
              <w:tc>
                <w:tcPr>
                  <w:tcW w:w="606" w:type="dxa"/>
                  <w:tcBorders>
                    <w:tl2br w:val="nil"/>
                    <w:tr2bl w:val="nil"/>
                  </w:tcBorders>
                  <w:shd w:val="clear" w:color="auto" w:fill="auto"/>
                  <w:noWrap w:val="0"/>
                  <w:vAlign w:val="center"/>
                </w:tcPr>
                <w:p w14:paraId="0B854342">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bidi="ar-SA"/>
                    </w:rPr>
                  </w:pPr>
                  <w:r>
                    <w:rPr>
                      <w:rFonts w:hint="eastAsia" w:ascii="Times New Roman" w:hAnsi="Times New Roman" w:cs="Times New Roman"/>
                      <w:bCs/>
                      <w:color w:val="auto"/>
                      <w:kern w:val="0"/>
                      <w:sz w:val="18"/>
                      <w:szCs w:val="18"/>
                      <w:lang w:val="en-US" w:eastAsia="zh-CN"/>
                    </w:rPr>
                    <w:t>颗粒物</w:t>
                  </w:r>
                </w:p>
              </w:tc>
              <w:tc>
                <w:tcPr>
                  <w:tcW w:w="523" w:type="dxa"/>
                  <w:tcBorders>
                    <w:tl2br w:val="nil"/>
                    <w:tr2bl w:val="nil"/>
                  </w:tcBorders>
                  <w:shd w:val="clear" w:color="auto" w:fill="auto"/>
                  <w:noWrap w:val="0"/>
                  <w:vAlign w:val="center"/>
                </w:tcPr>
                <w:p w14:paraId="4CE3FB7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bidi="ar-SA"/>
                    </w:rPr>
                  </w:pPr>
                  <w:r>
                    <w:rPr>
                      <w:rFonts w:hint="eastAsia" w:cs="Times New Roman"/>
                      <w:bCs/>
                      <w:color w:val="auto"/>
                      <w:kern w:val="0"/>
                      <w:sz w:val="18"/>
                      <w:szCs w:val="18"/>
                      <w:lang w:val="en-US" w:eastAsia="zh-CN"/>
                    </w:rPr>
                    <w:t>类比法</w:t>
                  </w:r>
                </w:p>
              </w:tc>
              <w:tc>
                <w:tcPr>
                  <w:tcW w:w="757" w:type="dxa"/>
                  <w:tcBorders>
                    <w:tl2br w:val="nil"/>
                    <w:tr2bl w:val="nil"/>
                  </w:tcBorders>
                  <w:noWrap w:val="0"/>
                  <w:vAlign w:val="center"/>
                </w:tcPr>
                <w:p w14:paraId="1592D7EE">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cs="Times New Roman"/>
                      <w:bCs/>
                      <w:color w:val="auto"/>
                      <w:kern w:val="0"/>
                      <w:sz w:val="18"/>
                      <w:szCs w:val="18"/>
                      <w:lang w:val="en-US" w:eastAsia="zh-CN"/>
                    </w:rPr>
                  </w:pPr>
                  <w:r>
                    <w:rPr>
                      <w:rFonts w:hint="eastAsia" w:cs="Times New Roman"/>
                      <w:bCs/>
                      <w:color w:val="auto"/>
                      <w:kern w:val="0"/>
                      <w:sz w:val="18"/>
                      <w:szCs w:val="18"/>
                      <w:lang w:val="en-US" w:eastAsia="zh-CN"/>
                    </w:rPr>
                    <w:t>0.06</w:t>
                  </w:r>
                </w:p>
              </w:tc>
              <w:tc>
                <w:tcPr>
                  <w:tcW w:w="918" w:type="dxa"/>
                  <w:vMerge w:val="continue"/>
                  <w:tcBorders>
                    <w:tl2br w:val="nil"/>
                    <w:tr2bl w:val="nil"/>
                  </w:tcBorders>
                  <w:noWrap w:val="0"/>
                  <w:vAlign w:val="center"/>
                </w:tcPr>
                <w:p w14:paraId="2A4CCDB3">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cs="Times New Roman"/>
                      <w:bCs/>
                      <w:color w:val="auto"/>
                      <w:kern w:val="0"/>
                      <w:sz w:val="18"/>
                      <w:szCs w:val="18"/>
                      <w:lang w:val="en-US" w:eastAsia="zh-CN"/>
                    </w:rPr>
                  </w:pPr>
                </w:p>
              </w:tc>
              <w:tc>
                <w:tcPr>
                  <w:tcW w:w="994" w:type="dxa"/>
                  <w:vMerge w:val="restart"/>
                  <w:tcBorders>
                    <w:tl2br w:val="nil"/>
                    <w:tr2bl w:val="nil"/>
                  </w:tcBorders>
                  <w:noWrap w:val="0"/>
                  <w:vAlign w:val="center"/>
                </w:tcPr>
                <w:p w14:paraId="3DF823E8">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cs="Times New Roman"/>
                      <w:bCs/>
                      <w:color w:val="auto"/>
                      <w:kern w:val="0"/>
                      <w:sz w:val="18"/>
                      <w:szCs w:val="18"/>
                      <w:lang w:val="en-US" w:eastAsia="zh-CN"/>
                    </w:rPr>
                  </w:pPr>
                  <w:r>
                    <w:rPr>
                      <w:rFonts w:hint="eastAsia" w:cs="Times New Roman"/>
                      <w:bCs/>
                      <w:color w:val="auto"/>
                      <w:kern w:val="0"/>
                      <w:sz w:val="18"/>
                      <w:szCs w:val="18"/>
                      <w:lang w:val="en-US" w:eastAsia="zh-CN"/>
                    </w:rPr>
                    <w:t>低氮燃烧技术+DA007排气筒</w:t>
                  </w:r>
                </w:p>
              </w:tc>
              <w:tc>
                <w:tcPr>
                  <w:tcW w:w="891" w:type="dxa"/>
                  <w:tcBorders>
                    <w:tl2br w:val="nil"/>
                    <w:tr2bl w:val="nil"/>
                  </w:tcBorders>
                  <w:noWrap w:val="0"/>
                  <w:vAlign w:val="center"/>
                </w:tcPr>
                <w:p w14:paraId="04B8B8A3">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0.282 </w:t>
                  </w:r>
                </w:p>
              </w:tc>
              <w:tc>
                <w:tcPr>
                  <w:tcW w:w="622" w:type="dxa"/>
                  <w:tcBorders>
                    <w:tl2br w:val="nil"/>
                    <w:tr2bl w:val="nil"/>
                  </w:tcBorders>
                  <w:noWrap w:val="0"/>
                  <w:vAlign w:val="center"/>
                </w:tcPr>
                <w:p w14:paraId="6B6FC182">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0.040 </w:t>
                  </w:r>
                </w:p>
              </w:tc>
              <w:tc>
                <w:tcPr>
                  <w:tcW w:w="711" w:type="dxa"/>
                  <w:tcBorders>
                    <w:tl2br w:val="nil"/>
                    <w:tr2bl w:val="nil"/>
                  </w:tcBorders>
                  <w:shd w:val="clear" w:color="auto" w:fill="auto"/>
                  <w:noWrap w:val="0"/>
                  <w:vAlign w:val="center"/>
                </w:tcPr>
                <w:p w14:paraId="0F292C10">
                  <w:pPr>
                    <w:keepNext w:val="0"/>
                    <w:keepLines w:val="0"/>
                    <w:widowControl/>
                    <w:suppressLineNumbers w:val="0"/>
                    <w:jc w:val="center"/>
                    <w:textAlignment w:val="center"/>
                    <w:rPr>
                      <w:rFonts w:hint="default" w:ascii="Times New Roman" w:hAnsi="Times New Roman" w:eastAsia="宋体" w:cs="Times New Roman"/>
                      <w:bCs/>
                      <w:color w:val="auto"/>
                      <w:kern w:val="0"/>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6.171 </w:t>
                  </w:r>
                </w:p>
              </w:tc>
              <w:tc>
                <w:tcPr>
                  <w:tcW w:w="487" w:type="dxa"/>
                  <w:tcBorders>
                    <w:tl2br w:val="nil"/>
                    <w:tr2bl w:val="nil"/>
                  </w:tcBorders>
                  <w:shd w:val="clear" w:color="auto" w:fill="auto"/>
                  <w:noWrap w:val="0"/>
                  <w:vAlign w:val="center"/>
                </w:tcPr>
                <w:p w14:paraId="2AB3896B">
                  <w:pPr>
                    <w:keepNext w:val="0"/>
                    <w:keepLines w:val="0"/>
                    <w:widowControl/>
                    <w:suppressLineNumbers w:val="0"/>
                    <w:spacing w:line="240" w:lineRule="auto"/>
                    <w:ind w:firstLine="0" w:firstLineChars="0"/>
                    <w:jc w:val="center"/>
                    <w:rPr>
                      <w:rFonts w:hint="eastAsia" w:ascii="Times New Roman" w:hAnsi="Times New Roman" w:eastAsia="宋体" w:cs="Times New Roman"/>
                      <w:color w:val="auto"/>
                      <w:kern w:val="0"/>
                      <w:sz w:val="18"/>
                      <w:szCs w:val="18"/>
                      <w:lang w:val="en-US" w:eastAsia="zh-CN" w:bidi="ar"/>
                    </w:rPr>
                  </w:pPr>
                  <w:r>
                    <w:rPr>
                      <w:rFonts w:hint="eastAsia" w:cs="Times New Roman"/>
                      <w:color w:val="auto"/>
                      <w:kern w:val="0"/>
                      <w:sz w:val="18"/>
                      <w:szCs w:val="18"/>
                      <w:lang w:val="en-US" w:eastAsia="zh-CN" w:bidi="ar"/>
                    </w:rPr>
                    <w:t>10</w:t>
                  </w:r>
                </w:p>
              </w:tc>
            </w:tr>
            <w:tr w14:paraId="784A36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7" w:type="dxa"/>
                  <w:vMerge w:val="continue"/>
                  <w:tcBorders>
                    <w:tl2br w:val="nil"/>
                    <w:tr2bl w:val="nil"/>
                  </w:tcBorders>
                  <w:shd w:val="clear" w:color="auto" w:fill="auto"/>
                  <w:noWrap w:val="0"/>
                  <w:vAlign w:val="center"/>
                </w:tcPr>
                <w:p w14:paraId="57C6D0C3">
                  <w:pPr>
                    <w:jc w:val="center"/>
                    <w:textAlignment w:val="center"/>
                    <w:rPr>
                      <w:rFonts w:hint="eastAsia"/>
                      <w:color w:val="auto"/>
                      <w:sz w:val="18"/>
                      <w:szCs w:val="18"/>
                    </w:rPr>
                  </w:pPr>
                </w:p>
              </w:tc>
              <w:tc>
                <w:tcPr>
                  <w:tcW w:w="936" w:type="dxa"/>
                  <w:vMerge w:val="continue"/>
                  <w:tcBorders>
                    <w:tl2br w:val="nil"/>
                    <w:tr2bl w:val="nil"/>
                  </w:tcBorders>
                  <w:noWrap w:val="0"/>
                  <w:vAlign w:val="center"/>
                </w:tcPr>
                <w:p w14:paraId="5D80EE4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rPr>
                  </w:pPr>
                </w:p>
              </w:tc>
              <w:tc>
                <w:tcPr>
                  <w:tcW w:w="606" w:type="dxa"/>
                  <w:tcBorders>
                    <w:tl2br w:val="nil"/>
                    <w:tr2bl w:val="nil"/>
                  </w:tcBorders>
                  <w:shd w:val="clear" w:color="auto" w:fill="auto"/>
                  <w:noWrap w:val="0"/>
                  <w:vAlign w:val="center"/>
                </w:tcPr>
                <w:p w14:paraId="28FD313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cs="Times New Roman"/>
                      <w:bCs/>
                      <w:color w:val="auto"/>
                      <w:kern w:val="0"/>
                      <w:sz w:val="18"/>
                      <w:szCs w:val="18"/>
                      <w:lang w:val="en-US" w:eastAsia="zh-CN"/>
                    </w:rPr>
                    <w:t>SO</w:t>
                  </w:r>
                  <w:r>
                    <w:rPr>
                      <w:rFonts w:hint="eastAsia" w:ascii="Times New Roman" w:hAnsi="Times New Roman" w:cs="Times New Roman"/>
                      <w:bCs/>
                      <w:color w:val="auto"/>
                      <w:kern w:val="0"/>
                      <w:sz w:val="18"/>
                      <w:szCs w:val="18"/>
                      <w:vertAlign w:val="subscript"/>
                      <w:lang w:val="en-US" w:eastAsia="zh-CN"/>
                    </w:rPr>
                    <w:t>2</w:t>
                  </w:r>
                </w:p>
              </w:tc>
              <w:tc>
                <w:tcPr>
                  <w:tcW w:w="523" w:type="dxa"/>
                  <w:tcBorders>
                    <w:tl2br w:val="nil"/>
                    <w:tr2bl w:val="nil"/>
                  </w:tcBorders>
                  <w:shd w:val="clear" w:color="auto" w:fill="auto"/>
                  <w:noWrap w:val="0"/>
                  <w:vAlign w:val="center"/>
                </w:tcPr>
                <w:p w14:paraId="42D0830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物料衡算</w:t>
                  </w:r>
                </w:p>
              </w:tc>
              <w:tc>
                <w:tcPr>
                  <w:tcW w:w="757" w:type="dxa"/>
                  <w:tcBorders>
                    <w:tl2br w:val="nil"/>
                    <w:tr2bl w:val="nil"/>
                  </w:tcBorders>
                  <w:noWrap w:val="0"/>
                  <w:vAlign w:val="center"/>
                </w:tcPr>
                <w:p w14:paraId="5B16A57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w:t>
                  </w:r>
                </w:p>
              </w:tc>
              <w:tc>
                <w:tcPr>
                  <w:tcW w:w="918" w:type="dxa"/>
                  <w:vMerge w:val="continue"/>
                  <w:tcBorders>
                    <w:tl2br w:val="nil"/>
                    <w:tr2bl w:val="nil"/>
                  </w:tcBorders>
                  <w:noWrap w:val="0"/>
                  <w:vAlign w:val="center"/>
                </w:tcPr>
                <w:p w14:paraId="46AD28B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18"/>
                      <w:szCs w:val="18"/>
                      <w:lang w:val="en-US" w:eastAsia="zh-CN"/>
                    </w:rPr>
                  </w:pPr>
                </w:p>
              </w:tc>
              <w:tc>
                <w:tcPr>
                  <w:tcW w:w="994" w:type="dxa"/>
                  <w:vMerge w:val="continue"/>
                  <w:tcBorders>
                    <w:tl2br w:val="nil"/>
                    <w:tr2bl w:val="nil"/>
                  </w:tcBorders>
                  <w:noWrap w:val="0"/>
                  <w:vAlign w:val="center"/>
                </w:tcPr>
                <w:p w14:paraId="0B5439B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18"/>
                      <w:szCs w:val="18"/>
                      <w:lang w:val="en-US" w:eastAsia="zh-CN"/>
                    </w:rPr>
                  </w:pPr>
                </w:p>
              </w:tc>
              <w:tc>
                <w:tcPr>
                  <w:tcW w:w="891" w:type="dxa"/>
                  <w:tcBorders>
                    <w:tl2br w:val="nil"/>
                    <w:tr2bl w:val="nil"/>
                  </w:tcBorders>
                  <w:noWrap w:val="0"/>
                  <w:vAlign w:val="center"/>
                </w:tcPr>
                <w:p w14:paraId="3F93927A">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0.67</w:t>
                  </w:r>
                </w:p>
              </w:tc>
              <w:tc>
                <w:tcPr>
                  <w:tcW w:w="622" w:type="dxa"/>
                  <w:tcBorders>
                    <w:tl2br w:val="nil"/>
                    <w:tr2bl w:val="nil"/>
                  </w:tcBorders>
                  <w:noWrap w:val="0"/>
                  <w:vAlign w:val="center"/>
                </w:tcPr>
                <w:p w14:paraId="31B280CB">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0.096</w:t>
                  </w:r>
                </w:p>
              </w:tc>
              <w:tc>
                <w:tcPr>
                  <w:tcW w:w="711" w:type="dxa"/>
                  <w:tcBorders>
                    <w:tl2br w:val="nil"/>
                    <w:tr2bl w:val="nil"/>
                  </w:tcBorders>
                  <w:shd w:val="clear" w:color="auto" w:fill="auto"/>
                  <w:noWrap w:val="0"/>
                  <w:vAlign w:val="center"/>
                </w:tcPr>
                <w:p w14:paraId="5475C496">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14.71 </w:t>
                  </w:r>
                </w:p>
              </w:tc>
              <w:tc>
                <w:tcPr>
                  <w:tcW w:w="487" w:type="dxa"/>
                  <w:tcBorders>
                    <w:tl2br w:val="nil"/>
                    <w:tr2bl w:val="nil"/>
                  </w:tcBorders>
                  <w:shd w:val="clear" w:color="auto" w:fill="auto"/>
                  <w:noWrap w:val="0"/>
                  <w:vAlign w:val="center"/>
                </w:tcPr>
                <w:p w14:paraId="5F304409">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lang w:val="en-US" w:eastAsia="zh-CN" w:bidi="ar"/>
                    </w:rPr>
                  </w:pPr>
                  <w:r>
                    <w:rPr>
                      <w:rFonts w:hint="eastAsia" w:cs="Times New Roman"/>
                      <w:color w:val="auto"/>
                      <w:kern w:val="0"/>
                      <w:sz w:val="18"/>
                      <w:szCs w:val="18"/>
                      <w:lang w:val="en-US" w:eastAsia="zh-CN" w:bidi="ar"/>
                    </w:rPr>
                    <w:t>50</w:t>
                  </w:r>
                </w:p>
              </w:tc>
            </w:tr>
            <w:tr w14:paraId="37130A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7" w:type="dxa"/>
                  <w:vMerge w:val="continue"/>
                  <w:tcBorders>
                    <w:tl2br w:val="nil"/>
                    <w:tr2bl w:val="nil"/>
                  </w:tcBorders>
                  <w:shd w:val="clear" w:color="auto" w:fill="auto"/>
                  <w:noWrap w:val="0"/>
                  <w:vAlign w:val="center"/>
                </w:tcPr>
                <w:p w14:paraId="25E006A2">
                  <w:pPr>
                    <w:jc w:val="center"/>
                    <w:textAlignment w:val="center"/>
                    <w:rPr>
                      <w:rFonts w:hint="eastAsia"/>
                      <w:color w:val="auto"/>
                      <w:sz w:val="18"/>
                      <w:szCs w:val="18"/>
                    </w:rPr>
                  </w:pPr>
                </w:p>
              </w:tc>
              <w:tc>
                <w:tcPr>
                  <w:tcW w:w="936" w:type="dxa"/>
                  <w:vMerge w:val="continue"/>
                  <w:tcBorders>
                    <w:tl2br w:val="nil"/>
                    <w:tr2bl w:val="nil"/>
                  </w:tcBorders>
                  <w:noWrap w:val="0"/>
                  <w:vAlign w:val="center"/>
                </w:tcPr>
                <w:p w14:paraId="583F4545">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rPr>
                  </w:pPr>
                </w:p>
              </w:tc>
              <w:tc>
                <w:tcPr>
                  <w:tcW w:w="606" w:type="dxa"/>
                  <w:tcBorders>
                    <w:tl2br w:val="nil"/>
                    <w:tr2bl w:val="nil"/>
                  </w:tcBorders>
                  <w:shd w:val="clear" w:color="auto" w:fill="auto"/>
                  <w:noWrap w:val="0"/>
                  <w:vAlign w:val="center"/>
                </w:tcPr>
                <w:p w14:paraId="787D13C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cs="Times New Roman"/>
                      <w:bCs/>
                      <w:color w:val="auto"/>
                      <w:kern w:val="0"/>
                      <w:sz w:val="18"/>
                      <w:szCs w:val="18"/>
                      <w:lang w:val="en-US" w:eastAsia="zh-CN"/>
                    </w:rPr>
                    <w:t>NO</w:t>
                  </w:r>
                  <w:r>
                    <w:rPr>
                      <w:rFonts w:hint="eastAsia" w:ascii="Times New Roman" w:hAnsi="Times New Roman" w:cs="Times New Roman"/>
                      <w:bCs/>
                      <w:color w:val="auto"/>
                      <w:kern w:val="0"/>
                      <w:sz w:val="18"/>
                      <w:szCs w:val="18"/>
                      <w:vertAlign w:val="subscript"/>
                      <w:lang w:val="en-US" w:eastAsia="zh-CN"/>
                    </w:rPr>
                    <w:t>X</w:t>
                  </w:r>
                </w:p>
              </w:tc>
              <w:tc>
                <w:tcPr>
                  <w:tcW w:w="523" w:type="dxa"/>
                  <w:tcBorders>
                    <w:tl2br w:val="nil"/>
                    <w:tr2bl w:val="nil"/>
                  </w:tcBorders>
                  <w:shd w:val="clear" w:color="auto" w:fill="auto"/>
                  <w:noWrap w:val="0"/>
                  <w:vAlign w:val="center"/>
                </w:tcPr>
                <w:p w14:paraId="036F50C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bCs/>
                      <w:color w:val="auto"/>
                      <w:kern w:val="0"/>
                      <w:sz w:val="18"/>
                      <w:szCs w:val="18"/>
                      <w:lang w:val="en-US" w:eastAsia="zh-CN"/>
                    </w:rPr>
                    <w:t>类比法</w:t>
                  </w:r>
                </w:p>
              </w:tc>
              <w:tc>
                <w:tcPr>
                  <w:tcW w:w="757" w:type="dxa"/>
                  <w:tcBorders>
                    <w:tl2br w:val="nil"/>
                    <w:tr2bl w:val="nil"/>
                  </w:tcBorders>
                  <w:noWrap w:val="0"/>
                  <w:vAlign w:val="center"/>
                </w:tcPr>
                <w:p w14:paraId="1B667F8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bCs/>
                      <w:color w:val="auto"/>
                      <w:kern w:val="0"/>
                      <w:sz w:val="18"/>
                      <w:szCs w:val="18"/>
                      <w:lang w:val="en-US" w:eastAsia="zh-CN"/>
                    </w:rPr>
                  </w:pPr>
                  <w:r>
                    <w:rPr>
                      <w:rFonts w:hint="eastAsia" w:cs="Times New Roman"/>
                      <w:bCs/>
                      <w:color w:val="auto"/>
                      <w:kern w:val="0"/>
                      <w:sz w:val="18"/>
                      <w:szCs w:val="18"/>
                      <w:lang w:val="en-US" w:eastAsia="zh-CN"/>
                    </w:rPr>
                    <w:t>0.89</w:t>
                  </w:r>
                </w:p>
              </w:tc>
              <w:tc>
                <w:tcPr>
                  <w:tcW w:w="918" w:type="dxa"/>
                  <w:vMerge w:val="continue"/>
                  <w:tcBorders>
                    <w:tl2br w:val="nil"/>
                    <w:tr2bl w:val="nil"/>
                  </w:tcBorders>
                  <w:noWrap w:val="0"/>
                  <w:vAlign w:val="center"/>
                </w:tcPr>
                <w:p w14:paraId="2A79C06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bCs/>
                      <w:color w:val="auto"/>
                      <w:kern w:val="0"/>
                      <w:sz w:val="18"/>
                      <w:szCs w:val="18"/>
                      <w:lang w:val="en-US" w:eastAsia="zh-CN"/>
                    </w:rPr>
                  </w:pPr>
                </w:p>
              </w:tc>
              <w:tc>
                <w:tcPr>
                  <w:tcW w:w="994" w:type="dxa"/>
                  <w:vMerge w:val="continue"/>
                  <w:tcBorders>
                    <w:tl2br w:val="nil"/>
                    <w:tr2bl w:val="nil"/>
                  </w:tcBorders>
                  <w:noWrap w:val="0"/>
                  <w:vAlign w:val="center"/>
                </w:tcPr>
                <w:p w14:paraId="7E27B61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bCs/>
                      <w:color w:val="auto"/>
                      <w:kern w:val="0"/>
                      <w:sz w:val="18"/>
                      <w:szCs w:val="18"/>
                      <w:lang w:val="en-US" w:eastAsia="zh-CN"/>
                    </w:rPr>
                  </w:pPr>
                </w:p>
              </w:tc>
              <w:tc>
                <w:tcPr>
                  <w:tcW w:w="891" w:type="dxa"/>
                  <w:tcBorders>
                    <w:tl2br w:val="nil"/>
                    <w:tr2bl w:val="nil"/>
                  </w:tcBorders>
                  <w:noWrap w:val="0"/>
                  <w:vAlign w:val="center"/>
                </w:tcPr>
                <w:p w14:paraId="12D62C83">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4.15 </w:t>
                  </w:r>
                </w:p>
              </w:tc>
              <w:tc>
                <w:tcPr>
                  <w:tcW w:w="622" w:type="dxa"/>
                  <w:tcBorders>
                    <w:tl2br w:val="nil"/>
                    <w:tr2bl w:val="nil"/>
                  </w:tcBorders>
                  <w:noWrap w:val="0"/>
                  <w:vAlign w:val="center"/>
                </w:tcPr>
                <w:p w14:paraId="18AFC04B">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0.59 </w:t>
                  </w:r>
                </w:p>
              </w:tc>
              <w:tc>
                <w:tcPr>
                  <w:tcW w:w="711" w:type="dxa"/>
                  <w:tcBorders>
                    <w:tl2br w:val="nil"/>
                    <w:tr2bl w:val="nil"/>
                  </w:tcBorders>
                  <w:shd w:val="clear" w:color="auto" w:fill="auto"/>
                  <w:noWrap w:val="0"/>
                  <w:vAlign w:val="center"/>
                </w:tcPr>
                <w:p w14:paraId="6481B8E1">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90.83 </w:t>
                  </w:r>
                </w:p>
              </w:tc>
              <w:tc>
                <w:tcPr>
                  <w:tcW w:w="487" w:type="dxa"/>
                  <w:tcBorders>
                    <w:tl2br w:val="nil"/>
                    <w:tr2bl w:val="nil"/>
                  </w:tcBorders>
                  <w:shd w:val="clear" w:color="auto" w:fill="auto"/>
                  <w:noWrap w:val="0"/>
                  <w:vAlign w:val="center"/>
                </w:tcPr>
                <w:p w14:paraId="2CCE2EF2">
                  <w:pPr>
                    <w:keepNext w:val="0"/>
                    <w:keepLines w:val="0"/>
                    <w:widowControl/>
                    <w:suppressLineNumbers w:val="0"/>
                    <w:spacing w:line="240" w:lineRule="auto"/>
                    <w:ind w:firstLine="0" w:firstLineChars="0"/>
                    <w:jc w:val="center"/>
                    <w:rPr>
                      <w:rFonts w:hint="eastAsia" w:ascii="Times New Roman" w:hAnsi="Times New Roman" w:eastAsia="宋体" w:cs="Times New Roman"/>
                      <w:color w:val="auto"/>
                      <w:kern w:val="0"/>
                      <w:sz w:val="18"/>
                      <w:szCs w:val="18"/>
                      <w:lang w:val="en-US" w:eastAsia="zh-CN" w:bidi="ar"/>
                    </w:rPr>
                  </w:pPr>
                  <w:r>
                    <w:rPr>
                      <w:rFonts w:hint="eastAsia" w:cs="Times New Roman"/>
                      <w:color w:val="auto"/>
                      <w:kern w:val="0"/>
                      <w:sz w:val="18"/>
                      <w:szCs w:val="18"/>
                      <w:lang w:val="en-US" w:eastAsia="zh-CN" w:bidi="ar"/>
                    </w:rPr>
                    <w:t>200</w:t>
                  </w:r>
                </w:p>
              </w:tc>
            </w:tr>
            <w:tr w14:paraId="36EAE2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7" w:type="dxa"/>
                  <w:vMerge w:val="continue"/>
                  <w:tcBorders>
                    <w:tl2br w:val="nil"/>
                    <w:tr2bl w:val="nil"/>
                  </w:tcBorders>
                  <w:shd w:val="clear" w:color="auto" w:fill="auto"/>
                  <w:noWrap w:val="0"/>
                  <w:vAlign w:val="center"/>
                </w:tcPr>
                <w:p w14:paraId="321B45C3">
                  <w:pPr>
                    <w:jc w:val="center"/>
                    <w:textAlignment w:val="center"/>
                    <w:rPr>
                      <w:rFonts w:hint="eastAsia"/>
                      <w:color w:val="auto"/>
                      <w:sz w:val="18"/>
                      <w:szCs w:val="18"/>
                    </w:rPr>
                  </w:pPr>
                </w:p>
              </w:tc>
              <w:tc>
                <w:tcPr>
                  <w:tcW w:w="936" w:type="dxa"/>
                  <w:vMerge w:val="continue"/>
                  <w:tcBorders>
                    <w:tl2br w:val="nil"/>
                    <w:tr2bl w:val="nil"/>
                  </w:tcBorders>
                  <w:noWrap w:val="0"/>
                  <w:vAlign w:val="center"/>
                </w:tcPr>
                <w:p w14:paraId="3931972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rPr>
                  </w:pPr>
                </w:p>
              </w:tc>
              <w:tc>
                <w:tcPr>
                  <w:tcW w:w="606" w:type="dxa"/>
                  <w:tcBorders>
                    <w:tl2br w:val="nil"/>
                    <w:tr2bl w:val="nil"/>
                  </w:tcBorders>
                  <w:shd w:val="clear" w:color="auto" w:fill="auto"/>
                  <w:noWrap w:val="0"/>
                  <w:vAlign w:val="center"/>
                </w:tcPr>
                <w:p w14:paraId="0C5C7CE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bidi="ar-SA"/>
                    </w:rPr>
                  </w:pPr>
                  <w:r>
                    <w:rPr>
                      <w:rFonts w:hint="eastAsia" w:ascii="Times New Roman" w:hAnsi="Times New Roman" w:cs="Times New Roman"/>
                      <w:bCs/>
                      <w:color w:val="auto"/>
                      <w:kern w:val="0"/>
                      <w:sz w:val="18"/>
                      <w:szCs w:val="18"/>
                      <w:lang w:val="en-US" w:eastAsia="zh-CN"/>
                    </w:rPr>
                    <w:t>废气量</w:t>
                  </w:r>
                </w:p>
              </w:tc>
              <w:tc>
                <w:tcPr>
                  <w:tcW w:w="523" w:type="dxa"/>
                  <w:tcBorders>
                    <w:tl2br w:val="nil"/>
                    <w:tr2bl w:val="nil"/>
                  </w:tcBorders>
                  <w:shd w:val="clear" w:color="auto" w:fill="auto"/>
                  <w:noWrap w:val="0"/>
                  <w:vAlign w:val="center"/>
                </w:tcPr>
                <w:p w14:paraId="5A57848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产污系数法</w:t>
                  </w:r>
                </w:p>
              </w:tc>
              <w:tc>
                <w:tcPr>
                  <w:tcW w:w="757" w:type="dxa"/>
                  <w:tcBorders>
                    <w:tl2br w:val="nil"/>
                    <w:tr2bl w:val="nil"/>
                  </w:tcBorders>
                  <w:noWrap w:val="0"/>
                  <w:vAlign w:val="center"/>
                </w:tcPr>
                <w:p w14:paraId="3C12991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w:t>
                  </w:r>
                </w:p>
              </w:tc>
              <w:tc>
                <w:tcPr>
                  <w:tcW w:w="918" w:type="dxa"/>
                  <w:vMerge w:val="continue"/>
                  <w:tcBorders>
                    <w:tl2br w:val="nil"/>
                    <w:tr2bl w:val="nil"/>
                  </w:tcBorders>
                  <w:noWrap w:val="0"/>
                  <w:vAlign w:val="center"/>
                </w:tcPr>
                <w:p w14:paraId="452BE35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18"/>
                      <w:szCs w:val="18"/>
                      <w:lang w:val="en-US" w:eastAsia="zh-CN"/>
                    </w:rPr>
                  </w:pPr>
                </w:p>
              </w:tc>
              <w:tc>
                <w:tcPr>
                  <w:tcW w:w="994" w:type="dxa"/>
                  <w:vMerge w:val="continue"/>
                  <w:tcBorders>
                    <w:tl2br w:val="nil"/>
                    <w:tr2bl w:val="nil"/>
                  </w:tcBorders>
                  <w:noWrap w:val="0"/>
                  <w:vAlign w:val="center"/>
                </w:tcPr>
                <w:p w14:paraId="3853551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18"/>
                      <w:szCs w:val="18"/>
                      <w:lang w:val="en-US" w:eastAsia="zh-CN"/>
                    </w:rPr>
                  </w:pPr>
                </w:p>
              </w:tc>
              <w:tc>
                <w:tcPr>
                  <w:tcW w:w="891" w:type="dxa"/>
                  <w:tcBorders>
                    <w:tl2br w:val="nil"/>
                    <w:tr2bl w:val="nil"/>
                  </w:tcBorders>
                  <w:noWrap w:val="0"/>
                  <w:vAlign w:val="center"/>
                </w:tcPr>
                <w:p w14:paraId="7660674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6528</w:t>
                  </w:r>
                </w:p>
              </w:tc>
              <w:tc>
                <w:tcPr>
                  <w:tcW w:w="622" w:type="dxa"/>
                  <w:tcBorders>
                    <w:tl2br w:val="nil"/>
                    <w:tr2bl w:val="nil"/>
                  </w:tcBorders>
                  <w:shd w:val="clear" w:color="auto" w:fill="auto"/>
                  <w:noWrap w:val="0"/>
                  <w:vAlign w:val="center"/>
                </w:tcPr>
                <w:p w14:paraId="70A52293">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w:t>
                  </w:r>
                </w:p>
              </w:tc>
              <w:tc>
                <w:tcPr>
                  <w:tcW w:w="711" w:type="dxa"/>
                  <w:tcBorders>
                    <w:tl2br w:val="nil"/>
                    <w:tr2bl w:val="nil"/>
                  </w:tcBorders>
                  <w:shd w:val="clear" w:color="auto" w:fill="auto"/>
                  <w:noWrap w:val="0"/>
                  <w:vAlign w:val="center"/>
                </w:tcPr>
                <w:p w14:paraId="028909A8">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w:t>
                  </w:r>
                </w:p>
              </w:tc>
              <w:tc>
                <w:tcPr>
                  <w:tcW w:w="487" w:type="dxa"/>
                  <w:tcBorders>
                    <w:tl2br w:val="nil"/>
                    <w:tr2bl w:val="nil"/>
                  </w:tcBorders>
                  <w:shd w:val="clear" w:color="auto" w:fill="auto"/>
                  <w:noWrap w:val="0"/>
                  <w:vAlign w:val="center"/>
                </w:tcPr>
                <w:p w14:paraId="34667C7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r>
            <w:tr w14:paraId="4C844C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7" w:type="dxa"/>
                  <w:vMerge w:val="restart"/>
                  <w:tcBorders>
                    <w:tl2br w:val="nil"/>
                    <w:tr2bl w:val="nil"/>
                  </w:tcBorders>
                  <w:shd w:val="clear" w:color="auto" w:fill="auto"/>
                  <w:noWrap w:val="0"/>
                  <w:vAlign w:val="center"/>
                </w:tcPr>
                <w:p w14:paraId="611B5F2E">
                  <w:pPr>
                    <w:jc w:val="center"/>
                    <w:textAlignment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snapToGrid w:val="0"/>
                      <w:color w:val="auto"/>
                      <w:sz w:val="18"/>
                      <w:szCs w:val="18"/>
                      <w:highlight w:val="none"/>
                      <w:vertAlign w:val="baseline"/>
                      <w:lang w:val="en-US" w:eastAsia="zh-CN"/>
                    </w:rPr>
                    <w:t>取向硅钢脱碳退火涂层机组DCL</w:t>
                  </w:r>
                  <w:r>
                    <w:rPr>
                      <w:rFonts w:hint="eastAsia"/>
                      <w:color w:val="auto"/>
                      <w:sz w:val="18"/>
                      <w:szCs w:val="18"/>
                    </w:rPr>
                    <w:t>烘干烧结炉燃烧废气</w:t>
                  </w:r>
                </w:p>
              </w:tc>
              <w:tc>
                <w:tcPr>
                  <w:tcW w:w="936" w:type="dxa"/>
                  <w:vMerge w:val="restart"/>
                  <w:tcBorders>
                    <w:tl2br w:val="nil"/>
                    <w:tr2bl w:val="nil"/>
                  </w:tcBorders>
                  <w:noWrap w:val="0"/>
                  <w:vAlign w:val="center"/>
                </w:tcPr>
                <w:p w14:paraId="52FC8184">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rPr>
                  </w:pPr>
                  <w:r>
                    <w:rPr>
                      <w:rFonts w:hint="eastAsia" w:ascii="Times New Roman" w:hAnsi="Times New Roman" w:eastAsia="宋体" w:cs="Times New Roman"/>
                      <w:bCs/>
                      <w:color w:val="auto"/>
                      <w:kern w:val="0"/>
                      <w:sz w:val="18"/>
                      <w:szCs w:val="18"/>
                      <w:lang w:val="en-US" w:eastAsia="zh-CN"/>
                    </w:rPr>
                    <w:t>2240000</w:t>
                  </w:r>
                </w:p>
              </w:tc>
              <w:tc>
                <w:tcPr>
                  <w:tcW w:w="606" w:type="dxa"/>
                  <w:tcBorders>
                    <w:tl2br w:val="nil"/>
                    <w:tr2bl w:val="nil"/>
                  </w:tcBorders>
                  <w:shd w:val="clear" w:color="auto" w:fill="auto"/>
                  <w:noWrap w:val="0"/>
                  <w:vAlign w:val="center"/>
                </w:tcPr>
                <w:p w14:paraId="50074C8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bidi="ar-SA"/>
                    </w:rPr>
                  </w:pPr>
                  <w:r>
                    <w:rPr>
                      <w:rFonts w:hint="eastAsia" w:ascii="Times New Roman" w:hAnsi="Times New Roman" w:cs="Times New Roman"/>
                      <w:bCs/>
                      <w:color w:val="auto"/>
                      <w:kern w:val="0"/>
                      <w:sz w:val="18"/>
                      <w:szCs w:val="18"/>
                      <w:lang w:val="en-US" w:eastAsia="zh-CN"/>
                    </w:rPr>
                    <w:t>颗粒物</w:t>
                  </w:r>
                </w:p>
              </w:tc>
              <w:tc>
                <w:tcPr>
                  <w:tcW w:w="523" w:type="dxa"/>
                  <w:tcBorders>
                    <w:tl2br w:val="nil"/>
                    <w:tr2bl w:val="nil"/>
                  </w:tcBorders>
                  <w:shd w:val="clear" w:color="auto" w:fill="auto"/>
                  <w:noWrap w:val="0"/>
                  <w:vAlign w:val="center"/>
                </w:tcPr>
                <w:p w14:paraId="42D032D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bidi="ar-SA"/>
                    </w:rPr>
                  </w:pPr>
                  <w:r>
                    <w:rPr>
                      <w:rFonts w:hint="eastAsia" w:cs="Times New Roman"/>
                      <w:bCs/>
                      <w:color w:val="auto"/>
                      <w:kern w:val="0"/>
                      <w:sz w:val="18"/>
                      <w:szCs w:val="18"/>
                      <w:lang w:val="en-US" w:eastAsia="zh-CN"/>
                    </w:rPr>
                    <w:t>类比法</w:t>
                  </w:r>
                </w:p>
              </w:tc>
              <w:tc>
                <w:tcPr>
                  <w:tcW w:w="757" w:type="dxa"/>
                  <w:tcBorders>
                    <w:tl2br w:val="nil"/>
                    <w:tr2bl w:val="nil"/>
                  </w:tcBorders>
                  <w:noWrap w:val="0"/>
                  <w:vAlign w:val="center"/>
                </w:tcPr>
                <w:p w14:paraId="176504E2">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cs="Times New Roman"/>
                      <w:bCs/>
                      <w:color w:val="auto"/>
                      <w:kern w:val="0"/>
                      <w:sz w:val="18"/>
                      <w:szCs w:val="18"/>
                      <w:lang w:val="en-US" w:eastAsia="zh-CN"/>
                    </w:rPr>
                  </w:pPr>
                  <w:r>
                    <w:rPr>
                      <w:rFonts w:hint="eastAsia" w:cs="Times New Roman"/>
                      <w:bCs/>
                      <w:color w:val="auto"/>
                      <w:kern w:val="0"/>
                      <w:sz w:val="18"/>
                      <w:szCs w:val="18"/>
                      <w:lang w:val="en-US" w:eastAsia="zh-CN"/>
                    </w:rPr>
                    <w:t>0.052</w:t>
                  </w:r>
                </w:p>
              </w:tc>
              <w:tc>
                <w:tcPr>
                  <w:tcW w:w="918" w:type="dxa"/>
                  <w:vMerge w:val="continue"/>
                  <w:tcBorders>
                    <w:tl2br w:val="nil"/>
                    <w:tr2bl w:val="nil"/>
                  </w:tcBorders>
                  <w:noWrap w:val="0"/>
                  <w:vAlign w:val="center"/>
                </w:tcPr>
                <w:p w14:paraId="495D7EBA">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cs="Times New Roman"/>
                      <w:bCs/>
                      <w:color w:val="auto"/>
                      <w:kern w:val="0"/>
                      <w:sz w:val="18"/>
                      <w:szCs w:val="18"/>
                      <w:lang w:val="en-US" w:eastAsia="zh-CN"/>
                    </w:rPr>
                  </w:pPr>
                </w:p>
              </w:tc>
              <w:tc>
                <w:tcPr>
                  <w:tcW w:w="994" w:type="dxa"/>
                  <w:vMerge w:val="restart"/>
                  <w:tcBorders>
                    <w:tl2br w:val="nil"/>
                    <w:tr2bl w:val="nil"/>
                  </w:tcBorders>
                  <w:noWrap w:val="0"/>
                  <w:vAlign w:val="center"/>
                </w:tcPr>
                <w:p w14:paraId="409ACB81">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cs="Times New Roman"/>
                      <w:bCs/>
                      <w:color w:val="auto"/>
                      <w:kern w:val="0"/>
                      <w:sz w:val="18"/>
                      <w:szCs w:val="18"/>
                      <w:lang w:val="en-US" w:eastAsia="zh-CN"/>
                    </w:rPr>
                  </w:pPr>
                  <w:r>
                    <w:rPr>
                      <w:rFonts w:hint="eastAsia" w:cs="Times New Roman"/>
                      <w:bCs/>
                      <w:color w:val="auto"/>
                      <w:kern w:val="0"/>
                      <w:sz w:val="18"/>
                      <w:szCs w:val="18"/>
                      <w:lang w:val="en-US" w:eastAsia="zh-CN"/>
                    </w:rPr>
                    <w:t>低氮燃烧技术+DA008排气筒</w:t>
                  </w:r>
                </w:p>
              </w:tc>
              <w:tc>
                <w:tcPr>
                  <w:tcW w:w="891" w:type="dxa"/>
                  <w:tcBorders>
                    <w:tl2br w:val="nil"/>
                    <w:tr2bl w:val="nil"/>
                  </w:tcBorders>
                  <w:noWrap w:val="0"/>
                  <w:vAlign w:val="center"/>
                </w:tcPr>
                <w:p w14:paraId="0FEE06F1">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0.243 </w:t>
                  </w:r>
                </w:p>
              </w:tc>
              <w:tc>
                <w:tcPr>
                  <w:tcW w:w="622" w:type="dxa"/>
                  <w:tcBorders>
                    <w:tl2br w:val="nil"/>
                    <w:tr2bl w:val="nil"/>
                  </w:tcBorders>
                  <w:noWrap w:val="0"/>
                  <w:vAlign w:val="center"/>
                </w:tcPr>
                <w:p w14:paraId="27D2F2E3">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0.035 </w:t>
                  </w:r>
                </w:p>
              </w:tc>
              <w:tc>
                <w:tcPr>
                  <w:tcW w:w="711" w:type="dxa"/>
                  <w:tcBorders>
                    <w:tl2br w:val="nil"/>
                    <w:tr2bl w:val="nil"/>
                  </w:tcBorders>
                  <w:shd w:val="clear" w:color="auto" w:fill="auto"/>
                  <w:noWrap w:val="0"/>
                  <w:vAlign w:val="center"/>
                </w:tcPr>
                <w:p w14:paraId="5729F055">
                  <w:pPr>
                    <w:keepNext w:val="0"/>
                    <w:keepLines w:val="0"/>
                    <w:widowControl/>
                    <w:suppressLineNumbers w:val="0"/>
                    <w:jc w:val="center"/>
                    <w:textAlignment w:val="center"/>
                    <w:rPr>
                      <w:rFonts w:hint="default" w:ascii="Times New Roman" w:hAnsi="Times New Roman" w:eastAsia="宋体" w:cs="Times New Roman"/>
                      <w:bCs/>
                      <w:color w:val="auto"/>
                      <w:kern w:val="0"/>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7.97 </w:t>
                  </w:r>
                </w:p>
              </w:tc>
              <w:tc>
                <w:tcPr>
                  <w:tcW w:w="487" w:type="dxa"/>
                  <w:tcBorders>
                    <w:tl2br w:val="nil"/>
                    <w:tr2bl w:val="nil"/>
                  </w:tcBorders>
                  <w:shd w:val="clear" w:color="auto" w:fill="auto"/>
                  <w:noWrap w:val="0"/>
                  <w:vAlign w:val="center"/>
                </w:tcPr>
                <w:p w14:paraId="1DC885DB">
                  <w:pPr>
                    <w:keepNext w:val="0"/>
                    <w:keepLines w:val="0"/>
                    <w:widowControl/>
                    <w:suppressLineNumbers w:val="0"/>
                    <w:spacing w:line="240" w:lineRule="auto"/>
                    <w:ind w:firstLine="0" w:firstLineChars="0"/>
                    <w:jc w:val="center"/>
                    <w:rPr>
                      <w:rFonts w:hint="eastAsia" w:ascii="Times New Roman" w:hAnsi="Times New Roman" w:eastAsia="宋体" w:cs="Times New Roman"/>
                      <w:color w:val="auto"/>
                      <w:kern w:val="0"/>
                      <w:sz w:val="18"/>
                      <w:szCs w:val="18"/>
                      <w:lang w:val="en-US" w:eastAsia="zh-CN" w:bidi="ar"/>
                    </w:rPr>
                  </w:pPr>
                  <w:r>
                    <w:rPr>
                      <w:rFonts w:hint="eastAsia" w:cs="Times New Roman"/>
                      <w:color w:val="auto"/>
                      <w:kern w:val="0"/>
                      <w:sz w:val="18"/>
                      <w:szCs w:val="18"/>
                      <w:lang w:val="en-US" w:eastAsia="zh-CN" w:bidi="ar"/>
                    </w:rPr>
                    <w:t>10</w:t>
                  </w:r>
                </w:p>
              </w:tc>
            </w:tr>
            <w:tr w14:paraId="7B883C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7" w:type="dxa"/>
                  <w:vMerge w:val="continue"/>
                  <w:tcBorders>
                    <w:tl2br w:val="nil"/>
                    <w:tr2bl w:val="nil"/>
                  </w:tcBorders>
                  <w:shd w:val="clear" w:color="auto" w:fill="auto"/>
                  <w:noWrap w:val="0"/>
                  <w:vAlign w:val="center"/>
                </w:tcPr>
                <w:p w14:paraId="4ABD3DCA">
                  <w:pPr>
                    <w:jc w:val="center"/>
                    <w:textAlignment w:val="center"/>
                    <w:rPr>
                      <w:rFonts w:hint="eastAsia"/>
                      <w:color w:val="auto"/>
                      <w:sz w:val="18"/>
                      <w:szCs w:val="18"/>
                    </w:rPr>
                  </w:pPr>
                </w:p>
              </w:tc>
              <w:tc>
                <w:tcPr>
                  <w:tcW w:w="936" w:type="dxa"/>
                  <w:vMerge w:val="continue"/>
                  <w:tcBorders>
                    <w:tl2br w:val="nil"/>
                    <w:tr2bl w:val="nil"/>
                  </w:tcBorders>
                  <w:noWrap w:val="0"/>
                  <w:vAlign w:val="center"/>
                </w:tcPr>
                <w:p w14:paraId="0E61639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lang w:val="en-US" w:eastAsia="zh-CN"/>
                    </w:rPr>
                  </w:pPr>
                </w:p>
              </w:tc>
              <w:tc>
                <w:tcPr>
                  <w:tcW w:w="606" w:type="dxa"/>
                  <w:tcBorders>
                    <w:tl2br w:val="nil"/>
                    <w:tr2bl w:val="nil"/>
                  </w:tcBorders>
                  <w:shd w:val="clear" w:color="auto" w:fill="auto"/>
                  <w:noWrap w:val="0"/>
                  <w:vAlign w:val="center"/>
                </w:tcPr>
                <w:p w14:paraId="5F758A3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cs="Times New Roman"/>
                      <w:bCs/>
                      <w:color w:val="auto"/>
                      <w:kern w:val="0"/>
                      <w:sz w:val="18"/>
                      <w:szCs w:val="18"/>
                      <w:lang w:val="en-US" w:eastAsia="zh-CN"/>
                    </w:rPr>
                    <w:t>SO</w:t>
                  </w:r>
                  <w:r>
                    <w:rPr>
                      <w:rFonts w:hint="eastAsia" w:ascii="Times New Roman" w:hAnsi="Times New Roman" w:cs="Times New Roman"/>
                      <w:bCs/>
                      <w:color w:val="auto"/>
                      <w:kern w:val="0"/>
                      <w:sz w:val="18"/>
                      <w:szCs w:val="18"/>
                      <w:vertAlign w:val="subscript"/>
                      <w:lang w:val="en-US" w:eastAsia="zh-CN"/>
                    </w:rPr>
                    <w:t>2</w:t>
                  </w:r>
                </w:p>
              </w:tc>
              <w:tc>
                <w:tcPr>
                  <w:tcW w:w="523" w:type="dxa"/>
                  <w:tcBorders>
                    <w:tl2br w:val="nil"/>
                    <w:tr2bl w:val="nil"/>
                  </w:tcBorders>
                  <w:shd w:val="clear" w:color="auto" w:fill="auto"/>
                  <w:noWrap w:val="0"/>
                  <w:vAlign w:val="center"/>
                </w:tcPr>
                <w:p w14:paraId="7785F5A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物料衡算</w:t>
                  </w:r>
                </w:p>
              </w:tc>
              <w:tc>
                <w:tcPr>
                  <w:tcW w:w="757" w:type="dxa"/>
                  <w:tcBorders>
                    <w:tl2br w:val="nil"/>
                    <w:tr2bl w:val="nil"/>
                  </w:tcBorders>
                  <w:noWrap w:val="0"/>
                  <w:vAlign w:val="center"/>
                </w:tcPr>
                <w:p w14:paraId="4215A56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w:t>
                  </w:r>
                </w:p>
              </w:tc>
              <w:tc>
                <w:tcPr>
                  <w:tcW w:w="918" w:type="dxa"/>
                  <w:vMerge w:val="continue"/>
                  <w:tcBorders>
                    <w:tl2br w:val="nil"/>
                    <w:tr2bl w:val="nil"/>
                  </w:tcBorders>
                  <w:noWrap w:val="0"/>
                  <w:vAlign w:val="center"/>
                </w:tcPr>
                <w:p w14:paraId="7794297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18"/>
                      <w:szCs w:val="18"/>
                      <w:lang w:val="en-US" w:eastAsia="zh-CN"/>
                    </w:rPr>
                  </w:pPr>
                </w:p>
              </w:tc>
              <w:tc>
                <w:tcPr>
                  <w:tcW w:w="994" w:type="dxa"/>
                  <w:vMerge w:val="continue"/>
                  <w:tcBorders>
                    <w:tl2br w:val="nil"/>
                    <w:tr2bl w:val="nil"/>
                  </w:tcBorders>
                  <w:noWrap w:val="0"/>
                  <w:vAlign w:val="center"/>
                </w:tcPr>
                <w:p w14:paraId="557BCAF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18"/>
                      <w:szCs w:val="18"/>
                      <w:lang w:val="en-US" w:eastAsia="zh-CN"/>
                    </w:rPr>
                  </w:pPr>
                </w:p>
              </w:tc>
              <w:tc>
                <w:tcPr>
                  <w:tcW w:w="891" w:type="dxa"/>
                  <w:tcBorders>
                    <w:tl2br w:val="nil"/>
                    <w:tr2bl w:val="nil"/>
                  </w:tcBorders>
                  <w:noWrap w:val="0"/>
                  <w:vAlign w:val="center"/>
                </w:tcPr>
                <w:p w14:paraId="25CE5A61">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0.45</w:t>
                  </w:r>
                </w:p>
              </w:tc>
              <w:tc>
                <w:tcPr>
                  <w:tcW w:w="622" w:type="dxa"/>
                  <w:tcBorders>
                    <w:tl2br w:val="nil"/>
                    <w:tr2bl w:val="nil"/>
                  </w:tcBorders>
                  <w:noWrap w:val="0"/>
                  <w:vAlign w:val="center"/>
                </w:tcPr>
                <w:p w14:paraId="0DCABC92">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0.064</w:t>
                  </w:r>
                </w:p>
              </w:tc>
              <w:tc>
                <w:tcPr>
                  <w:tcW w:w="711" w:type="dxa"/>
                  <w:tcBorders>
                    <w:tl2br w:val="nil"/>
                    <w:tr2bl w:val="nil"/>
                  </w:tcBorders>
                  <w:shd w:val="clear" w:color="auto" w:fill="auto"/>
                  <w:noWrap w:val="0"/>
                  <w:vAlign w:val="center"/>
                </w:tcPr>
                <w:p w14:paraId="21B5D772">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14.71 </w:t>
                  </w:r>
                </w:p>
              </w:tc>
              <w:tc>
                <w:tcPr>
                  <w:tcW w:w="487" w:type="dxa"/>
                  <w:tcBorders>
                    <w:tl2br w:val="nil"/>
                    <w:tr2bl w:val="nil"/>
                  </w:tcBorders>
                  <w:shd w:val="clear" w:color="auto" w:fill="auto"/>
                  <w:noWrap w:val="0"/>
                  <w:vAlign w:val="center"/>
                </w:tcPr>
                <w:p w14:paraId="42DDC215">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lang w:val="en-US" w:eastAsia="zh-CN" w:bidi="ar"/>
                    </w:rPr>
                  </w:pPr>
                  <w:r>
                    <w:rPr>
                      <w:rFonts w:hint="eastAsia" w:cs="Times New Roman"/>
                      <w:color w:val="auto"/>
                      <w:kern w:val="0"/>
                      <w:sz w:val="18"/>
                      <w:szCs w:val="18"/>
                      <w:lang w:val="en-US" w:eastAsia="zh-CN" w:bidi="ar"/>
                    </w:rPr>
                    <w:t>50</w:t>
                  </w:r>
                </w:p>
              </w:tc>
            </w:tr>
            <w:tr w14:paraId="6749DC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7" w:type="dxa"/>
                  <w:vMerge w:val="continue"/>
                  <w:tcBorders>
                    <w:tl2br w:val="nil"/>
                    <w:tr2bl w:val="nil"/>
                  </w:tcBorders>
                  <w:shd w:val="clear" w:color="auto" w:fill="auto"/>
                  <w:noWrap w:val="0"/>
                  <w:vAlign w:val="center"/>
                </w:tcPr>
                <w:p w14:paraId="76F74B11">
                  <w:pPr>
                    <w:jc w:val="center"/>
                    <w:textAlignment w:val="center"/>
                    <w:rPr>
                      <w:rFonts w:hint="eastAsia"/>
                      <w:color w:val="auto"/>
                      <w:sz w:val="18"/>
                      <w:szCs w:val="18"/>
                    </w:rPr>
                  </w:pPr>
                </w:p>
              </w:tc>
              <w:tc>
                <w:tcPr>
                  <w:tcW w:w="936" w:type="dxa"/>
                  <w:vMerge w:val="continue"/>
                  <w:tcBorders>
                    <w:tl2br w:val="nil"/>
                    <w:tr2bl w:val="nil"/>
                  </w:tcBorders>
                  <w:noWrap w:val="0"/>
                  <w:vAlign w:val="center"/>
                </w:tcPr>
                <w:p w14:paraId="40EDA7B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lang w:val="en-US" w:eastAsia="zh-CN"/>
                    </w:rPr>
                  </w:pPr>
                </w:p>
              </w:tc>
              <w:tc>
                <w:tcPr>
                  <w:tcW w:w="606" w:type="dxa"/>
                  <w:tcBorders>
                    <w:tl2br w:val="nil"/>
                    <w:tr2bl w:val="nil"/>
                  </w:tcBorders>
                  <w:shd w:val="clear" w:color="auto" w:fill="auto"/>
                  <w:noWrap w:val="0"/>
                  <w:vAlign w:val="center"/>
                </w:tcPr>
                <w:p w14:paraId="3AB1EB2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cs="Times New Roman"/>
                      <w:bCs/>
                      <w:color w:val="auto"/>
                      <w:kern w:val="0"/>
                      <w:sz w:val="18"/>
                      <w:szCs w:val="18"/>
                      <w:lang w:val="en-US" w:eastAsia="zh-CN"/>
                    </w:rPr>
                    <w:t>NO</w:t>
                  </w:r>
                  <w:r>
                    <w:rPr>
                      <w:rFonts w:hint="eastAsia" w:ascii="Times New Roman" w:hAnsi="Times New Roman" w:cs="Times New Roman"/>
                      <w:bCs/>
                      <w:color w:val="auto"/>
                      <w:kern w:val="0"/>
                      <w:sz w:val="18"/>
                      <w:szCs w:val="18"/>
                      <w:vertAlign w:val="subscript"/>
                      <w:lang w:val="en-US" w:eastAsia="zh-CN"/>
                    </w:rPr>
                    <w:t>X</w:t>
                  </w:r>
                </w:p>
              </w:tc>
              <w:tc>
                <w:tcPr>
                  <w:tcW w:w="523" w:type="dxa"/>
                  <w:tcBorders>
                    <w:tl2br w:val="nil"/>
                    <w:tr2bl w:val="nil"/>
                  </w:tcBorders>
                  <w:shd w:val="clear" w:color="auto" w:fill="auto"/>
                  <w:noWrap w:val="0"/>
                  <w:vAlign w:val="center"/>
                </w:tcPr>
                <w:p w14:paraId="4CF5965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bCs/>
                      <w:color w:val="auto"/>
                      <w:kern w:val="0"/>
                      <w:sz w:val="18"/>
                      <w:szCs w:val="18"/>
                      <w:lang w:val="en-US" w:eastAsia="zh-CN"/>
                    </w:rPr>
                    <w:t>类比法</w:t>
                  </w:r>
                </w:p>
              </w:tc>
              <w:tc>
                <w:tcPr>
                  <w:tcW w:w="757" w:type="dxa"/>
                  <w:tcBorders>
                    <w:tl2br w:val="nil"/>
                    <w:tr2bl w:val="nil"/>
                  </w:tcBorders>
                  <w:noWrap w:val="0"/>
                  <w:vAlign w:val="center"/>
                </w:tcPr>
                <w:p w14:paraId="41D5AEA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bCs/>
                      <w:color w:val="auto"/>
                      <w:kern w:val="0"/>
                      <w:sz w:val="18"/>
                      <w:szCs w:val="18"/>
                      <w:lang w:val="en-US" w:eastAsia="zh-CN"/>
                    </w:rPr>
                  </w:pPr>
                  <w:r>
                    <w:rPr>
                      <w:rFonts w:hint="eastAsia" w:cs="Times New Roman"/>
                      <w:bCs/>
                      <w:color w:val="auto"/>
                      <w:kern w:val="0"/>
                      <w:sz w:val="18"/>
                      <w:szCs w:val="18"/>
                      <w:lang w:val="en-US" w:eastAsia="zh-CN"/>
                    </w:rPr>
                    <w:t>0.563</w:t>
                  </w:r>
                </w:p>
              </w:tc>
              <w:tc>
                <w:tcPr>
                  <w:tcW w:w="918" w:type="dxa"/>
                  <w:vMerge w:val="continue"/>
                  <w:tcBorders>
                    <w:tl2br w:val="nil"/>
                    <w:tr2bl w:val="nil"/>
                  </w:tcBorders>
                  <w:noWrap w:val="0"/>
                  <w:vAlign w:val="center"/>
                </w:tcPr>
                <w:p w14:paraId="185273F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bCs/>
                      <w:color w:val="auto"/>
                      <w:kern w:val="0"/>
                      <w:sz w:val="18"/>
                      <w:szCs w:val="18"/>
                      <w:lang w:val="en-US" w:eastAsia="zh-CN"/>
                    </w:rPr>
                  </w:pPr>
                </w:p>
              </w:tc>
              <w:tc>
                <w:tcPr>
                  <w:tcW w:w="994" w:type="dxa"/>
                  <w:vMerge w:val="continue"/>
                  <w:tcBorders>
                    <w:tl2br w:val="nil"/>
                    <w:tr2bl w:val="nil"/>
                  </w:tcBorders>
                  <w:noWrap w:val="0"/>
                  <w:vAlign w:val="center"/>
                </w:tcPr>
                <w:p w14:paraId="31EA557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bCs/>
                      <w:color w:val="auto"/>
                      <w:kern w:val="0"/>
                      <w:sz w:val="18"/>
                      <w:szCs w:val="18"/>
                      <w:lang w:val="en-US" w:eastAsia="zh-CN"/>
                    </w:rPr>
                  </w:pPr>
                </w:p>
              </w:tc>
              <w:tc>
                <w:tcPr>
                  <w:tcW w:w="891" w:type="dxa"/>
                  <w:tcBorders>
                    <w:tl2br w:val="nil"/>
                    <w:tr2bl w:val="nil"/>
                  </w:tcBorders>
                  <w:noWrap w:val="0"/>
                  <w:vAlign w:val="center"/>
                </w:tcPr>
                <w:p w14:paraId="1D068F7A">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2.627 </w:t>
                  </w:r>
                </w:p>
              </w:tc>
              <w:tc>
                <w:tcPr>
                  <w:tcW w:w="622" w:type="dxa"/>
                  <w:tcBorders>
                    <w:tl2br w:val="nil"/>
                    <w:tr2bl w:val="nil"/>
                  </w:tcBorders>
                  <w:noWrap w:val="0"/>
                  <w:vAlign w:val="center"/>
                </w:tcPr>
                <w:p w14:paraId="6CD022C2">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0.375 </w:t>
                  </w:r>
                </w:p>
              </w:tc>
              <w:tc>
                <w:tcPr>
                  <w:tcW w:w="711" w:type="dxa"/>
                  <w:tcBorders>
                    <w:tl2br w:val="nil"/>
                    <w:tr2bl w:val="nil"/>
                  </w:tcBorders>
                  <w:shd w:val="clear" w:color="auto" w:fill="auto"/>
                  <w:noWrap w:val="0"/>
                  <w:vAlign w:val="center"/>
                </w:tcPr>
                <w:p w14:paraId="5BAC204B">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86.24 </w:t>
                  </w:r>
                </w:p>
              </w:tc>
              <w:tc>
                <w:tcPr>
                  <w:tcW w:w="487" w:type="dxa"/>
                  <w:tcBorders>
                    <w:tl2br w:val="nil"/>
                    <w:tr2bl w:val="nil"/>
                  </w:tcBorders>
                  <w:shd w:val="clear" w:color="auto" w:fill="auto"/>
                  <w:noWrap w:val="0"/>
                  <w:vAlign w:val="center"/>
                </w:tcPr>
                <w:p w14:paraId="3D574C96">
                  <w:pPr>
                    <w:keepNext w:val="0"/>
                    <w:keepLines w:val="0"/>
                    <w:widowControl/>
                    <w:suppressLineNumbers w:val="0"/>
                    <w:spacing w:line="240" w:lineRule="auto"/>
                    <w:ind w:firstLine="0" w:firstLineChars="0"/>
                    <w:jc w:val="center"/>
                    <w:rPr>
                      <w:rFonts w:hint="eastAsia" w:ascii="Times New Roman" w:hAnsi="Times New Roman" w:eastAsia="宋体" w:cs="Times New Roman"/>
                      <w:color w:val="auto"/>
                      <w:kern w:val="0"/>
                      <w:sz w:val="18"/>
                      <w:szCs w:val="18"/>
                      <w:lang w:val="en-US" w:eastAsia="zh-CN" w:bidi="ar"/>
                    </w:rPr>
                  </w:pPr>
                  <w:r>
                    <w:rPr>
                      <w:rFonts w:hint="eastAsia" w:cs="Times New Roman"/>
                      <w:color w:val="auto"/>
                      <w:kern w:val="0"/>
                      <w:sz w:val="18"/>
                      <w:szCs w:val="18"/>
                      <w:lang w:val="en-US" w:eastAsia="zh-CN" w:bidi="ar"/>
                    </w:rPr>
                    <w:t>200</w:t>
                  </w:r>
                </w:p>
              </w:tc>
            </w:tr>
            <w:tr w14:paraId="762CC6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7" w:type="dxa"/>
                  <w:vMerge w:val="continue"/>
                  <w:tcBorders>
                    <w:tl2br w:val="nil"/>
                    <w:tr2bl w:val="nil"/>
                  </w:tcBorders>
                  <w:shd w:val="clear" w:color="auto" w:fill="auto"/>
                  <w:noWrap w:val="0"/>
                  <w:vAlign w:val="center"/>
                </w:tcPr>
                <w:p w14:paraId="67649428">
                  <w:pPr>
                    <w:jc w:val="center"/>
                    <w:textAlignment w:val="center"/>
                    <w:rPr>
                      <w:rFonts w:hint="eastAsia"/>
                      <w:color w:val="auto"/>
                      <w:sz w:val="18"/>
                      <w:szCs w:val="18"/>
                    </w:rPr>
                  </w:pPr>
                </w:p>
              </w:tc>
              <w:tc>
                <w:tcPr>
                  <w:tcW w:w="936" w:type="dxa"/>
                  <w:vMerge w:val="continue"/>
                  <w:tcBorders>
                    <w:tl2br w:val="nil"/>
                    <w:tr2bl w:val="nil"/>
                  </w:tcBorders>
                  <w:noWrap w:val="0"/>
                  <w:vAlign w:val="center"/>
                </w:tcPr>
                <w:p w14:paraId="62AF47D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lang w:val="en-US" w:eastAsia="zh-CN"/>
                    </w:rPr>
                  </w:pPr>
                </w:p>
              </w:tc>
              <w:tc>
                <w:tcPr>
                  <w:tcW w:w="606" w:type="dxa"/>
                  <w:tcBorders>
                    <w:tl2br w:val="nil"/>
                    <w:tr2bl w:val="nil"/>
                  </w:tcBorders>
                  <w:shd w:val="clear" w:color="auto" w:fill="auto"/>
                  <w:noWrap w:val="0"/>
                  <w:vAlign w:val="center"/>
                </w:tcPr>
                <w:p w14:paraId="57AFE41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bidi="ar-SA"/>
                    </w:rPr>
                  </w:pPr>
                  <w:r>
                    <w:rPr>
                      <w:rFonts w:hint="eastAsia" w:ascii="Times New Roman" w:hAnsi="Times New Roman" w:cs="Times New Roman"/>
                      <w:bCs/>
                      <w:color w:val="auto"/>
                      <w:kern w:val="0"/>
                      <w:sz w:val="18"/>
                      <w:szCs w:val="18"/>
                      <w:lang w:val="en-US" w:eastAsia="zh-CN"/>
                    </w:rPr>
                    <w:t>废气量</w:t>
                  </w:r>
                </w:p>
              </w:tc>
              <w:tc>
                <w:tcPr>
                  <w:tcW w:w="523" w:type="dxa"/>
                  <w:tcBorders>
                    <w:tl2br w:val="nil"/>
                    <w:tr2bl w:val="nil"/>
                  </w:tcBorders>
                  <w:shd w:val="clear" w:color="auto" w:fill="auto"/>
                  <w:noWrap w:val="0"/>
                  <w:vAlign w:val="center"/>
                </w:tcPr>
                <w:p w14:paraId="357DF50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产污系数法</w:t>
                  </w:r>
                </w:p>
              </w:tc>
              <w:tc>
                <w:tcPr>
                  <w:tcW w:w="757" w:type="dxa"/>
                  <w:tcBorders>
                    <w:tl2br w:val="nil"/>
                    <w:tr2bl w:val="nil"/>
                  </w:tcBorders>
                  <w:noWrap w:val="0"/>
                  <w:vAlign w:val="center"/>
                </w:tcPr>
                <w:p w14:paraId="50830B2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w:t>
                  </w:r>
                </w:p>
              </w:tc>
              <w:tc>
                <w:tcPr>
                  <w:tcW w:w="918" w:type="dxa"/>
                  <w:vMerge w:val="continue"/>
                  <w:tcBorders>
                    <w:tl2br w:val="nil"/>
                    <w:tr2bl w:val="nil"/>
                  </w:tcBorders>
                  <w:noWrap w:val="0"/>
                  <w:vAlign w:val="center"/>
                </w:tcPr>
                <w:p w14:paraId="17E4713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18"/>
                      <w:szCs w:val="18"/>
                      <w:lang w:val="en-US" w:eastAsia="zh-CN"/>
                    </w:rPr>
                  </w:pPr>
                </w:p>
              </w:tc>
              <w:tc>
                <w:tcPr>
                  <w:tcW w:w="994" w:type="dxa"/>
                  <w:vMerge w:val="continue"/>
                  <w:tcBorders>
                    <w:tl2br w:val="nil"/>
                    <w:tr2bl w:val="nil"/>
                  </w:tcBorders>
                  <w:noWrap w:val="0"/>
                  <w:vAlign w:val="center"/>
                </w:tcPr>
                <w:p w14:paraId="7322658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18"/>
                      <w:szCs w:val="18"/>
                      <w:lang w:val="en-US" w:eastAsia="zh-CN"/>
                    </w:rPr>
                  </w:pPr>
                </w:p>
              </w:tc>
              <w:tc>
                <w:tcPr>
                  <w:tcW w:w="891" w:type="dxa"/>
                  <w:tcBorders>
                    <w:tl2br w:val="nil"/>
                    <w:tr2bl w:val="nil"/>
                  </w:tcBorders>
                  <w:noWrap w:val="0"/>
                  <w:vAlign w:val="center"/>
                </w:tcPr>
                <w:p w14:paraId="2A681804">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4352</w:t>
                  </w:r>
                </w:p>
              </w:tc>
              <w:tc>
                <w:tcPr>
                  <w:tcW w:w="622" w:type="dxa"/>
                  <w:tcBorders>
                    <w:tl2br w:val="nil"/>
                    <w:tr2bl w:val="nil"/>
                  </w:tcBorders>
                  <w:shd w:val="clear" w:color="auto" w:fill="auto"/>
                  <w:noWrap w:val="0"/>
                  <w:vAlign w:val="center"/>
                </w:tcPr>
                <w:p w14:paraId="1A58686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w:t>
                  </w:r>
                </w:p>
              </w:tc>
              <w:tc>
                <w:tcPr>
                  <w:tcW w:w="711" w:type="dxa"/>
                  <w:tcBorders>
                    <w:tl2br w:val="nil"/>
                    <w:tr2bl w:val="nil"/>
                  </w:tcBorders>
                  <w:shd w:val="clear" w:color="auto" w:fill="auto"/>
                  <w:noWrap w:val="0"/>
                  <w:vAlign w:val="center"/>
                </w:tcPr>
                <w:p w14:paraId="20D50A3F">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w:t>
                  </w:r>
                </w:p>
              </w:tc>
              <w:tc>
                <w:tcPr>
                  <w:tcW w:w="487" w:type="dxa"/>
                  <w:tcBorders>
                    <w:tl2br w:val="nil"/>
                    <w:tr2bl w:val="nil"/>
                  </w:tcBorders>
                  <w:shd w:val="clear" w:color="auto" w:fill="auto"/>
                  <w:noWrap w:val="0"/>
                  <w:vAlign w:val="center"/>
                </w:tcPr>
                <w:p w14:paraId="7D6B784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r>
            <w:tr w14:paraId="22E2A1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7" w:type="dxa"/>
                  <w:vMerge w:val="restart"/>
                  <w:tcBorders>
                    <w:tl2br w:val="nil"/>
                    <w:tr2bl w:val="nil"/>
                  </w:tcBorders>
                  <w:shd w:val="clear" w:color="auto" w:fill="auto"/>
                  <w:noWrap w:val="0"/>
                  <w:vAlign w:val="center"/>
                </w:tcPr>
                <w:p w14:paraId="52F17F9E">
                  <w:pPr>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热拉伸平整FCL</w:t>
                  </w:r>
                  <w:r>
                    <w:rPr>
                      <w:rFonts w:hint="eastAsia"/>
                      <w:color w:val="auto"/>
                      <w:sz w:val="18"/>
                      <w:szCs w:val="18"/>
                      <w:lang w:val="en-US" w:eastAsia="zh-CN"/>
                    </w:rPr>
                    <w:t>机组</w:t>
                  </w:r>
                  <w:r>
                    <w:rPr>
                      <w:rFonts w:hint="eastAsia" w:cs="Times New Roman"/>
                      <w:snapToGrid w:val="0"/>
                      <w:color w:val="auto"/>
                      <w:sz w:val="18"/>
                      <w:szCs w:val="18"/>
                      <w:highlight w:val="none"/>
                      <w:vertAlign w:val="baseline"/>
                      <w:lang w:val="en-US" w:eastAsia="zh-CN"/>
                    </w:rPr>
                    <w:t>卧式连续炉燃烧废气</w:t>
                  </w:r>
                </w:p>
              </w:tc>
              <w:tc>
                <w:tcPr>
                  <w:tcW w:w="936" w:type="dxa"/>
                  <w:vMerge w:val="restart"/>
                  <w:tcBorders>
                    <w:tl2br w:val="nil"/>
                    <w:tr2bl w:val="nil"/>
                  </w:tcBorders>
                  <w:noWrap w:val="0"/>
                  <w:vAlign w:val="center"/>
                </w:tcPr>
                <w:p w14:paraId="44E1A20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lang w:val="en-US" w:eastAsia="zh-CN"/>
                    </w:rPr>
                  </w:pPr>
                  <w:r>
                    <w:rPr>
                      <w:rFonts w:hint="eastAsia" w:cs="Times New Roman"/>
                      <w:color w:val="auto"/>
                      <w:sz w:val="18"/>
                      <w:szCs w:val="18"/>
                      <w:lang w:val="en-US" w:eastAsia="zh-CN"/>
                    </w:rPr>
                    <w:t>5600</w:t>
                  </w:r>
                  <w:r>
                    <w:rPr>
                      <w:rFonts w:hint="eastAsia" w:ascii="Times New Roman" w:hAnsi="Times New Roman" w:cs="Times New Roman"/>
                      <w:color w:val="auto"/>
                      <w:sz w:val="18"/>
                      <w:szCs w:val="18"/>
                      <w:lang w:val="en-US" w:eastAsia="zh-CN"/>
                    </w:rPr>
                    <w:t>000</w:t>
                  </w:r>
                </w:p>
              </w:tc>
              <w:tc>
                <w:tcPr>
                  <w:tcW w:w="606" w:type="dxa"/>
                  <w:tcBorders>
                    <w:tl2br w:val="nil"/>
                    <w:tr2bl w:val="nil"/>
                  </w:tcBorders>
                  <w:shd w:val="clear" w:color="auto" w:fill="auto"/>
                  <w:noWrap w:val="0"/>
                  <w:vAlign w:val="center"/>
                </w:tcPr>
                <w:p w14:paraId="48AD7A15">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auto"/>
                      <w:kern w:val="0"/>
                      <w:sz w:val="18"/>
                      <w:szCs w:val="18"/>
                      <w:lang w:val="en-US" w:eastAsia="zh-CN" w:bidi="ar-SA"/>
                    </w:rPr>
                  </w:pPr>
                  <w:r>
                    <w:rPr>
                      <w:rFonts w:hint="eastAsia" w:ascii="Times New Roman" w:hAnsi="Times New Roman" w:cs="Times New Roman"/>
                      <w:bCs/>
                      <w:color w:val="auto"/>
                      <w:kern w:val="0"/>
                      <w:sz w:val="18"/>
                      <w:szCs w:val="18"/>
                      <w:lang w:val="en-US" w:eastAsia="zh-CN"/>
                    </w:rPr>
                    <w:t>颗粒物</w:t>
                  </w:r>
                </w:p>
              </w:tc>
              <w:tc>
                <w:tcPr>
                  <w:tcW w:w="523" w:type="dxa"/>
                  <w:tcBorders>
                    <w:tl2br w:val="nil"/>
                    <w:tr2bl w:val="nil"/>
                  </w:tcBorders>
                  <w:shd w:val="clear" w:color="auto" w:fill="auto"/>
                  <w:noWrap w:val="0"/>
                  <w:vAlign w:val="center"/>
                </w:tcPr>
                <w:p w14:paraId="7A40E468">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0"/>
                      <w:sz w:val="18"/>
                      <w:szCs w:val="18"/>
                      <w:lang w:val="en-US" w:eastAsia="zh-CN" w:bidi="ar-SA"/>
                    </w:rPr>
                  </w:pPr>
                  <w:r>
                    <w:rPr>
                      <w:rFonts w:hint="eastAsia" w:cs="Times New Roman"/>
                      <w:bCs/>
                      <w:color w:val="auto"/>
                      <w:kern w:val="0"/>
                      <w:sz w:val="18"/>
                      <w:szCs w:val="18"/>
                      <w:lang w:val="en-US" w:eastAsia="zh-CN"/>
                    </w:rPr>
                    <w:t>类比法</w:t>
                  </w:r>
                </w:p>
              </w:tc>
              <w:tc>
                <w:tcPr>
                  <w:tcW w:w="757" w:type="dxa"/>
                  <w:tcBorders>
                    <w:tl2br w:val="nil"/>
                    <w:tr2bl w:val="nil"/>
                  </w:tcBorders>
                  <w:noWrap w:val="0"/>
                  <w:vAlign w:val="center"/>
                </w:tcPr>
                <w:p w14:paraId="3FF71511">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cs="Times New Roman"/>
                      <w:bCs/>
                      <w:color w:val="auto"/>
                      <w:kern w:val="0"/>
                      <w:sz w:val="18"/>
                      <w:szCs w:val="18"/>
                      <w:lang w:val="en-US" w:eastAsia="zh-CN"/>
                    </w:rPr>
                  </w:pPr>
                  <w:r>
                    <w:rPr>
                      <w:rFonts w:hint="eastAsia" w:cs="Times New Roman"/>
                      <w:bCs/>
                      <w:color w:val="auto"/>
                      <w:kern w:val="0"/>
                      <w:sz w:val="18"/>
                      <w:szCs w:val="18"/>
                      <w:lang w:val="en-US" w:eastAsia="zh-CN"/>
                    </w:rPr>
                    <w:t>0.0978</w:t>
                  </w:r>
                </w:p>
              </w:tc>
              <w:tc>
                <w:tcPr>
                  <w:tcW w:w="918" w:type="dxa"/>
                  <w:vMerge w:val="continue"/>
                  <w:tcBorders>
                    <w:tl2br w:val="nil"/>
                    <w:tr2bl w:val="nil"/>
                  </w:tcBorders>
                  <w:noWrap w:val="0"/>
                  <w:vAlign w:val="center"/>
                </w:tcPr>
                <w:p w14:paraId="10CBCEFE">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cs="Times New Roman"/>
                      <w:bCs/>
                      <w:color w:val="auto"/>
                      <w:kern w:val="0"/>
                      <w:sz w:val="18"/>
                      <w:szCs w:val="18"/>
                      <w:lang w:val="en-US" w:eastAsia="zh-CN"/>
                    </w:rPr>
                  </w:pPr>
                </w:p>
              </w:tc>
              <w:tc>
                <w:tcPr>
                  <w:tcW w:w="994" w:type="dxa"/>
                  <w:vMerge w:val="restart"/>
                  <w:tcBorders>
                    <w:tl2br w:val="nil"/>
                    <w:tr2bl w:val="nil"/>
                  </w:tcBorders>
                  <w:noWrap w:val="0"/>
                  <w:vAlign w:val="center"/>
                </w:tcPr>
                <w:p w14:paraId="7252C82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cs="Times New Roman"/>
                      <w:bCs/>
                      <w:color w:val="auto"/>
                      <w:kern w:val="0"/>
                      <w:sz w:val="18"/>
                      <w:szCs w:val="18"/>
                      <w:lang w:val="en-US" w:eastAsia="zh-CN"/>
                    </w:rPr>
                  </w:pPr>
                  <w:r>
                    <w:rPr>
                      <w:rFonts w:hint="eastAsia" w:cs="Times New Roman"/>
                      <w:bCs/>
                      <w:color w:val="auto"/>
                      <w:kern w:val="0"/>
                      <w:sz w:val="18"/>
                      <w:szCs w:val="18"/>
                      <w:lang w:val="en-US" w:eastAsia="zh-CN"/>
                    </w:rPr>
                    <w:t>低氮燃烧技术+DA011排气筒</w:t>
                  </w:r>
                </w:p>
              </w:tc>
              <w:tc>
                <w:tcPr>
                  <w:tcW w:w="891" w:type="dxa"/>
                  <w:tcBorders>
                    <w:tl2br w:val="nil"/>
                    <w:tr2bl w:val="nil"/>
                  </w:tcBorders>
                  <w:noWrap w:val="0"/>
                  <w:vAlign w:val="center"/>
                </w:tcPr>
                <w:p w14:paraId="19E1217C">
                  <w:pPr>
                    <w:keepNext w:val="0"/>
                    <w:keepLines w:val="0"/>
                    <w:widowControl/>
                    <w:suppressLineNumbers w:val="0"/>
                    <w:jc w:val="center"/>
                    <w:textAlignment w:val="center"/>
                    <w:rPr>
                      <w:rFonts w:hint="default" w:ascii="Times New Roman" w:hAnsi="Times New Roman"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0.456 </w:t>
                  </w:r>
                </w:p>
              </w:tc>
              <w:tc>
                <w:tcPr>
                  <w:tcW w:w="622" w:type="dxa"/>
                  <w:tcBorders>
                    <w:tl2br w:val="nil"/>
                    <w:tr2bl w:val="nil"/>
                  </w:tcBorders>
                  <w:noWrap w:val="0"/>
                  <w:vAlign w:val="center"/>
                </w:tcPr>
                <w:p w14:paraId="19850209">
                  <w:pPr>
                    <w:keepNext w:val="0"/>
                    <w:keepLines w:val="0"/>
                    <w:widowControl/>
                    <w:suppressLineNumbers w:val="0"/>
                    <w:jc w:val="center"/>
                    <w:textAlignment w:val="center"/>
                    <w:rPr>
                      <w:rFonts w:hint="default" w:ascii="Times New Roman" w:hAnsi="Times New Roman"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0.065 </w:t>
                  </w:r>
                </w:p>
              </w:tc>
              <w:tc>
                <w:tcPr>
                  <w:tcW w:w="711" w:type="dxa"/>
                  <w:tcBorders>
                    <w:tl2br w:val="nil"/>
                    <w:tr2bl w:val="nil"/>
                  </w:tcBorders>
                  <w:shd w:val="clear" w:color="auto" w:fill="auto"/>
                  <w:noWrap w:val="0"/>
                  <w:vAlign w:val="center"/>
                </w:tcPr>
                <w:p w14:paraId="31EC6BBF">
                  <w:pPr>
                    <w:keepNext w:val="0"/>
                    <w:keepLines w:val="0"/>
                    <w:widowControl/>
                    <w:suppressLineNumbers w:val="0"/>
                    <w:jc w:val="center"/>
                    <w:textAlignment w:val="center"/>
                    <w:rPr>
                      <w:rFonts w:hint="default" w:ascii="Times New Roman" w:hAnsi="Times New Roman" w:eastAsia="宋体" w:cs="Times New Roman"/>
                      <w:bCs/>
                      <w:color w:val="auto"/>
                      <w:kern w:val="0"/>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5.99 </w:t>
                  </w:r>
                </w:p>
              </w:tc>
              <w:tc>
                <w:tcPr>
                  <w:tcW w:w="487" w:type="dxa"/>
                  <w:tcBorders>
                    <w:tl2br w:val="nil"/>
                    <w:tr2bl w:val="nil"/>
                  </w:tcBorders>
                  <w:shd w:val="clear" w:color="auto" w:fill="auto"/>
                  <w:noWrap w:val="0"/>
                  <w:vAlign w:val="center"/>
                </w:tcPr>
                <w:p w14:paraId="1FBEF0A2">
                  <w:pPr>
                    <w:keepNext w:val="0"/>
                    <w:keepLines w:val="0"/>
                    <w:widowControl/>
                    <w:suppressLineNumbers w:val="0"/>
                    <w:spacing w:line="240" w:lineRule="auto"/>
                    <w:ind w:firstLine="0" w:firstLineChars="0"/>
                    <w:jc w:val="center"/>
                    <w:rPr>
                      <w:rFonts w:hint="eastAsia" w:ascii="Times New Roman" w:hAnsi="Times New Roman" w:eastAsia="宋体" w:cs="Times New Roman"/>
                      <w:color w:val="auto"/>
                      <w:kern w:val="0"/>
                      <w:sz w:val="18"/>
                      <w:szCs w:val="18"/>
                      <w:lang w:val="en-US" w:eastAsia="zh-CN" w:bidi="ar"/>
                    </w:rPr>
                  </w:pPr>
                  <w:r>
                    <w:rPr>
                      <w:rFonts w:hint="eastAsia" w:cs="Times New Roman"/>
                      <w:color w:val="auto"/>
                      <w:kern w:val="0"/>
                      <w:sz w:val="18"/>
                      <w:szCs w:val="18"/>
                      <w:lang w:val="en-US" w:eastAsia="zh-CN" w:bidi="ar"/>
                    </w:rPr>
                    <w:t>10</w:t>
                  </w:r>
                </w:p>
              </w:tc>
            </w:tr>
            <w:tr w14:paraId="390973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7" w:type="dxa"/>
                  <w:vMerge w:val="continue"/>
                  <w:tcBorders>
                    <w:tl2br w:val="nil"/>
                    <w:tr2bl w:val="nil"/>
                  </w:tcBorders>
                  <w:shd w:val="clear" w:color="auto" w:fill="auto"/>
                  <w:noWrap w:val="0"/>
                  <w:vAlign w:val="center"/>
                </w:tcPr>
                <w:p w14:paraId="3D7C75F4">
                  <w:pPr>
                    <w:jc w:val="center"/>
                    <w:textAlignment w:val="center"/>
                    <w:rPr>
                      <w:rFonts w:hint="eastAsia"/>
                      <w:color w:val="auto"/>
                      <w:sz w:val="18"/>
                      <w:szCs w:val="18"/>
                    </w:rPr>
                  </w:pPr>
                </w:p>
              </w:tc>
              <w:tc>
                <w:tcPr>
                  <w:tcW w:w="936" w:type="dxa"/>
                  <w:vMerge w:val="continue"/>
                  <w:tcBorders>
                    <w:tl2br w:val="nil"/>
                    <w:tr2bl w:val="nil"/>
                  </w:tcBorders>
                  <w:noWrap w:val="0"/>
                  <w:vAlign w:val="center"/>
                </w:tcPr>
                <w:p w14:paraId="61153C7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lang w:eastAsia="zh-CN"/>
                    </w:rPr>
                  </w:pPr>
                </w:p>
              </w:tc>
              <w:tc>
                <w:tcPr>
                  <w:tcW w:w="606" w:type="dxa"/>
                  <w:tcBorders>
                    <w:tl2br w:val="nil"/>
                    <w:tr2bl w:val="nil"/>
                  </w:tcBorders>
                  <w:shd w:val="clear" w:color="auto" w:fill="auto"/>
                  <w:noWrap w:val="0"/>
                  <w:vAlign w:val="center"/>
                </w:tcPr>
                <w:p w14:paraId="36A15A4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cs="Times New Roman"/>
                      <w:bCs/>
                      <w:color w:val="auto"/>
                      <w:kern w:val="0"/>
                      <w:sz w:val="18"/>
                      <w:szCs w:val="18"/>
                      <w:lang w:val="en-US" w:eastAsia="zh-CN"/>
                    </w:rPr>
                    <w:t>SO</w:t>
                  </w:r>
                  <w:r>
                    <w:rPr>
                      <w:rFonts w:hint="eastAsia" w:ascii="Times New Roman" w:hAnsi="Times New Roman" w:cs="Times New Roman"/>
                      <w:bCs/>
                      <w:color w:val="auto"/>
                      <w:kern w:val="0"/>
                      <w:sz w:val="18"/>
                      <w:szCs w:val="18"/>
                      <w:vertAlign w:val="subscript"/>
                      <w:lang w:val="en-US" w:eastAsia="zh-CN"/>
                    </w:rPr>
                    <w:t>2</w:t>
                  </w:r>
                </w:p>
              </w:tc>
              <w:tc>
                <w:tcPr>
                  <w:tcW w:w="523" w:type="dxa"/>
                  <w:tcBorders>
                    <w:tl2br w:val="nil"/>
                    <w:tr2bl w:val="nil"/>
                  </w:tcBorders>
                  <w:shd w:val="clear" w:color="auto" w:fill="auto"/>
                  <w:noWrap w:val="0"/>
                  <w:vAlign w:val="center"/>
                </w:tcPr>
                <w:p w14:paraId="33503C5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物料衡算</w:t>
                  </w:r>
                </w:p>
              </w:tc>
              <w:tc>
                <w:tcPr>
                  <w:tcW w:w="757" w:type="dxa"/>
                  <w:tcBorders>
                    <w:tl2br w:val="nil"/>
                    <w:tr2bl w:val="nil"/>
                  </w:tcBorders>
                  <w:noWrap w:val="0"/>
                  <w:vAlign w:val="center"/>
                </w:tcPr>
                <w:p w14:paraId="4182E1D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w:t>
                  </w:r>
                </w:p>
              </w:tc>
              <w:tc>
                <w:tcPr>
                  <w:tcW w:w="918" w:type="dxa"/>
                  <w:vMerge w:val="continue"/>
                  <w:tcBorders>
                    <w:tl2br w:val="nil"/>
                    <w:tr2bl w:val="nil"/>
                  </w:tcBorders>
                  <w:noWrap w:val="0"/>
                  <w:vAlign w:val="center"/>
                </w:tcPr>
                <w:p w14:paraId="03DBF35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18"/>
                      <w:szCs w:val="18"/>
                      <w:lang w:val="en-US" w:eastAsia="zh-CN"/>
                    </w:rPr>
                  </w:pPr>
                </w:p>
              </w:tc>
              <w:tc>
                <w:tcPr>
                  <w:tcW w:w="994" w:type="dxa"/>
                  <w:vMerge w:val="continue"/>
                  <w:tcBorders>
                    <w:tl2br w:val="nil"/>
                    <w:tr2bl w:val="nil"/>
                  </w:tcBorders>
                  <w:noWrap w:val="0"/>
                  <w:vAlign w:val="center"/>
                </w:tcPr>
                <w:p w14:paraId="4CF30EE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18"/>
                      <w:szCs w:val="18"/>
                      <w:lang w:val="en-US" w:eastAsia="zh-CN"/>
                    </w:rPr>
                  </w:pPr>
                </w:p>
              </w:tc>
              <w:tc>
                <w:tcPr>
                  <w:tcW w:w="891" w:type="dxa"/>
                  <w:tcBorders>
                    <w:tl2br w:val="nil"/>
                    <w:tr2bl w:val="nil"/>
                  </w:tcBorders>
                  <w:noWrap w:val="0"/>
                  <w:vAlign w:val="center"/>
                </w:tcPr>
                <w:p w14:paraId="56DB40DA">
                  <w:pPr>
                    <w:keepNext w:val="0"/>
                    <w:keepLines w:val="0"/>
                    <w:widowControl/>
                    <w:suppressLineNumbers w:val="0"/>
                    <w:jc w:val="center"/>
                    <w:textAlignment w:val="center"/>
                    <w:rPr>
                      <w:rFonts w:hint="default" w:ascii="Times New Roman" w:hAnsi="Times New Roman"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1.12</w:t>
                  </w:r>
                </w:p>
              </w:tc>
              <w:tc>
                <w:tcPr>
                  <w:tcW w:w="622" w:type="dxa"/>
                  <w:tcBorders>
                    <w:tl2br w:val="nil"/>
                    <w:tr2bl w:val="nil"/>
                  </w:tcBorders>
                  <w:noWrap w:val="0"/>
                  <w:vAlign w:val="center"/>
                </w:tcPr>
                <w:p w14:paraId="2B18C425">
                  <w:pPr>
                    <w:keepNext w:val="0"/>
                    <w:keepLines w:val="0"/>
                    <w:widowControl/>
                    <w:suppressLineNumbers w:val="0"/>
                    <w:jc w:val="center"/>
                    <w:textAlignment w:val="center"/>
                    <w:rPr>
                      <w:rFonts w:hint="default" w:ascii="Times New Roman" w:hAnsi="Times New Roman"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0.16</w:t>
                  </w:r>
                </w:p>
              </w:tc>
              <w:tc>
                <w:tcPr>
                  <w:tcW w:w="711" w:type="dxa"/>
                  <w:tcBorders>
                    <w:tl2br w:val="nil"/>
                    <w:tr2bl w:val="nil"/>
                  </w:tcBorders>
                  <w:shd w:val="clear" w:color="auto" w:fill="auto"/>
                  <w:noWrap w:val="0"/>
                  <w:vAlign w:val="center"/>
                </w:tcPr>
                <w:p w14:paraId="644A9C7B">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14.71 </w:t>
                  </w:r>
                </w:p>
              </w:tc>
              <w:tc>
                <w:tcPr>
                  <w:tcW w:w="487" w:type="dxa"/>
                  <w:tcBorders>
                    <w:tl2br w:val="nil"/>
                    <w:tr2bl w:val="nil"/>
                  </w:tcBorders>
                  <w:shd w:val="clear" w:color="auto" w:fill="auto"/>
                  <w:noWrap w:val="0"/>
                  <w:vAlign w:val="center"/>
                </w:tcPr>
                <w:p w14:paraId="6530DFF2">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lang w:val="en-US" w:eastAsia="zh-CN" w:bidi="ar"/>
                    </w:rPr>
                  </w:pPr>
                  <w:r>
                    <w:rPr>
                      <w:rFonts w:hint="eastAsia" w:cs="Times New Roman"/>
                      <w:color w:val="auto"/>
                      <w:kern w:val="0"/>
                      <w:sz w:val="18"/>
                      <w:szCs w:val="18"/>
                      <w:lang w:val="en-US" w:eastAsia="zh-CN" w:bidi="ar"/>
                    </w:rPr>
                    <w:t>50</w:t>
                  </w:r>
                </w:p>
              </w:tc>
            </w:tr>
            <w:tr w14:paraId="512C2F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7" w:type="dxa"/>
                  <w:vMerge w:val="continue"/>
                  <w:tcBorders>
                    <w:tl2br w:val="nil"/>
                    <w:tr2bl w:val="nil"/>
                  </w:tcBorders>
                  <w:shd w:val="clear" w:color="auto" w:fill="auto"/>
                  <w:noWrap w:val="0"/>
                  <w:vAlign w:val="center"/>
                </w:tcPr>
                <w:p w14:paraId="6C166549">
                  <w:pPr>
                    <w:jc w:val="center"/>
                    <w:textAlignment w:val="center"/>
                    <w:rPr>
                      <w:rFonts w:hint="eastAsia"/>
                      <w:color w:val="auto"/>
                      <w:sz w:val="18"/>
                      <w:szCs w:val="18"/>
                    </w:rPr>
                  </w:pPr>
                </w:p>
              </w:tc>
              <w:tc>
                <w:tcPr>
                  <w:tcW w:w="936" w:type="dxa"/>
                  <w:vMerge w:val="continue"/>
                  <w:tcBorders>
                    <w:tl2br w:val="nil"/>
                    <w:tr2bl w:val="nil"/>
                  </w:tcBorders>
                  <w:noWrap w:val="0"/>
                  <w:vAlign w:val="center"/>
                </w:tcPr>
                <w:p w14:paraId="5EC9352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lang w:eastAsia="zh-CN"/>
                    </w:rPr>
                  </w:pPr>
                </w:p>
              </w:tc>
              <w:tc>
                <w:tcPr>
                  <w:tcW w:w="606" w:type="dxa"/>
                  <w:tcBorders>
                    <w:tl2br w:val="nil"/>
                    <w:tr2bl w:val="nil"/>
                  </w:tcBorders>
                  <w:shd w:val="clear" w:color="auto" w:fill="auto"/>
                  <w:noWrap w:val="0"/>
                  <w:vAlign w:val="center"/>
                </w:tcPr>
                <w:p w14:paraId="231C633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cs="Times New Roman"/>
                      <w:bCs/>
                      <w:color w:val="auto"/>
                      <w:kern w:val="0"/>
                      <w:sz w:val="18"/>
                      <w:szCs w:val="18"/>
                      <w:lang w:val="en-US" w:eastAsia="zh-CN"/>
                    </w:rPr>
                    <w:t>NO</w:t>
                  </w:r>
                  <w:r>
                    <w:rPr>
                      <w:rFonts w:hint="eastAsia" w:ascii="Times New Roman" w:hAnsi="Times New Roman" w:cs="Times New Roman"/>
                      <w:bCs/>
                      <w:color w:val="auto"/>
                      <w:kern w:val="0"/>
                      <w:sz w:val="18"/>
                      <w:szCs w:val="18"/>
                      <w:vertAlign w:val="subscript"/>
                      <w:lang w:val="en-US" w:eastAsia="zh-CN"/>
                    </w:rPr>
                    <w:t>X</w:t>
                  </w:r>
                </w:p>
              </w:tc>
              <w:tc>
                <w:tcPr>
                  <w:tcW w:w="523" w:type="dxa"/>
                  <w:tcBorders>
                    <w:tl2br w:val="nil"/>
                    <w:tr2bl w:val="nil"/>
                  </w:tcBorders>
                  <w:shd w:val="clear" w:color="auto" w:fill="auto"/>
                  <w:noWrap w:val="0"/>
                  <w:vAlign w:val="center"/>
                </w:tcPr>
                <w:p w14:paraId="187A98C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bCs/>
                      <w:color w:val="auto"/>
                      <w:kern w:val="0"/>
                      <w:sz w:val="18"/>
                      <w:szCs w:val="18"/>
                      <w:lang w:val="en-US" w:eastAsia="zh-CN"/>
                    </w:rPr>
                    <w:t>类比法</w:t>
                  </w:r>
                </w:p>
              </w:tc>
              <w:tc>
                <w:tcPr>
                  <w:tcW w:w="757" w:type="dxa"/>
                  <w:tcBorders>
                    <w:tl2br w:val="nil"/>
                    <w:tr2bl w:val="nil"/>
                  </w:tcBorders>
                  <w:noWrap w:val="0"/>
                  <w:vAlign w:val="center"/>
                </w:tcPr>
                <w:p w14:paraId="06AE587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bCs/>
                      <w:color w:val="auto"/>
                      <w:kern w:val="0"/>
                      <w:sz w:val="18"/>
                      <w:szCs w:val="18"/>
                      <w:lang w:val="en-US" w:eastAsia="zh-CN"/>
                    </w:rPr>
                  </w:pPr>
                  <w:r>
                    <w:rPr>
                      <w:rFonts w:hint="eastAsia" w:cs="Times New Roman"/>
                      <w:bCs/>
                      <w:color w:val="auto"/>
                      <w:kern w:val="0"/>
                      <w:sz w:val="18"/>
                      <w:szCs w:val="18"/>
                      <w:lang w:val="en-US" w:eastAsia="zh-CN"/>
                    </w:rPr>
                    <w:t>1.44</w:t>
                  </w:r>
                </w:p>
              </w:tc>
              <w:tc>
                <w:tcPr>
                  <w:tcW w:w="918" w:type="dxa"/>
                  <w:vMerge w:val="continue"/>
                  <w:tcBorders>
                    <w:tl2br w:val="nil"/>
                    <w:tr2bl w:val="nil"/>
                  </w:tcBorders>
                  <w:noWrap w:val="0"/>
                  <w:vAlign w:val="center"/>
                </w:tcPr>
                <w:p w14:paraId="17886E5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bCs/>
                      <w:color w:val="auto"/>
                      <w:kern w:val="0"/>
                      <w:sz w:val="18"/>
                      <w:szCs w:val="18"/>
                      <w:lang w:val="en-US" w:eastAsia="zh-CN"/>
                    </w:rPr>
                  </w:pPr>
                </w:p>
              </w:tc>
              <w:tc>
                <w:tcPr>
                  <w:tcW w:w="994" w:type="dxa"/>
                  <w:vMerge w:val="continue"/>
                  <w:tcBorders>
                    <w:tl2br w:val="nil"/>
                    <w:tr2bl w:val="nil"/>
                  </w:tcBorders>
                  <w:noWrap w:val="0"/>
                  <w:vAlign w:val="center"/>
                </w:tcPr>
                <w:p w14:paraId="5FB3568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bCs/>
                      <w:color w:val="auto"/>
                      <w:kern w:val="0"/>
                      <w:sz w:val="18"/>
                      <w:szCs w:val="18"/>
                      <w:lang w:val="en-US" w:eastAsia="zh-CN"/>
                    </w:rPr>
                  </w:pPr>
                </w:p>
              </w:tc>
              <w:tc>
                <w:tcPr>
                  <w:tcW w:w="891" w:type="dxa"/>
                  <w:tcBorders>
                    <w:tl2br w:val="nil"/>
                    <w:tr2bl w:val="nil"/>
                  </w:tcBorders>
                  <w:noWrap w:val="0"/>
                  <w:vAlign w:val="center"/>
                </w:tcPr>
                <w:p w14:paraId="7C393509">
                  <w:pPr>
                    <w:keepNext w:val="0"/>
                    <w:keepLines w:val="0"/>
                    <w:widowControl/>
                    <w:suppressLineNumbers w:val="0"/>
                    <w:jc w:val="center"/>
                    <w:textAlignment w:val="center"/>
                    <w:rPr>
                      <w:rFonts w:hint="default" w:ascii="Times New Roman" w:hAnsi="Times New Roman"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6.72</w:t>
                  </w:r>
                </w:p>
              </w:tc>
              <w:tc>
                <w:tcPr>
                  <w:tcW w:w="622" w:type="dxa"/>
                  <w:tcBorders>
                    <w:tl2br w:val="nil"/>
                    <w:tr2bl w:val="nil"/>
                  </w:tcBorders>
                  <w:noWrap w:val="0"/>
                  <w:vAlign w:val="center"/>
                </w:tcPr>
                <w:p w14:paraId="4FC9488A">
                  <w:pPr>
                    <w:keepNext w:val="0"/>
                    <w:keepLines w:val="0"/>
                    <w:widowControl/>
                    <w:suppressLineNumbers w:val="0"/>
                    <w:jc w:val="center"/>
                    <w:textAlignment w:val="center"/>
                    <w:rPr>
                      <w:rFonts w:hint="default" w:ascii="Times New Roman" w:hAnsi="Times New Roman"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0.96</w:t>
                  </w:r>
                </w:p>
              </w:tc>
              <w:tc>
                <w:tcPr>
                  <w:tcW w:w="711" w:type="dxa"/>
                  <w:tcBorders>
                    <w:tl2br w:val="nil"/>
                    <w:tr2bl w:val="nil"/>
                  </w:tcBorders>
                  <w:shd w:val="clear" w:color="auto" w:fill="auto"/>
                  <w:noWrap w:val="0"/>
                  <w:vAlign w:val="center"/>
                </w:tcPr>
                <w:p w14:paraId="310E4EE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88.24 </w:t>
                  </w:r>
                </w:p>
              </w:tc>
              <w:tc>
                <w:tcPr>
                  <w:tcW w:w="487" w:type="dxa"/>
                  <w:tcBorders>
                    <w:tl2br w:val="nil"/>
                    <w:tr2bl w:val="nil"/>
                  </w:tcBorders>
                  <w:shd w:val="clear" w:color="auto" w:fill="auto"/>
                  <w:noWrap w:val="0"/>
                  <w:vAlign w:val="center"/>
                </w:tcPr>
                <w:p w14:paraId="11018506">
                  <w:pPr>
                    <w:keepNext w:val="0"/>
                    <w:keepLines w:val="0"/>
                    <w:widowControl/>
                    <w:suppressLineNumbers w:val="0"/>
                    <w:spacing w:line="240" w:lineRule="auto"/>
                    <w:ind w:firstLine="0" w:firstLineChars="0"/>
                    <w:jc w:val="center"/>
                    <w:rPr>
                      <w:rFonts w:hint="eastAsia" w:ascii="Times New Roman" w:hAnsi="Times New Roman" w:eastAsia="宋体" w:cs="Times New Roman"/>
                      <w:color w:val="auto"/>
                      <w:kern w:val="0"/>
                      <w:sz w:val="18"/>
                      <w:szCs w:val="18"/>
                      <w:lang w:val="en-US" w:eastAsia="zh-CN" w:bidi="ar"/>
                    </w:rPr>
                  </w:pPr>
                  <w:r>
                    <w:rPr>
                      <w:rFonts w:hint="eastAsia" w:cs="Times New Roman"/>
                      <w:color w:val="auto"/>
                      <w:kern w:val="0"/>
                      <w:sz w:val="18"/>
                      <w:szCs w:val="18"/>
                      <w:lang w:val="en-US" w:eastAsia="zh-CN" w:bidi="ar"/>
                    </w:rPr>
                    <w:t>200</w:t>
                  </w:r>
                </w:p>
              </w:tc>
            </w:tr>
            <w:tr w14:paraId="696852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7" w:type="dxa"/>
                  <w:vMerge w:val="continue"/>
                  <w:tcBorders>
                    <w:tl2br w:val="nil"/>
                    <w:tr2bl w:val="nil"/>
                  </w:tcBorders>
                  <w:shd w:val="clear" w:color="auto" w:fill="auto"/>
                  <w:noWrap w:val="0"/>
                  <w:vAlign w:val="center"/>
                </w:tcPr>
                <w:p w14:paraId="081C329F">
                  <w:pPr>
                    <w:jc w:val="center"/>
                    <w:textAlignment w:val="center"/>
                    <w:rPr>
                      <w:rFonts w:hint="eastAsia"/>
                      <w:color w:val="auto"/>
                      <w:sz w:val="18"/>
                      <w:szCs w:val="18"/>
                    </w:rPr>
                  </w:pPr>
                </w:p>
              </w:tc>
              <w:tc>
                <w:tcPr>
                  <w:tcW w:w="936" w:type="dxa"/>
                  <w:vMerge w:val="continue"/>
                  <w:tcBorders>
                    <w:tl2br w:val="nil"/>
                    <w:tr2bl w:val="nil"/>
                  </w:tcBorders>
                  <w:noWrap w:val="0"/>
                  <w:vAlign w:val="center"/>
                </w:tcPr>
                <w:p w14:paraId="6AC2E5C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lang w:eastAsia="zh-CN"/>
                    </w:rPr>
                  </w:pPr>
                </w:p>
              </w:tc>
              <w:tc>
                <w:tcPr>
                  <w:tcW w:w="606" w:type="dxa"/>
                  <w:tcBorders>
                    <w:tl2br w:val="nil"/>
                    <w:tr2bl w:val="nil"/>
                  </w:tcBorders>
                  <w:shd w:val="clear" w:color="auto" w:fill="auto"/>
                  <w:noWrap w:val="0"/>
                  <w:vAlign w:val="center"/>
                </w:tcPr>
                <w:p w14:paraId="5493FA3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auto"/>
                      <w:kern w:val="0"/>
                      <w:sz w:val="18"/>
                      <w:szCs w:val="18"/>
                      <w:lang w:val="en-US" w:eastAsia="zh-CN" w:bidi="ar-SA"/>
                    </w:rPr>
                  </w:pPr>
                  <w:r>
                    <w:rPr>
                      <w:rFonts w:hint="eastAsia" w:ascii="Times New Roman" w:hAnsi="Times New Roman" w:cs="Times New Roman"/>
                      <w:bCs/>
                      <w:color w:val="auto"/>
                      <w:kern w:val="0"/>
                      <w:sz w:val="18"/>
                      <w:szCs w:val="18"/>
                      <w:lang w:val="en-US" w:eastAsia="zh-CN"/>
                    </w:rPr>
                    <w:t>废气量</w:t>
                  </w:r>
                </w:p>
              </w:tc>
              <w:tc>
                <w:tcPr>
                  <w:tcW w:w="523" w:type="dxa"/>
                  <w:tcBorders>
                    <w:tl2br w:val="nil"/>
                    <w:tr2bl w:val="nil"/>
                  </w:tcBorders>
                  <w:shd w:val="clear" w:color="auto" w:fill="auto"/>
                  <w:noWrap w:val="0"/>
                  <w:vAlign w:val="center"/>
                </w:tcPr>
                <w:p w14:paraId="16BE384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产污系数</w:t>
                  </w:r>
                </w:p>
              </w:tc>
              <w:tc>
                <w:tcPr>
                  <w:tcW w:w="757" w:type="dxa"/>
                  <w:tcBorders>
                    <w:tl2br w:val="nil"/>
                    <w:tr2bl w:val="nil"/>
                  </w:tcBorders>
                  <w:noWrap w:val="0"/>
                  <w:vAlign w:val="center"/>
                </w:tcPr>
                <w:p w14:paraId="5EBC82B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w:t>
                  </w:r>
                </w:p>
              </w:tc>
              <w:tc>
                <w:tcPr>
                  <w:tcW w:w="918" w:type="dxa"/>
                  <w:vMerge w:val="continue"/>
                  <w:tcBorders>
                    <w:tl2br w:val="nil"/>
                    <w:tr2bl w:val="nil"/>
                  </w:tcBorders>
                  <w:noWrap w:val="0"/>
                  <w:vAlign w:val="center"/>
                </w:tcPr>
                <w:p w14:paraId="057A315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18"/>
                      <w:szCs w:val="18"/>
                      <w:lang w:val="en-US" w:eastAsia="zh-CN"/>
                    </w:rPr>
                  </w:pPr>
                </w:p>
              </w:tc>
              <w:tc>
                <w:tcPr>
                  <w:tcW w:w="994" w:type="dxa"/>
                  <w:vMerge w:val="continue"/>
                  <w:tcBorders>
                    <w:tl2br w:val="nil"/>
                    <w:tr2bl w:val="nil"/>
                  </w:tcBorders>
                  <w:noWrap w:val="0"/>
                  <w:vAlign w:val="center"/>
                </w:tcPr>
                <w:p w14:paraId="19A0F1E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18"/>
                      <w:szCs w:val="18"/>
                      <w:lang w:val="en-US" w:eastAsia="zh-CN"/>
                    </w:rPr>
                  </w:pPr>
                </w:p>
              </w:tc>
              <w:tc>
                <w:tcPr>
                  <w:tcW w:w="891" w:type="dxa"/>
                  <w:tcBorders>
                    <w:tl2br w:val="nil"/>
                    <w:tr2bl w:val="nil"/>
                  </w:tcBorders>
                  <w:noWrap w:val="0"/>
                  <w:vAlign w:val="center"/>
                </w:tcPr>
                <w:p w14:paraId="767657B1">
                  <w:pPr>
                    <w:keepNext w:val="0"/>
                    <w:keepLines w:val="0"/>
                    <w:widowControl/>
                    <w:suppressLineNumbers w:val="0"/>
                    <w:jc w:val="center"/>
                    <w:textAlignment w:val="center"/>
                    <w:rPr>
                      <w:rFonts w:hint="default" w:ascii="Times New Roman" w:hAnsi="Times New Roman"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10880</w:t>
                  </w:r>
                </w:p>
              </w:tc>
              <w:tc>
                <w:tcPr>
                  <w:tcW w:w="622" w:type="dxa"/>
                  <w:tcBorders>
                    <w:tl2br w:val="nil"/>
                    <w:tr2bl w:val="nil"/>
                  </w:tcBorders>
                  <w:shd w:val="clear" w:color="auto" w:fill="auto"/>
                  <w:noWrap w:val="0"/>
                  <w:vAlign w:val="center"/>
                </w:tcPr>
                <w:p w14:paraId="5F96C97C">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w:t>
                  </w:r>
                </w:p>
              </w:tc>
              <w:tc>
                <w:tcPr>
                  <w:tcW w:w="711" w:type="dxa"/>
                  <w:tcBorders>
                    <w:tl2br w:val="nil"/>
                    <w:tr2bl w:val="nil"/>
                  </w:tcBorders>
                  <w:shd w:val="clear" w:color="auto" w:fill="auto"/>
                  <w:noWrap w:val="0"/>
                  <w:vAlign w:val="center"/>
                </w:tcPr>
                <w:p w14:paraId="7BA23BD8">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6.80 </w:t>
                  </w:r>
                </w:p>
              </w:tc>
              <w:tc>
                <w:tcPr>
                  <w:tcW w:w="487" w:type="dxa"/>
                  <w:tcBorders>
                    <w:tl2br w:val="nil"/>
                    <w:tr2bl w:val="nil"/>
                  </w:tcBorders>
                  <w:shd w:val="clear" w:color="auto" w:fill="auto"/>
                  <w:noWrap w:val="0"/>
                  <w:vAlign w:val="center"/>
                </w:tcPr>
                <w:p w14:paraId="329E2E1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r>
            <w:tr w14:paraId="5D5F61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7" w:type="dxa"/>
                  <w:vMerge w:val="restart"/>
                  <w:shd w:val="clear" w:color="auto" w:fill="auto"/>
                  <w:vAlign w:val="center"/>
                </w:tcPr>
                <w:p w14:paraId="22FD2235">
                  <w:pPr>
                    <w:jc w:val="center"/>
                    <w:textAlignment w:val="center"/>
                    <w:rPr>
                      <w:rFonts w:hint="default" w:eastAsia="宋体"/>
                      <w:color w:val="auto"/>
                      <w:sz w:val="18"/>
                      <w:szCs w:val="18"/>
                      <w:highlight w:val="none"/>
                      <w:lang w:val="en-US" w:eastAsia="zh-CN"/>
                    </w:rPr>
                  </w:pPr>
                  <w:r>
                    <w:rPr>
                      <w:rFonts w:hint="eastAsia"/>
                      <w:color w:val="auto"/>
                      <w:sz w:val="18"/>
                      <w:szCs w:val="18"/>
                      <w:highlight w:val="none"/>
                      <w:lang w:val="en-US" w:eastAsia="zh-CN"/>
                    </w:rPr>
                    <w:t>酸再生装置</w:t>
                  </w:r>
                </w:p>
              </w:tc>
              <w:tc>
                <w:tcPr>
                  <w:tcW w:w="936" w:type="dxa"/>
                  <w:vMerge w:val="restart"/>
                  <w:vAlign w:val="center"/>
                </w:tcPr>
                <w:p w14:paraId="15E4981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lang w:val="en-US" w:eastAsia="zh-CN"/>
                    </w:rPr>
                  </w:pPr>
                  <w:r>
                    <w:rPr>
                      <w:rFonts w:hint="eastAsia" w:cs="Times New Roman"/>
                      <w:color w:val="auto"/>
                      <w:sz w:val="18"/>
                      <w:szCs w:val="18"/>
                      <w:lang w:val="en-US" w:eastAsia="zh-CN"/>
                    </w:rPr>
                    <w:t>780000</w:t>
                  </w:r>
                </w:p>
              </w:tc>
              <w:tc>
                <w:tcPr>
                  <w:tcW w:w="606" w:type="dxa"/>
                  <w:shd w:val="clear" w:color="auto" w:fill="auto"/>
                  <w:vAlign w:val="center"/>
                </w:tcPr>
                <w:p w14:paraId="2F72447E">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auto"/>
                      <w:kern w:val="0"/>
                      <w:sz w:val="18"/>
                      <w:szCs w:val="18"/>
                      <w:lang w:val="en-US" w:eastAsia="zh-CN" w:bidi="ar-SA"/>
                    </w:rPr>
                  </w:pPr>
                  <w:r>
                    <w:rPr>
                      <w:rFonts w:hint="eastAsia" w:ascii="Times New Roman" w:hAnsi="Times New Roman" w:cs="Times New Roman"/>
                      <w:bCs/>
                      <w:color w:val="auto"/>
                      <w:kern w:val="0"/>
                      <w:sz w:val="18"/>
                      <w:szCs w:val="18"/>
                      <w:lang w:val="en-US" w:eastAsia="zh-CN"/>
                    </w:rPr>
                    <w:t>颗粒物</w:t>
                  </w:r>
                </w:p>
              </w:tc>
              <w:tc>
                <w:tcPr>
                  <w:tcW w:w="523" w:type="dxa"/>
                  <w:shd w:val="clear" w:color="auto" w:fill="auto"/>
                  <w:vAlign w:val="center"/>
                </w:tcPr>
                <w:p w14:paraId="23462203">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auto"/>
                      <w:kern w:val="0"/>
                      <w:sz w:val="18"/>
                      <w:szCs w:val="18"/>
                      <w:lang w:val="en-US" w:eastAsia="zh-CN" w:bidi="ar-SA"/>
                    </w:rPr>
                  </w:pPr>
                  <w:r>
                    <w:rPr>
                      <w:rFonts w:hint="eastAsia" w:cs="Times New Roman"/>
                      <w:bCs/>
                      <w:color w:val="auto"/>
                      <w:kern w:val="0"/>
                      <w:sz w:val="18"/>
                      <w:szCs w:val="18"/>
                      <w:lang w:val="en-US" w:eastAsia="zh-CN"/>
                    </w:rPr>
                    <w:t>类比法</w:t>
                  </w:r>
                </w:p>
              </w:tc>
              <w:tc>
                <w:tcPr>
                  <w:tcW w:w="757" w:type="dxa"/>
                  <w:vAlign w:val="center"/>
                </w:tcPr>
                <w:p w14:paraId="5F6E5911">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cs="Times New Roman"/>
                      <w:bCs/>
                      <w:color w:val="auto"/>
                      <w:kern w:val="0"/>
                      <w:sz w:val="18"/>
                      <w:szCs w:val="18"/>
                      <w:lang w:val="en-US" w:eastAsia="zh-CN"/>
                    </w:rPr>
                  </w:pPr>
                  <w:r>
                    <w:rPr>
                      <w:rFonts w:hint="eastAsia" w:cs="Times New Roman"/>
                      <w:bCs/>
                      <w:color w:val="auto"/>
                      <w:kern w:val="0"/>
                      <w:sz w:val="18"/>
                      <w:szCs w:val="18"/>
                      <w:lang w:val="en-US" w:eastAsia="zh-CN"/>
                    </w:rPr>
                    <w:t>0.03</w:t>
                  </w:r>
                </w:p>
              </w:tc>
              <w:tc>
                <w:tcPr>
                  <w:tcW w:w="918" w:type="dxa"/>
                  <w:vMerge w:val="continue"/>
                  <w:vAlign w:val="center"/>
                </w:tcPr>
                <w:p w14:paraId="355702B4">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cs="Times New Roman"/>
                      <w:bCs/>
                      <w:color w:val="auto"/>
                      <w:kern w:val="0"/>
                      <w:sz w:val="18"/>
                      <w:szCs w:val="18"/>
                      <w:lang w:val="en-US" w:eastAsia="zh-CN"/>
                    </w:rPr>
                  </w:pPr>
                </w:p>
              </w:tc>
              <w:tc>
                <w:tcPr>
                  <w:tcW w:w="994" w:type="dxa"/>
                  <w:vMerge w:val="restart"/>
                  <w:vAlign w:val="center"/>
                </w:tcPr>
                <w:p w14:paraId="3C06962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kern w:val="2"/>
                      <w:sz w:val="18"/>
                      <w:szCs w:val="18"/>
                      <w:lang w:val="en-US" w:eastAsia="zh-CN" w:bidi="ar-SA"/>
                    </w:rPr>
                  </w:pPr>
                  <w:r>
                    <w:rPr>
                      <w:rFonts w:hint="eastAsia" w:cs="Times New Roman"/>
                      <w:snapToGrid w:val="0"/>
                      <w:color w:val="auto"/>
                      <w:kern w:val="2"/>
                      <w:sz w:val="18"/>
                      <w:szCs w:val="18"/>
                      <w:highlight w:val="none"/>
                      <w:vertAlign w:val="baseline"/>
                      <w:lang w:val="en-US" w:eastAsia="zh-CN" w:bidi="ar-SA"/>
                    </w:rPr>
                    <w:t>经低氮燃烧+旋风除尘器+预浓缩器+吸收塔+酸洗塔+水洗塔处理后经24m高排气筒DA013排放</w:t>
                  </w:r>
                </w:p>
              </w:tc>
              <w:tc>
                <w:tcPr>
                  <w:tcW w:w="891" w:type="dxa"/>
                  <w:vAlign w:val="center"/>
                </w:tcPr>
                <w:p w14:paraId="540D90C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 xml:space="preserve">0.42 </w:t>
                  </w:r>
                </w:p>
              </w:tc>
              <w:tc>
                <w:tcPr>
                  <w:tcW w:w="622" w:type="dxa"/>
                  <w:vAlign w:val="center"/>
                </w:tcPr>
                <w:p w14:paraId="166F53E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 xml:space="preserve">0.06 </w:t>
                  </w:r>
                </w:p>
              </w:tc>
              <w:tc>
                <w:tcPr>
                  <w:tcW w:w="711" w:type="dxa"/>
                  <w:vAlign w:val="center"/>
                </w:tcPr>
                <w:p w14:paraId="0143987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 xml:space="preserve">5.00 </w:t>
                  </w:r>
                </w:p>
              </w:tc>
              <w:tc>
                <w:tcPr>
                  <w:tcW w:w="487" w:type="dxa"/>
                  <w:shd w:val="clear" w:color="auto" w:fill="auto"/>
                  <w:vAlign w:val="center"/>
                </w:tcPr>
                <w:p w14:paraId="04F8674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30</w:t>
                  </w:r>
                </w:p>
              </w:tc>
            </w:tr>
            <w:tr w14:paraId="18913E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7" w:type="dxa"/>
                  <w:vMerge w:val="continue"/>
                  <w:shd w:val="clear" w:color="auto" w:fill="auto"/>
                  <w:vAlign w:val="center"/>
                </w:tcPr>
                <w:p w14:paraId="41BF6A6F">
                  <w:pPr>
                    <w:jc w:val="center"/>
                    <w:textAlignment w:val="center"/>
                    <w:rPr>
                      <w:rFonts w:hint="eastAsia"/>
                      <w:color w:val="auto"/>
                      <w:sz w:val="18"/>
                      <w:szCs w:val="18"/>
                      <w:highlight w:val="none"/>
                    </w:rPr>
                  </w:pPr>
                </w:p>
              </w:tc>
              <w:tc>
                <w:tcPr>
                  <w:tcW w:w="936" w:type="dxa"/>
                  <w:vMerge w:val="continue"/>
                  <w:vAlign w:val="center"/>
                </w:tcPr>
                <w:p w14:paraId="0B041DB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lang w:eastAsia="zh-CN"/>
                    </w:rPr>
                  </w:pPr>
                </w:p>
              </w:tc>
              <w:tc>
                <w:tcPr>
                  <w:tcW w:w="606" w:type="dxa"/>
                  <w:shd w:val="clear" w:color="auto" w:fill="auto"/>
                  <w:vAlign w:val="center"/>
                </w:tcPr>
                <w:p w14:paraId="18AB2D2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cs="Times New Roman"/>
                      <w:bCs/>
                      <w:color w:val="auto"/>
                      <w:kern w:val="0"/>
                      <w:sz w:val="18"/>
                      <w:szCs w:val="18"/>
                      <w:lang w:val="en-US" w:eastAsia="zh-CN"/>
                    </w:rPr>
                    <w:t>SO</w:t>
                  </w:r>
                  <w:r>
                    <w:rPr>
                      <w:rFonts w:hint="eastAsia" w:ascii="Times New Roman" w:hAnsi="Times New Roman" w:cs="Times New Roman"/>
                      <w:bCs/>
                      <w:color w:val="auto"/>
                      <w:kern w:val="0"/>
                      <w:sz w:val="18"/>
                      <w:szCs w:val="18"/>
                      <w:vertAlign w:val="subscript"/>
                      <w:lang w:val="en-US" w:eastAsia="zh-CN"/>
                    </w:rPr>
                    <w:t>2</w:t>
                  </w:r>
                </w:p>
              </w:tc>
              <w:tc>
                <w:tcPr>
                  <w:tcW w:w="523" w:type="dxa"/>
                  <w:shd w:val="clear" w:color="auto" w:fill="auto"/>
                  <w:vAlign w:val="center"/>
                </w:tcPr>
                <w:p w14:paraId="3979662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物料衡算</w:t>
                  </w:r>
                </w:p>
              </w:tc>
              <w:tc>
                <w:tcPr>
                  <w:tcW w:w="757" w:type="dxa"/>
                  <w:vAlign w:val="center"/>
                </w:tcPr>
                <w:p w14:paraId="36A18C8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w:t>
                  </w:r>
                </w:p>
              </w:tc>
              <w:tc>
                <w:tcPr>
                  <w:tcW w:w="918" w:type="dxa"/>
                  <w:vMerge w:val="continue"/>
                  <w:vAlign w:val="center"/>
                </w:tcPr>
                <w:p w14:paraId="0DF949D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18"/>
                      <w:szCs w:val="18"/>
                      <w:lang w:val="en-US" w:eastAsia="zh-CN"/>
                    </w:rPr>
                  </w:pPr>
                </w:p>
              </w:tc>
              <w:tc>
                <w:tcPr>
                  <w:tcW w:w="994" w:type="dxa"/>
                  <w:vMerge w:val="continue"/>
                  <w:vAlign w:val="center"/>
                </w:tcPr>
                <w:p w14:paraId="182CAD5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kern w:val="2"/>
                      <w:sz w:val="18"/>
                      <w:szCs w:val="18"/>
                      <w:lang w:val="en-US" w:eastAsia="zh-CN" w:bidi="ar-SA"/>
                    </w:rPr>
                  </w:pPr>
                </w:p>
              </w:tc>
              <w:tc>
                <w:tcPr>
                  <w:tcW w:w="891" w:type="dxa"/>
                  <w:vAlign w:val="center"/>
                </w:tcPr>
                <w:p w14:paraId="130A253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 xml:space="preserve">0.16 </w:t>
                  </w:r>
                </w:p>
              </w:tc>
              <w:tc>
                <w:tcPr>
                  <w:tcW w:w="622" w:type="dxa"/>
                  <w:vAlign w:val="center"/>
                </w:tcPr>
                <w:p w14:paraId="2C84CF4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 xml:space="preserve">0.02 </w:t>
                  </w:r>
                </w:p>
              </w:tc>
              <w:tc>
                <w:tcPr>
                  <w:tcW w:w="711" w:type="dxa"/>
                  <w:vAlign w:val="center"/>
                </w:tcPr>
                <w:p w14:paraId="7FB9486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 xml:space="preserve">1.86 </w:t>
                  </w:r>
                </w:p>
              </w:tc>
              <w:tc>
                <w:tcPr>
                  <w:tcW w:w="487" w:type="dxa"/>
                  <w:shd w:val="clear" w:color="auto" w:fill="auto"/>
                  <w:vAlign w:val="center"/>
                </w:tcPr>
                <w:p w14:paraId="35686AB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200</w:t>
                  </w:r>
                </w:p>
              </w:tc>
            </w:tr>
            <w:tr w14:paraId="0D6D57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7" w:type="dxa"/>
                  <w:vMerge w:val="continue"/>
                  <w:shd w:val="clear" w:color="auto" w:fill="auto"/>
                  <w:vAlign w:val="center"/>
                </w:tcPr>
                <w:p w14:paraId="59C164B6">
                  <w:pPr>
                    <w:jc w:val="center"/>
                    <w:textAlignment w:val="center"/>
                    <w:rPr>
                      <w:rFonts w:hint="eastAsia"/>
                      <w:color w:val="auto"/>
                      <w:sz w:val="18"/>
                      <w:szCs w:val="18"/>
                      <w:highlight w:val="none"/>
                    </w:rPr>
                  </w:pPr>
                </w:p>
              </w:tc>
              <w:tc>
                <w:tcPr>
                  <w:tcW w:w="936" w:type="dxa"/>
                  <w:vMerge w:val="continue"/>
                  <w:vAlign w:val="center"/>
                </w:tcPr>
                <w:p w14:paraId="45A01B3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lang w:eastAsia="zh-CN"/>
                    </w:rPr>
                  </w:pPr>
                </w:p>
              </w:tc>
              <w:tc>
                <w:tcPr>
                  <w:tcW w:w="606" w:type="dxa"/>
                  <w:shd w:val="clear" w:color="auto" w:fill="auto"/>
                  <w:vAlign w:val="center"/>
                </w:tcPr>
                <w:p w14:paraId="1C39B90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cs="Times New Roman"/>
                      <w:bCs/>
                      <w:color w:val="auto"/>
                      <w:kern w:val="0"/>
                      <w:sz w:val="18"/>
                      <w:szCs w:val="18"/>
                      <w:lang w:val="en-US" w:eastAsia="zh-CN"/>
                    </w:rPr>
                    <w:t>NO</w:t>
                  </w:r>
                  <w:r>
                    <w:rPr>
                      <w:rFonts w:hint="eastAsia" w:ascii="Times New Roman" w:hAnsi="Times New Roman" w:cs="Times New Roman"/>
                      <w:bCs/>
                      <w:color w:val="auto"/>
                      <w:kern w:val="0"/>
                      <w:sz w:val="18"/>
                      <w:szCs w:val="18"/>
                      <w:vertAlign w:val="subscript"/>
                      <w:lang w:val="en-US" w:eastAsia="zh-CN"/>
                    </w:rPr>
                    <w:t>X</w:t>
                  </w:r>
                </w:p>
              </w:tc>
              <w:tc>
                <w:tcPr>
                  <w:tcW w:w="523" w:type="dxa"/>
                  <w:shd w:val="clear" w:color="auto" w:fill="auto"/>
                  <w:vAlign w:val="center"/>
                </w:tcPr>
                <w:p w14:paraId="5DAD26C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bCs/>
                      <w:color w:val="auto"/>
                      <w:kern w:val="0"/>
                      <w:sz w:val="18"/>
                      <w:szCs w:val="18"/>
                      <w:lang w:val="en-US" w:eastAsia="zh-CN"/>
                    </w:rPr>
                    <w:t>类比法</w:t>
                  </w:r>
                </w:p>
              </w:tc>
              <w:tc>
                <w:tcPr>
                  <w:tcW w:w="757" w:type="dxa"/>
                  <w:vAlign w:val="center"/>
                </w:tcPr>
                <w:p w14:paraId="5C4935F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bCs/>
                      <w:color w:val="auto"/>
                      <w:kern w:val="0"/>
                      <w:sz w:val="18"/>
                      <w:szCs w:val="18"/>
                      <w:lang w:val="en-US" w:eastAsia="zh-CN"/>
                    </w:rPr>
                  </w:pPr>
                  <w:r>
                    <w:rPr>
                      <w:rFonts w:hint="eastAsia" w:cs="Times New Roman"/>
                      <w:bCs/>
                      <w:color w:val="auto"/>
                      <w:kern w:val="0"/>
                      <w:sz w:val="18"/>
                      <w:szCs w:val="18"/>
                      <w:lang w:val="en-US" w:eastAsia="zh-CN"/>
                    </w:rPr>
                    <w:t>0.4</w:t>
                  </w:r>
                </w:p>
              </w:tc>
              <w:tc>
                <w:tcPr>
                  <w:tcW w:w="918" w:type="dxa"/>
                  <w:vMerge w:val="continue"/>
                  <w:vAlign w:val="center"/>
                </w:tcPr>
                <w:p w14:paraId="4E43A45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bCs/>
                      <w:color w:val="auto"/>
                      <w:kern w:val="0"/>
                      <w:sz w:val="18"/>
                      <w:szCs w:val="18"/>
                      <w:lang w:val="en-US" w:eastAsia="zh-CN"/>
                    </w:rPr>
                  </w:pPr>
                </w:p>
              </w:tc>
              <w:tc>
                <w:tcPr>
                  <w:tcW w:w="994" w:type="dxa"/>
                  <w:vMerge w:val="continue"/>
                  <w:vAlign w:val="center"/>
                </w:tcPr>
                <w:p w14:paraId="33BF288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kern w:val="2"/>
                      <w:sz w:val="18"/>
                      <w:szCs w:val="18"/>
                      <w:lang w:val="en-US" w:eastAsia="zh-CN" w:bidi="ar-SA"/>
                    </w:rPr>
                  </w:pPr>
                </w:p>
              </w:tc>
              <w:tc>
                <w:tcPr>
                  <w:tcW w:w="891" w:type="dxa"/>
                  <w:vAlign w:val="center"/>
                </w:tcPr>
                <w:p w14:paraId="63FDB21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 xml:space="preserve">5.60 </w:t>
                  </w:r>
                </w:p>
              </w:tc>
              <w:tc>
                <w:tcPr>
                  <w:tcW w:w="622" w:type="dxa"/>
                  <w:vAlign w:val="center"/>
                </w:tcPr>
                <w:p w14:paraId="7D7F809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 xml:space="preserve">0.80 </w:t>
                  </w:r>
                </w:p>
              </w:tc>
              <w:tc>
                <w:tcPr>
                  <w:tcW w:w="711" w:type="dxa"/>
                  <w:vAlign w:val="center"/>
                </w:tcPr>
                <w:p w14:paraId="4DBB387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 xml:space="preserve">66.67 </w:t>
                  </w:r>
                </w:p>
              </w:tc>
              <w:tc>
                <w:tcPr>
                  <w:tcW w:w="487" w:type="dxa"/>
                  <w:shd w:val="clear" w:color="auto" w:fill="auto"/>
                  <w:vAlign w:val="center"/>
                </w:tcPr>
                <w:p w14:paraId="00F9027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300</w:t>
                  </w:r>
                </w:p>
              </w:tc>
            </w:tr>
            <w:tr w14:paraId="1BB554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7" w:type="dxa"/>
                  <w:vMerge w:val="continue"/>
                  <w:shd w:val="clear" w:color="auto" w:fill="auto"/>
                  <w:vAlign w:val="center"/>
                </w:tcPr>
                <w:p w14:paraId="2B659E40">
                  <w:pPr>
                    <w:jc w:val="center"/>
                    <w:textAlignment w:val="center"/>
                    <w:rPr>
                      <w:rFonts w:hint="eastAsia"/>
                      <w:color w:val="auto"/>
                      <w:sz w:val="18"/>
                      <w:szCs w:val="18"/>
                      <w:highlight w:val="none"/>
                    </w:rPr>
                  </w:pPr>
                </w:p>
              </w:tc>
              <w:tc>
                <w:tcPr>
                  <w:tcW w:w="936" w:type="dxa"/>
                  <w:vMerge w:val="continue"/>
                  <w:vAlign w:val="center"/>
                </w:tcPr>
                <w:p w14:paraId="0EBA544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lang w:eastAsia="zh-CN"/>
                    </w:rPr>
                  </w:pPr>
                </w:p>
              </w:tc>
              <w:tc>
                <w:tcPr>
                  <w:tcW w:w="606" w:type="dxa"/>
                  <w:shd w:val="clear" w:color="auto" w:fill="auto"/>
                  <w:vAlign w:val="center"/>
                </w:tcPr>
                <w:p w14:paraId="3AC50E3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kern w:val="0"/>
                      <w:sz w:val="18"/>
                      <w:szCs w:val="18"/>
                      <w:lang w:val="en-US" w:eastAsia="zh-CN"/>
                    </w:rPr>
                  </w:pPr>
                  <w:r>
                    <w:rPr>
                      <w:rFonts w:hint="eastAsia" w:cs="Times New Roman"/>
                      <w:bCs/>
                      <w:color w:val="auto"/>
                      <w:kern w:val="0"/>
                      <w:sz w:val="18"/>
                      <w:szCs w:val="18"/>
                      <w:lang w:val="en-US" w:eastAsia="zh-CN"/>
                    </w:rPr>
                    <w:t>氯化氢</w:t>
                  </w:r>
                </w:p>
              </w:tc>
              <w:tc>
                <w:tcPr>
                  <w:tcW w:w="523" w:type="dxa"/>
                  <w:shd w:val="clear" w:color="auto" w:fill="auto"/>
                  <w:vAlign w:val="center"/>
                </w:tcPr>
                <w:p w14:paraId="22A9795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bCs/>
                      <w:color w:val="auto"/>
                      <w:kern w:val="0"/>
                      <w:sz w:val="18"/>
                      <w:szCs w:val="18"/>
                      <w:lang w:val="en-US" w:eastAsia="zh-CN"/>
                    </w:rPr>
                  </w:pPr>
                  <w:r>
                    <w:rPr>
                      <w:rFonts w:hint="eastAsia" w:cs="Times New Roman"/>
                      <w:bCs/>
                      <w:color w:val="auto"/>
                      <w:kern w:val="0"/>
                      <w:sz w:val="18"/>
                      <w:szCs w:val="18"/>
                      <w:lang w:val="en-US" w:eastAsia="zh-CN"/>
                    </w:rPr>
                    <w:t>类比法</w:t>
                  </w:r>
                </w:p>
              </w:tc>
              <w:tc>
                <w:tcPr>
                  <w:tcW w:w="757" w:type="dxa"/>
                  <w:vAlign w:val="center"/>
                </w:tcPr>
                <w:p w14:paraId="3E52840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bCs/>
                      <w:color w:val="auto"/>
                      <w:kern w:val="0"/>
                      <w:sz w:val="18"/>
                      <w:szCs w:val="18"/>
                      <w:lang w:val="en-US" w:eastAsia="zh-CN"/>
                    </w:rPr>
                  </w:pPr>
                  <w:r>
                    <w:rPr>
                      <w:rFonts w:hint="eastAsia" w:cs="Times New Roman"/>
                      <w:bCs/>
                      <w:color w:val="auto"/>
                      <w:kern w:val="0"/>
                      <w:sz w:val="18"/>
                      <w:szCs w:val="18"/>
                      <w:lang w:val="en-US" w:eastAsia="zh-CN"/>
                    </w:rPr>
                    <w:t>0.058</w:t>
                  </w:r>
                </w:p>
              </w:tc>
              <w:tc>
                <w:tcPr>
                  <w:tcW w:w="918" w:type="dxa"/>
                  <w:vMerge w:val="continue"/>
                  <w:vAlign w:val="center"/>
                </w:tcPr>
                <w:p w14:paraId="65BEEF5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bCs/>
                      <w:color w:val="auto"/>
                      <w:kern w:val="0"/>
                      <w:sz w:val="18"/>
                      <w:szCs w:val="18"/>
                      <w:lang w:val="en-US" w:eastAsia="zh-CN"/>
                    </w:rPr>
                  </w:pPr>
                </w:p>
              </w:tc>
              <w:tc>
                <w:tcPr>
                  <w:tcW w:w="994" w:type="dxa"/>
                  <w:vMerge w:val="continue"/>
                  <w:vAlign w:val="center"/>
                </w:tcPr>
                <w:p w14:paraId="1B777FC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kern w:val="2"/>
                      <w:sz w:val="18"/>
                      <w:szCs w:val="18"/>
                      <w:lang w:val="en-US" w:eastAsia="zh-CN" w:bidi="ar-SA"/>
                    </w:rPr>
                  </w:pPr>
                </w:p>
              </w:tc>
              <w:tc>
                <w:tcPr>
                  <w:tcW w:w="891" w:type="dxa"/>
                  <w:vAlign w:val="center"/>
                </w:tcPr>
                <w:p w14:paraId="4488585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0.81</w:t>
                  </w:r>
                </w:p>
              </w:tc>
              <w:tc>
                <w:tcPr>
                  <w:tcW w:w="622" w:type="dxa"/>
                  <w:vAlign w:val="center"/>
                </w:tcPr>
                <w:p w14:paraId="58D4003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0.116</w:t>
                  </w:r>
                </w:p>
              </w:tc>
              <w:tc>
                <w:tcPr>
                  <w:tcW w:w="711" w:type="dxa"/>
                  <w:vAlign w:val="center"/>
                </w:tcPr>
                <w:p w14:paraId="24CB952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9.67</w:t>
                  </w:r>
                </w:p>
              </w:tc>
              <w:tc>
                <w:tcPr>
                  <w:tcW w:w="487" w:type="dxa"/>
                  <w:vAlign w:val="center"/>
                </w:tcPr>
                <w:p w14:paraId="556A690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30</w:t>
                  </w:r>
                </w:p>
              </w:tc>
            </w:tr>
            <w:tr w14:paraId="579ABE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7" w:type="dxa"/>
                  <w:vMerge w:val="continue"/>
                  <w:shd w:val="clear" w:color="auto" w:fill="auto"/>
                  <w:vAlign w:val="center"/>
                </w:tcPr>
                <w:p w14:paraId="2766F7BD">
                  <w:pPr>
                    <w:jc w:val="center"/>
                    <w:textAlignment w:val="center"/>
                    <w:rPr>
                      <w:rFonts w:hint="eastAsia"/>
                      <w:color w:val="auto"/>
                      <w:sz w:val="18"/>
                      <w:szCs w:val="18"/>
                      <w:highlight w:val="none"/>
                    </w:rPr>
                  </w:pPr>
                </w:p>
              </w:tc>
              <w:tc>
                <w:tcPr>
                  <w:tcW w:w="936" w:type="dxa"/>
                  <w:vMerge w:val="continue"/>
                  <w:vAlign w:val="center"/>
                </w:tcPr>
                <w:p w14:paraId="527368E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lang w:eastAsia="zh-CN"/>
                    </w:rPr>
                  </w:pPr>
                </w:p>
              </w:tc>
              <w:tc>
                <w:tcPr>
                  <w:tcW w:w="606" w:type="dxa"/>
                  <w:shd w:val="clear" w:color="auto" w:fill="auto"/>
                  <w:vAlign w:val="center"/>
                </w:tcPr>
                <w:p w14:paraId="70EB197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auto"/>
                      <w:kern w:val="0"/>
                      <w:sz w:val="18"/>
                      <w:szCs w:val="18"/>
                      <w:lang w:val="en-US" w:eastAsia="zh-CN" w:bidi="ar-SA"/>
                    </w:rPr>
                  </w:pPr>
                  <w:r>
                    <w:rPr>
                      <w:rFonts w:hint="eastAsia" w:ascii="Times New Roman" w:hAnsi="Times New Roman" w:cs="Times New Roman"/>
                      <w:bCs/>
                      <w:color w:val="auto"/>
                      <w:kern w:val="0"/>
                      <w:sz w:val="18"/>
                      <w:szCs w:val="18"/>
                      <w:lang w:val="en-US" w:eastAsia="zh-CN"/>
                    </w:rPr>
                    <w:t>废气量</w:t>
                  </w:r>
                </w:p>
              </w:tc>
              <w:tc>
                <w:tcPr>
                  <w:tcW w:w="523" w:type="dxa"/>
                  <w:shd w:val="clear" w:color="auto" w:fill="auto"/>
                  <w:vAlign w:val="center"/>
                </w:tcPr>
                <w:p w14:paraId="4DAA8F9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产污系数法</w:t>
                  </w:r>
                </w:p>
              </w:tc>
              <w:tc>
                <w:tcPr>
                  <w:tcW w:w="757" w:type="dxa"/>
                  <w:vAlign w:val="center"/>
                </w:tcPr>
                <w:p w14:paraId="07473BC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color w:val="auto"/>
                      <w:sz w:val="18"/>
                      <w:szCs w:val="18"/>
                      <w:lang w:val="en-US" w:eastAsia="zh-CN"/>
                    </w:rPr>
                  </w:pPr>
                  <w:r>
                    <w:rPr>
                      <w:rFonts w:hint="eastAsia" w:cs="Times New Roman"/>
                      <w:color w:val="auto"/>
                      <w:sz w:val="18"/>
                      <w:szCs w:val="18"/>
                      <w:lang w:val="en-US" w:eastAsia="zh-CN"/>
                    </w:rPr>
                    <w:t>/</w:t>
                  </w:r>
                </w:p>
              </w:tc>
              <w:tc>
                <w:tcPr>
                  <w:tcW w:w="918" w:type="dxa"/>
                  <w:vMerge w:val="continue"/>
                  <w:vAlign w:val="center"/>
                </w:tcPr>
                <w:p w14:paraId="39F0632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18"/>
                      <w:szCs w:val="18"/>
                      <w:lang w:val="en-US" w:eastAsia="zh-CN"/>
                    </w:rPr>
                  </w:pPr>
                </w:p>
              </w:tc>
              <w:tc>
                <w:tcPr>
                  <w:tcW w:w="994" w:type="dxa"/>
                  <w:vMerge w:val="continue"/>
                  <w:vAlign w:val="center"/>
                </w:tcPr>
                <w:p w14:paraId="473047D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kern w:val="2"/>
                      <w:sz w:val="18"/>
                      <w:szCs w:val="18"/>
                      <w:lang w:val="en-US" w:eastAsia="zh-CN" w:bidi="ar-SA"/>
                    </w:rPr>
                  </w:pPr>
                </w:p>
              </w:tc>
              <w:tc>
                <w:tcPr>
                  <w:tcW w:w="891" w:type="dxa"/>
                  <w:vAlign w:val="center"/>
                </w:tcPr>
                <w:p w14:paraId="58ED4A7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12000</w:t>
                  </w:r>
                </w:p>
              </w:tc>
              <w:tc>
                <w:tcPr>
                  <w:tcW w:w="622" w:type="dxa"/>
                  <w:vAlign w:val="center"/>
                </w:tcPr>
                <w:p w14:paraId="3561051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711" w:type="dxa"/>
                  <w:vAlign w:val="center"/>
                </w:tcPr>
                <w:p w14:paraId="0BB92EF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487" w:type="dxa"/>
                  <w:vAlign w:val="center"/>
                </w:tcPr>
                <w:p w14:paraId="4D83C59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r>
            <w:tr w14:paraId="59E039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793" w:type="dxa"/>
                  <w:gridSpan w:val="2"/>
                  <w:vMerge w:val="restart"/>
                  <w:shd w:val="clear" w:color="auto" w:fill="auto"/>
                  <w:vAlign w:val="center"/>
                </w:tcPr>
                <w:p w14:paraId="00E2F2B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lang w:eastAsia="zh-CN"/>
                    </w:rPr>
                  </w:pPr>
                  <w:r>
                    <w:rPr>
                      <w:rFonts w:hint="eastAsia"/>
                      <w:color w:val="auto"/>
                      <w:sz w:val="18"/>
                      <w:szCs w:val="18"/>
                      <w:highlight w:val="none"/>
                      <w:lang w:val="en-US" w:eastAsia="zh-CN"/>
                    </w:rPr>
                    <w:t>合计</w:t>
                  </w:r>
                </w:p>
              </w:tc>
              <w:tc>
                <w:tcPr>
                  <w:tcW w:w="606" w:type="dxa"/>
                  <w:shd w:val="clear" w:color="auto" w:fill="auto"/>
                  <w:vAlign w:val="center"/>
                </w:tcPr>
                <w:p w14:paraId="3CF7E704">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auto"/>
                      <w:kern w:val="0"/>
                      <w:sz w:val="18"/>
                      <w:szCs w:val="18"/>
                      <w:lang w:val="en-US" w:eastAsia="zh-CN" w:bidi="ar-SA"/>
                    </w:rPr>
                  </w:pPr>
                  <w:r>
                    <w:rPr>
                      <w:rFonts w:hint="eastAsia" w:ascii="Times New Roman" w:hAnsi="Times New Roman" w:cs="Times New Roman"/>
                      <w:bCs/>
                      <w:color w:val="auto"/>
                      <w:kern w:val="0"/>
                      <w:sz w:val="18"/>
                      <w:szCs w:val="18"/>
                      <w:lang w:val="en-US" w:eastAsia="zh-CN"/>
                    </w:rPr>
                    <w:t>颗粒物</w:t>
                  </w:r>
                </w:p>
              </w:tc>
              <w:tc>
                <w:tcPr>
                  <w:tcW w:w="523" w:type="dxa"/>
                  <w:vAlign w:val="center"/>
                </w:tcPr>
                <w:p w14:paraId="14003F7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757" w:type="dxa"/>
                  <w:vAlign w:val="center"/>
                </w:tcPr>
                <w:p w14:paraId="67A0068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918" w:type="dxa"/>
                  <w:vAlign w:val="center"/>
                </w:tcPr>
                <w:p w14:paraId="33BA5A1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994" w:type="dxa"/>
                  <w:vMerge w:val="restart"/>
                  <w:vAlign w:val="center"/>
                </w:tcPr>
                <w:p w14:paraId="39981D9A">
                  <w:pPr>
                    <w:keepNext w:val="0"/>
                    <w:keepLines w:val="0"/>
                    <w:widowControl/>
                    <w:suppressLineNumbers w:val="0"/>
                    <w:jc w:val="center"/>
                    <w:textAlignment w:val="top"/>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891" w:type="dxa"/>
                  <w:shd w:val="clear" w:color="auto" w:fill="auto"/>
                  <w:vAlign w:val="center"/>
                </w:tcPr>
                <w:p w14:paraId="15A6F61C">
                  <w:pPr>
                    <w:keepNext w:val="0"/>
                    <w:keepLines w:val="0"/>
                    <w:widowControl/>
                    <w:suppressLineNumbers w:val="0"/>
                    <w:jc w:val="center"/>
                    <w:textAlignment w:val="top"/>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2.302</w:t>
                  </w:r>
                </w:p>
              </w:tc>
              <w:tc>
                <w:tcPr>
                  <w:tcW w:w="622" w:type="dxa"/>
                  <w:vAlign w:val="center"/>
                </w:tcPr>
                <w:p w14:paraId="6CE2AC6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711" w:type="dxa"/>
                  <w:vAlign w:val="center"/>
                </w:tcPr>
                <w:p w14:paraId="59BA69B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487" w:type="dxa"/>
                  <w:vAlign w:val="center"/>
                </w:tcPr>
                <w:p w14:paraId="2E511DE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r>
            <w:tr w14:paraId="251B2D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793" w:type="dxa"/>
                  <w:gridSpan w:val="2"/>
                  <w:vMerge w:val="continue"/>
                  <w:shd w:val="clear" w:color="auto" w:fill="auto"/>
                  <w:vAlign w:val="center"/>
                </w:tcPr>
                <w:p w14:paraId="2C57FEF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lang w:eastAsia="zh-CN"/>
                    </w:rPr>
                  </w:pPr>
                </w:p>
              </w:tc>
              <w:tc>
                <w:tcPr>
                  <w:tcW w:w="606" w:type="dxa"/>
                  <w:shd w:val="clear" w:color="auto" w:fill="auto"/>
                  <w:vAlign w:val="center"/>
                </w:tcPr>
                <w:p w14:paraId="764DED9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cs="Times New Roman"/>
                      <w:bCs/>
                      <w:color w:val="auto"/>
                      <w:kern w:val="0"/>
                      <w:sz w:val="18"/>
                      <w:szCs w:val="18"/>
                      <w:lang w:val="en-US" w:eastAsia="zh-CN"/>
                    </w:rPr>
                    <w:t>SO</w:t>
                  </w:r>
                  <w:r>
                    <w:rPr>
                      <w:rFonts w:hint="eastAsia" w:ascii="Times New Roman" w:hAnsi="Times New Roman" w:cs="Times New Roman"/>
                      <w:bCs/>
                      <w:color w:val="auto"/>
                      <w:kern w:val="0"/>
                      <w:sz w:val="18"/>
                      <w:szCs w:val="18"/>
                      <w:vertAlign w:val="subscript"/>
                      <w:lang w:val="en-US" w:eastAsia="zh-CN"/>
                    </w:rPr>
                    <w:t>2</w:t>
                  </w:r>
                </w:p>
              </w:tc>
              <w:tc>
                <w:tcPr>
                  <w:tcW w:w="523" w:type="dxa"/>
                  <w:vAlign w:val="center"/>
                </w:tcPr>
                <w:p w14:paraId="1364DE1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757" w:type="dxa"/>
                  <w:vAlign w:val="center"/>
                </w:tcPr>
                <w:p w14:paraId="2709A46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918" w:type="dxa"/>
                  <w:vAlign w:val="center"/>
                </w:tcPr>
                <w:p w14:paraId="544034F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994" w:type="dxa"/>
                  <w:vMerge w:val="continue"/>
                  <w:vAlign w:val="center"/>
                </w:tcPr>
                <w:p w14:paraId="7323702F">
                  <w:pPr>
                    <w:keepNext w:val="0"/>
                    <w:keepLines w:val="0"/>
                    <w:widowControl/>
                    <w:suppressLineNumbers w:val="0"/>
                    <w:jc w:val="center"/>
                    <w:textAlignment w:val="top"/>
                    <w:rPr>
                      <w:rFonts w:hint="eastAsia" w:ascii="Times New Roman" w:hAnsi="Times New Roman" w:cs="Times New Roman"/>
                      <w:color w:val="auto"/>
                      <w:kern w:val="2"/>
                      <w:sz w:val="18"/>
                      <w:szCs w:val="18"/>
                      <w:lang w:val="en-US" w:eastAsia="zh-CN" w:bidi="ar-SA"/>
                    </w:rPr>
                  </w:pPr>
                </w:p>
              </w:tc>
              <w:tc>
                <w:tcPr>
                  <w:tcW w:w="891" w:type="dxa"/>
                  <w:shd w:val="clear" w:color="auto" w:fill="auto"/>
                  <w:vAlign w:val="center"/>
                </w:tcPr>
                <w:p w14:paraId="3B3E3342">
                  <w:pPr>
                    <w:keepNext w:val="0"/>
                    <w:keepLines w:val="0"/>
                    <w:widowControl/>
                    <w:suppressLineNumbers w:val="0"/>
                    <w:jc w:val="center"/>
                    <w:textAlignment w:val="top"/>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4.638</w:t>
                  </w:r>
                </w:p>
              </w:tc>
              <w:tc>
                <w:tcPr>
                  <w:tcW w:w="622" w:type="dxa"/>
                  <w:vAlign w:val="center"/>
                </w:tcPr>
                <w:p w14:paraId="5A2D5C9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711" w:type="dxa"/>
                  <w:vAlign w:val="center"/>
                </w:tcPr>
                <w:p w14:paraId="69AF7FA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487" w:type="dxa"/>
                  <w:vAlign w:val="center"/>
                </w:tcPr>
                <w:p w14:paraId="5CE5B3C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r>
            <w:tr w14:paraId="277088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793" w:type="dxa"/>
                  <w:gridSpan w:val="2"/>
                  <w:vMerge w:val="continue"/>
                  <w:shd w:val="clear" w:color="auto" w:fill="auto"/>
                  <w:vAlign w:val="center"/>
                </w:tcPr>
                <w:p w14:paraId="62ECE8D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lang w:eastAsia="zh-CN"/>
                    </w:rPr>
                  </w:pPr>
                </w:p>
              </w:tc>
              <w:tc>
                <w:tcPr>
                  <w:tcW w:w="606" w:type="dxa"/>
                  <w:shd w:val="clear" w:color="auto" w:fill="auto"/>
                  <w:vAlign w:val="center"/>
                </w:tcPr>
                <w:p w14:paraId="44497C8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cs="Times New Roman"/>
                      <w:bCs/>
                      <w:color w:val="auto"/>
                      <w:kern w:val="0"/>
                      <w:sz w:val="18"/>
                      <w:szCs w:val="18"/>
                      <w:lang w:val="en-US" w:eastAsia="zh-CN"/>
                    </w:rPr>
                    <w:t>NO</w:t>
                  </w:r>
                  <w:r>
                    <w:rPr>
                      <w:rFonts w:hint="eastAsia" w:ascii="Times New Roman" w:hAnsi="Times New Roman" w:cs="Times New Roman"/>
                      <w:bCs/>
                      <w:color w:val="auto"/>
                      <w:kern w:val="0"/>
                      <w:sz w:val="18"/>
                      <w:szCs w:val="18"/>
                      <w:vertAlign w:val="subscript"/>
                      <w:lang w:val="en-US" w:eastAsia="zh-CN"/>
                    </w:rPr>
                    <w:t>X</w:t>
                  </w:r>
                </w:p>
              </w:tc>
              <w:tc>
                <w:tcPr>
                  <w:tcW w:w="523" w:type="dxa"/>
                  <w:vAlign w:val="center"/>
                </w:tcPr>
                <w:p w14:paraId="18567EE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757" w:type="dxa"/>
                  <w:vAlign w:val="center"/>
                </w:tcPr>
                <w:p w14:paraId="20FDC91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918" w:type="dxa"/>
                  <w:vAlign w:val="center"/>
                </w:tcPr>
                <w:p w14:paraId="074BD23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994" w:type="dxa"/>
                  <w:vMerge w:val="continue"/>
                  <w:vAlign w:val="center"/>
                </w:tcPr>
                <w:p w14:paraId="42046B11">
                  <w:pPr>
                    <w:keepNext w:val="0"/>
                    <w:keepLines w:val="0"/>
                    <w:widowControl/>
                    <w:suppressLineNumbers w:val="0"/>
                    <w:jc w:val="center"/>
                    <w:textAlignment w:val="top"/>
                    <w:rPr>
                      <w:rFonts w:hint="eastAsia" w:ascii="Times New Roman" w:hAnsi="Times New Roman" w:cs="Times New Roman"/>
                      <w:color w:val="auto"/>
                      <w:kern w:val="2"/>
                      <w:sz w:val="18"/>
                      <w:szCs w:val="18"/>
                      <w:lang w:val="en-US" w:eastAsia="zh-CN" w:bidi="ar-SA"/>
                    </w:rPr>
                  </w:pPr>
                </w:p>
              </w:tc>
              <w:tc>
                <w:tcPr>
                  <w:tcW w:w="891" w:type="dxa"/>
                  <w:shd w:val="clear" w:color="auto" w:fill="auto"/>
                  <w:vAlign w:val="center"/>
                </w:tcPr>
                <w:p w14:paraId="7FCAD812">
                  <w:pPr>
                    <w:keepNext w:val="0"/>
                    <w:keepLines w:val="0"/>
                    <w:widowControl/>
                    <w:suppressLineNumbers w:val="0"/>
                    <w:jc w:val="center"/>
                    <w:textAlignment w:val="top"/>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32.071</w:t>
                  </w:r>
                </w:p>
              </w:tc>
              <w:tc>
                <w:tcPr>
                  <w:tcW w:w="622" w:type="dxa"/>
                  <w:vAlign w:val="center"/>
                </w:tcPr>
                <w:p w14:paraId="535BA76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711" w:type="dxa"/>
                  <w:vAlign w:val="center"/>
                </w:tcPr>
                <w:p w14:paraId="2343DA7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487" w:type="dxa"/>
                  <w:vAlign w:val="center"/>
                </w:tcPr>
                <w:p w14:paraId="3B4B66C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r>
            <w:tr w14:paraId="7970A3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793" w:type="dxa"/>
                  <w:gridSpan w:val="2"/>
                  <w:vMerge w:val="continue"/>
                  <w:shd w:val="clear" w:color="auto" w:fill="auto"/>
                  <w:vAlign w:val="center"/>
                </w:tcPr>
                <w:p w14:paraId="248100D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lang w:eastAsia="zh-CN"/>
                    </w:rPr>
                  </w:pPr>
                </w:p>
              </w:tc>
              <w:tc>
                <w:tcPr>
                  <w:tcW w:w="606" w:type="dxa"/>
                  <w:shd w:val="clear" w:color="auto" w:fill="auto"/>
                  <w:vAlign w:val="center"/>
                </w:tcPr>
                <w:p w14:paraId="6D3217D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kern w:val="0"/>
                      <w:sz w:val="18"/>
                      <w:szCs w:val="18"/>
                      <w:lang w:val="en-US" w:eastAsia="zh-CN"/>
                    </w:rPr>
                  </w:pPr>
                  <w:r>
                    <w:rPr>
                      <w:rFonts w:hint="eastAsia" w:cs="Times New Roman"/>
                      <w:bCs/>
                      <w:color w:val="auto"/>
                      <w:kern w:val="0"/>
                      <w:sz w:val="18"/>
                      <w:szCs w:val="18"/>
                      <w:lang w:val="en-US" w:eastAsia="zh-CN"/>
                    </w:rPr>
                    <w:t>氯化氢</w:t>
                  </w:r>
                </w:p>
              </w:tc>
              <w:tc>
                <w:tcPr>
                  <w:tcW w:w="523" w:type="dxa"/>
                  <w:vAlign w:val="center"/>
                </w:tcPr>
                <w:p w14:paraId="6B8D3AB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757" w:type="dxa"/>
                  <w:vAlign w:val="center"/>
                </w:tcPr>
                <w:p w14:paraId="6D0A4D2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918" w:type="dxa"/>
                  <w:vAlign w:val="center"/>
                </w:tcPr>
                <w:p w14:paraId="2721E55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994" w:type="dxa"/>
                  <w:vMerge w:val="continue"/>
                  <w:vAlign w:val="center"/>
                </w:tcPr>
                <w:p w14:paraId="3A08303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p>
              </w:tc>
              <w:tc>
                <w:tcPr>
                  <w:tcW w:w="891" w:type="dxa"/>
                  <w:shd w:val="clear" w:color="auto" w:fill="auto"/>
                  <w:vAlign w:val="center"/>
                </w:tcPr>
                <w:p w14:paraId="4B7E7C9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0.81</w:t>
                  </w:r>
                </w:p>
              </w:tc>
              <w:tc>
                <w:tcPr>
                  <w:tcW w:w="622" w:type="dxa"/>
                  <w:vAlign w:val="center"/>
                </w:tcPr>
                <w:p w14:paraId="7997474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711" w:type="dxa"/>
                  <w:vAlign w:val="center"/>
                </w:tcPr>
                <w:p w14:paraId="429B5CE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487" w:type="dxa"/>
                  <w:vAlign w:val="center"/>
                </w:tcPr>
                <w:p w14:paraId="568CEDF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r>
            <w:tr w14:paraId="551C30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02" w:type="dxa"/>
                  <w:gridSpan w:val="11"/>
                  <w:shd w:val="clear" w:color="auto" w:fill="auto"/>
                  <w:vAlign w:val="center"/>
                </w:tcPr>
                <w:p w14:paraId="721CE649">
                  <w:pPr>
                    <w:keepNext w:val="0"/>
                    <w:keepLines w:val="0"/>
                    <w:pageBreakBefore w:val="0"/>
                    <w:kinsoku/>
                    <w:wordWrap/>
                    <w:overflowPunct/>
                    <w:topLinePunct w:val="0"/>
                    <w:autoSpaceDE/>
                    <w:autoSpaceDN/>
                    <w:bidi w:val="0"/>
                    <w:adjustRightInd w:val="0"/>
                    <w:snapToGrid w:val="0"/>
                    <w:spacing w:line="240" w:lineRule="auto"/>
                    <w:jc w:val="both"/>
                    <w:textAlignment w:val="auto"/>
                    <w:rPr>
                      <w:rFonts w:hint="eastAsia"/>
                      <w:color w:val="auto"/>
                      <w:sz w:val="18"/>
                      <w:szCs w:val="18"/>
                      <w:highlight w:val="none"/>
                      <w:lang w:val="en-US" w:eastAsia="zh-CN"/>
                    </w:rPr>
                  </w:pPr>
                  <w:r>
                    <w:rPr>
                      <w:rFonts w:hint="eastAsia"/>
                      <w:color w:val="auto"/>
                      <w:sz w:val="18"/>
                      <w:szCs w:val="18"/>
                      <w:highlight w:val="none"/>
                      <w:lang w:val="en-US" w:eastAsia="zh-CN"/>
                    </w:rPr>
                    <w:t>注：</w:t>
                  </w:r>
                  <w:r>
                    <w:rPr>
                      <w:rFonts w:hint="eastAsia" w:ascii="Times New Roman" w:hAnsi="Times New Roman" w:eastAsia="宋体" w:cs="Times New Roman"/>
                      <w:color w:val="auto"/>
                      <w:sz w:val="18"/>
                      <w:szCs w:val="18"/>
                      <w:highlight w:val="none"/>
                      <w:vertAlign w:val="baseline"/>
                      <w:lang w:val="en-US" w:eastAsia="zh-CN"/>
                    </w:rPr>
                    <w:t>产污系数表中气体燃料的二氧化硫的产污系数是以含硫量（S）的形式表示的，其中含硫量（S）是指气体燃料中的硫含量，单位为毫克/立方米；本项目根据《天然气》（GB17820-2018），该项目使用的管道天然气总含硫量不高于100mg/m</w:t>
                  </w:r>
                  <w:r>
                    <w:rPr>
                      <w:rFonts w:hint="eastAsia" w:ascii="Times New Roman" w:hAnsi="Times New Roman" w:eastAsia="宋体" w:cs="Times New Roman"/>
                      <w:color w:val="auto"/>
                      <w:sz w:val="18"/>
                      <w:szCs w:val="18"/>
                      <w:highlight w:val="none"/>
                      <w:vertAlign w:val="superscript"/>
                      <w:lang w:val="en-US" w:eastAsia="zh-CN"/>
                    </w:rPr>
                    <w:t>3</w:t>
                  </w:r>
                  <w:r>
                    <w:rPr>
                      <w:rFonts w:hint="eastAsia" w:ascii="Times New Roman" w:hAnsi="Times New Roman" w:eastAsia="宋体" w:cs="Times New Roman"/>
                      <w:color w:val="auto"/>
                      <w:sz w:val="18"/>
                      <w:szCs w:val="18"/>
                      <w:highlight w:val="none"/>
                      <w:vertAlign w:val="baseline"/>
                      <w:lang w:val="en-US" w:eastAsia="zh-CN"/>
                    </w:rPr>
                    <w:t>（二类），本次评价取100mg/m</w:t>
                  </w:r>
                  <w:r>
                    <w:rPr>
                      <w:rFonts w:hint="eastAsia" w:ascii="Times New Roman" w:hAnsi="Times New Roman" w:eastAsia="宋体" w:cs="Times New Roman"/>
                      <w:color w:val="auto"/>
                      <w:sz w:val="18"/>
                      <w:szCs w:val="18"/>
                      <w:highlight w:val="none"/>
                      <w:vertAlign w:val="superscript"/>
                      <w:lang w:val="en-US" w:eastAsia="zh-CN"/>
                    </w:rPr>
                    <w:t>3</w:t>
                  </w:r>
                </w:p>
              </w:tc>
            </w:tr>
          </w:tbl>
          <w:p w14:paraId="5CFDB436">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eastAsia"/>
                <w:color w:val="auto"/>
                <w:sz w:val="21"/>
                <w:szCs w:val="21"/>
                <w:highlight w:val="none"/>
                <w:lang w:val="en-US" w:eastAsia="zh-CN"/>
              </w:rPr>
            </w:pPr>
            <w:r>
              <w:rPr>
                <w:rFonts w:hint="eastAsia"/>
                <w:color w:val="auto"/>
                <w:sz w:val="21"/>
                <w:szCs w:val="21"/>
                <w:highlight w:val="none"/>
                <w:lang w:val="en-US" w:eastAsia="zh-CN"/>
              </w:rPr>
              <w:t>由上表可知，DA001、DA002、DA007、DA008、DA011排放的SO</w:t>
            </w:r>
            <w:r>
              <w:rPr>
                <w:rFonts w:hint="eastAsia"/>
                <w:color w:val="auto"/>
                <w:sz w:val="21"/>
                <w:szCs w:val="21"/>
                <w:highlight w:val="none"/>
                <w:vertAlign w:val="subscript"/>
                <w:lang w:val="en-US" w:eastAsia="zh-CN"/>
              </w:rPr>
              <w:t>2</w:t>
            </w:r>
            <w:r>
              <w:rPr>
                <w:rFonts w:hint="eastAsia"/>
                <w:color w:val="auto"/>
                <w:sz w:val="21"/>
                <w:szCs w:val="21"/>
                <w:highlight w:val="none"/>
                <w:lang w:val="en-US" w:eastAsia="zh-CN"/>
              </w:rPr>
              <w:t>、NO</w:t>
            </w:r>
            <w:r>
              <w:rPr>
                <w:rFonts w:hint="eastAsia"/>
                <w:color w:val="auto"/>
                <w:sz w:val="21"/>
                <w:szCs w:val="21"/>
                <w:highlight w:val="none"/>
                <w:vertAlign w:val="subscript"/>
                <w:lang w:val="en-US" w:eastAsia="zh-CN"/>
              </w:rPr>
              <w:t>X</w:t>
            </w:r>
            <w:r>
              <w:rPr>
                <w:rFonts w:hint="eastAsia"/>
                <w:color w:val="auto"/>
                <w:sz w:val="21"/>
                <w:szCs w:val="21"/>
                <w:highlight w:val="none"/>
                <w:vertAlign w:val="baseline"/>
                <w:lang w:val="en-US" w:eastAsia="zh-CN"/>
              </w:rPr>
              <w:t>、颗粒物及</w:t>
            </w:r>
            <w:r>
              <w:rPr>
                <w:rFonts w:hint="eastAsia"/>
                <w:color w:val="auto"/>
                <w:sz w:val="21"/>
                <w:szCs w:val="21"/>
                <w:highlight w:val="none"/>
                <w:lang w:val="en-US" w:eastAsia="zh-CN"/>
              </w:rPr>
              <w:t>DA013排放的氯化氢可以满足《轧钢工业大气污染物排放标准》（GB28665-2012）及其修改单表3及《关于推进实施钢铁行业超低排放的意见》（环大气[2019]35号）相关标准要求标准限值要求。</w:t>
            </w:r>
          </w:p>
          <w:p w14:paraId="73BE6A81">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eastAsia"/>
                <w:color w:val="auto"/>
                <w:sz w:val="21"/>
                <w:szCs w:val="21"/>
                <w:highlight w:val="none"/>
                <w:lang w:val="en-US" w:eastAsia="zh-CN"/>
              </w:rPr>
            </w:pPr>
            <w:r>
              <w:rPr>
                <w:rFonts w:hint="eastAsia"/>
                <w:color w:val="auto"/>
                <w:sz w:val="21"/>
                <w:szCs w:val="21"/>
                <w:highlight w:val="none"/>
                <w:lang w:val="en-US" w:eastAsia="zh-CN"/>
              </w:rPr>
              <w:t>DA013排放的SO</w:t>
            </w:r>
            <w:r>
              <w:rPr>
                <w:rFonts w:hint="eastAsia"/>
                <w:color w:val="auto"/>
                <w:sz w:val="21"/>
                <w:szCs w:val="21"/>
                <w:highlight w:val="none"/>
                <w:vertAlign w:val="subscript"/>
                <w:lang w:val="en-US" w:eastAsia="zh-CN"/>
              </w:rPr>
              <w:t>2</w:t>
            </w:r>
            <w:r>
              <w:rPr>
                <w:rFonts w:hint="eastAsia"/>
                <w:color w:val="auto"/>
                <w:sz w:val="21"/>
                <w:szCs w:val="21"/>
                <w:highlight w:val="none"/>
                <w:lang w:val="en-US" w:eastAsia="zh-CN"/>
              </w:rPr>
              <w:t>、NO</w:t>
            </w:r>
            <w:r>
              <w:rPr>
                <w:rFonts w:hint="eastAsia"/>
                <w:color w:val="auto"/>
                <w:sz w:val="21"/>
                <w:szCs w:val="21"/>
                <w:highlight w:val="none"/>
                <w:vertAlign w:val="subscript"/>
                <w:lang w:val="en-US" w:eastAsia="zh-CN"/>
              </w:rPr>
              <w:t>X</w:t>
            </w:r>
            <w:r>
              <w:rPr>
                <w:rFonts w:hint="eastAsia"/>
                <w:color w:val="auto"/>
                <w:sz w:val="21"/>
                <w:szCs w:val="21"/>
                <w:highlight w:val="none"/>
                <w:vertAlign w:val="baseline"/>
                <w:lang w:val="en-US" w:eastAsia="zh-CN"/>
              </w:rPr>
              <w:t>、颗粒物满足</w:t>
            </w:r>
            <w:r>
              <w:rPr>
                <w:rFonts w:hint="default"/>
                <w:color w:val="auto"/>
                <w:sz w:val="21"/>
                <w:szCs w:val="21"/>
                <w:highlight w:val="none"/>
                <w:vertAlign w:val="baseline"/>
                <w:lang w:val="en-US" w:eastAsia="zh-CN"/>
              </w:rPr>
              <w:t>《工业炉窑大气污染物排放标准》（GB9078-1996）表2及《新疆维吾尔自治区工业炉窑大气污染综合治理实施方案》（新大气发[2019]127号）重点区域排放限值</w:t>
            </w:r>
            <w:r>
              <w:rPr>
                <w:rFonts w:hint="eastAsia"/>
                <w:color w:val="auto"/>
                <w:sz w:val="21"/>
                <w:szCs w:val="21"/>
                <w:highlight w:val="none"/>
                <w:vertAlign w:val="baseline"/>
                <w:lang w:val="en-US" w:eastAsia="zh-CN"/>
              </w:rPr>
              <w:t>要求。</w:t>
            </w:r>
          </w:p>
          <w:p w14:paraId="1716E18C">
            <w:pPr>
              <w:adjustRightInd w:val="0"/>
              <w:snapToGrid w:val="0"/>
              <w:spacing w:line="360" w:lineRule="auto"/>
              <w:ind w:firstLine="420" w:firstLineChars="200"/>
              <w:rPr>
                <w:rFonts w:hint="default"/>
                <w:bCs/>
                <w:color w:val="auto"/>
                <w:sz w:val="21"/>
                <w:szCs w:val="21"/>
                <w:highlight w:val="none"/>
                <w:lang w:val="en-US" w:eastAsia="zh-CN"/>
              </w:rPr>
            </w:pPr>
            <w:r>
              <w:rPr>
                <w:rFonts w:hint="eastAsia"/>
                <w:bCs/>
                <w:color w:val="auto"/>
                <w:sz w:val="21"/>
                <w:szCs w:val="21"/>
                <w:highlight w:val="none"/>
                <w:lang w:val="en-US" w:eastAsia="zh-CN"/>
              </w:rPr>
              <w:t>②抛丸废气、热拉伸入口处MgO粉尘、激光刻痕废气、</w:t>
            </w:r>
            <w:r>
              <w:rPr>
                <w:rFonts w:hint="eastAsia" w:cs="Times New Roman"/>
                <w:snapToGrid w:val="0"/>
                <w:color w:val="auto"/>
                <w:sz w:val="21"/>
                <w:szCs w:val="21"/>
                <w:highlight w:val="none"/>
                <w:vertAlign w:val="baseline"/>
                <w:lang w:val="en-US" w:eastAsia="zh-CN"/>
              </w:rPr>
              <w:t>氧化铁粉仓及袋装废气</w:t>
            </w:r>
          </w:p>
          <w:p w14:paraId="14A0265B">
            <w:pPr>
              <w:adjustRightInd w:val="0"/>
              <w:snapToGrid w:val="0"/>
              <w:spacing w:line="360" w:lineRule="auto"/>
              <w:ind w:firstLine="420" w:firstLineChars="200"/>
              <w:rPr>
                <w:rFonts w:hint="eastAsia"/>
                <w:color w:val="auto"/>
                <w:highlight w:val="none"/>
                <w:lang w:val="en-US" w:eastAsia="zh-CN"/>
              </w:rPr>
            </w:pPr>
            <w:r>
              <w:rPr>
                <w:rFonts w:hint="eastAsia"/>
                <w:bCs/>
                <w:color w:val="auto"/>
                <w:sz w:val="21"/>
                <w:szCs w:val="21"/>
                <w:highlight w:val="none"/>
                <w:lang w:val="en-US" w:eastAsia="zh-CN"/>
              </w:rPr>
              <w:t>抛丸废气：根据</w:t>
            </w:r>
            <w:r>
              <w:rPr>
                <w:rFonts w:hint="eastAsia"/>
                <w:color w:val="auto"/>
                <w:highlight w:val="none"/>
                <w:lang w:val="en-US" w:eastAsia="zh-CN"/>
              </w:rPr>
              <w:t>《排放源统计调查产排污核算方法和系数手册》中机械行业系数手册，抛丸工序颗粒物产生系数约为2.25kg/吨-原料，本项目抛丸工件量按照10万吨计算，则颗粒物产生量为225t/a，根据设计资料，抛丸工序设计集气罩收集（收集效率95%）后送至配高效套布袋除尘器处理后（处理效率99%）经排气筒DA003排放，则排放量为2.14t/a；</w:t>
            </w:r>
          </w:p>
          <w:p w14:paraId="439F6D61">
            <w:pPr>
              <w:adjustRightInd w:val="0"/>
              <w:snapToGrid w:val="0"/>
              <w:spacing w:line="360" w:lineRule="auto"/>
              <w:ind w:firstLine="420" w:firstLineChars="200"/>
              <w:rPr>
                <w:rFonts w:hint="default"/>
                <w:bCs/>
                <w:color w:val="auto"/>
                <w:sz w:val="21"/>
                <w:szCs w:val="21"/>
                <w:highlight w:val="none"/>
                <w:vertAlign w:val="baseline"/>
                <w:lang w:val="en-US" w:eastAsia="zh-CN"/>
              </w:rPr>
            </w:pPr>
            <w:r>
              <w:rPr>
                <w:rFonts w:hint="eastAsia"/>
                <w:bCs/>
                <w:color w:val="auto"/>
                <w:sz w:val="21"/>
                <w:szCs w:val="21"/>
                <w:highlight w:val="none"/>
                <w:lang w:val="en-US" w:eastAsia="zh-CN"/>
              </w:rPr>
              <w:t>热拉伸入口处MgO粉尘：热拉伸入口处MgO粉尘通过集气罩收集后送袋式除尘器处理后经24m高排气筒DA010排放。根据企业设计资料及生产经验，颗粒物产生速率≤8kg/h</w:t>
            </w:r>
            <w:r>
              <w:rPr>
                <w:rFonts w:hint="eastAsia"/>
                <w:bCs/>
                <w:color w:val="auto"/>
                <w:sz w:val="21"/>
                <w:szCs w:val="21"/>
                <w:highlight w:val="none"/>
                <w:vertAlign w:val="baseline"/>
                <w:lang w:val="en-US" w:eastAsia="zh-CN"/>
              </w:rPr>
              <w:t>，风机风量60000</w:t>
            </w:r>
            <w:r>
              <w:rPr>
                <w:rFonts w:hint="eastAsia"/>
                <w:bCs/>
                <w:color w:val="auto"/>
                <w:sz w:val="21"/>
                <w:szCs w:val="21"/>
                <w:highlight w:val="none"/>
                <w:lang w:val="en-US" w:eastAsia="zh-CN"/>
              </w:rPr>
              <w:t>m</w:t>
            </w:r>
            <w:r>
              <w:rPr>
                <w:rFonts w:hint="eastAsia"/>
                <w:bCs/>
                <w:color w:val="auto"/>
                <w:sz w:val="21"/>
                <w:szCs w:val="21"/>
                <w:highlight w:val="none"/>
                <w:vertAlign w:val="superscript"/>
                <w:lang w:val="en-US" w:eastAsia="zh-CN"/>
              </w:rPr>
              <w:t>3</w:t>
            </w:r>
            <w:r>
              <w:rPr>
                <w:rFonts w:hint="eastAsia"/>
                <w:bCs/>
                <w:color w:val="auto"/>
                <w:sz w:val="21"/>
                <w:szCs w:val="21"/>
                <w:highlight w:val="none"/>
                <w:lang w:val="en-US" w:eastAsia="zh-CN"/>
              </w:rPr>
              <w:t>/h。</w:t>
            </w:r>
          </w:p>
          <w:p w14:paraId="61855EB3">
            <w:pPr>
              <w:adjustRightInd w:val="0"/>
              <w:snapToGrid w:val="0"/>
              <w:spacing w:line="360" w:lineRule="auto"/>
              <w:ind w:firstLine="420" w:firstLineChars="200"/>
              <w:rPr>
                <w:rFonts w:hint="default"/>
                <w:bCs/>
                <w:color w:val="auto"/>
                <w:sz w:val="21"/>
                <w:szCs w:val="21"/>
                <w:highlight w:val="none"/>
                <w:vertAlign w:val="baseline"/>
                <w:lang w:val="en-US" w:eastAsia="zh-CN"/>
              </w:rPr>
            </w:pPr>
            <w:r>
              <w:rPr>
                <w:rFonts w:hint="eastAsia"/>
                <w:bCs/>
                <w:color w:val="auto"/>
                <w:sz w:val="21"/>
                <w:szCs w:val="21"/>
                <w:highlight w:val="none"/>
                <w:lang w:val="en-US" w:eastAsia="zh-CN"/>
              </w:rPr>
              <w:t>激光刻痕废气：激光刻痕粉尘抽风收集后送袋式除尘器处理后经24m高排气筒DA012排放。根据企业设计资料，颗粒物排放浓度≤10mg/m</w:t>
            </w:r>
            <w:r>
              <w:rPr>
                <w:rFonts w:hint="eastAsia"/>
                <w:bCs/>
                <w:color w:val="auto"/>
                <w:sz w:val="21"/>
                <w:szCs w:val="21"/>
                <w:highlight w:val="none"/>
                <w:vertAlign w:val="superscript"/>
                <w:lang w:val="en-US" w:eastAsia="zh-CN"/>
              </w:rPr>
              <w:t>3</w:t>
            </w:r>
            <w:r>
              <w:rPr>
                <w:rFonts w:hint="eastAsia"/>
                <w:bCs/>
                <w:color w:val="auto"/>
                <w:sz w:val="21"/>
                <w:szCs w:val="21"/>
                <w:highlight w:val="none"/>
                <w:vertAlign w:val="baseline"/>
                <w:lang w:val="en-US" w:eastAsia="zh-CN"/>
              </w:rPr>
              <w:t>，风机风量3000</w:t>
            </w:r>
            <w:r>
              <w:rPr>
                <w:rFonts w:hint="eastAsia"/>
                <w:bCs/>
                <w:color w:val="auto"/>
                <w:sz w:val="21"/>
                <w:szCs w:val="21"/>
                <w:highlight w:val="none"/>
                <w:lang w:val="en-US" w:eastAsia="zh-CN"/>
              </w:rPr>
              <w:t>m</w:t>
            </w:r>
            <w:r>
              <w:rPr>
                <w:rFonts w:hint="eastAsia"/>
                <w:bCs/>
                <w:color w:val="auto"/>
                <w:sz w:val="21"/>
                <w:szCs w:val="21"/>
                <w:highlight w:val="none"/>
                <w:vertAlign w:val="superscript"/>
                <w:lang w:val="en-US" w:eastAsia="zh-CN"/>
              </w:rPr>
              <w:t>3</w:t>
            </w:r>
            <w:r>
              <w:rPr>
                <w:rFonts w:hint="eastAsia"/>
                <w:bCs/>
                <w:color w:val="auto"/>
                <w:sz w:val="21"/>
                <w:szCs w:val="21"/>
                <w:highlight w:val="none"/>
                <w:lang w:val="en-US" w:eastAsia="zh-CN"/>
              </w:rPr>
              <w:t>/h。</w:t>
            </w:r>
          </w:p>
          <w:p w14:paraId="4B229019">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eastAsia"/>
                <w:bCs/>
                <w:color w:val="auto"/>
                <w:sz w:val="21"/>
                <w:szCs w:val="21"/>
                <w:highlight w:val="none"/>
                <w:vertAlign w:val="baseline"/>
                <w:lang w:val="en-US" w:eastAsia="zh-CN"/>
              </w:rPr>
            </w:pPr>
            <w:r>
              <w:rPr>
                <w:rFonts w:hint="eastAsia" w:cs="Times New Roman"/>
                <w:snapToGrid w:val="0"/>
                <w:color w:val="auto"/>
                <w:sz w:val="21"/>
                <w:szCs w:val="21"/>
                <w:highlight w:val="none"/>
                <w:vertAlign w:val="baseline"/>
                <w:lang w:val="en-US" w:eastAsia="zh-CN"/>
              </w:rPr>
              <w:t>氧化铁粉仓及袋装废气：</w:t>
            </w:r>
            <w:r>
              <w:rPr>
                <w:rFonts w:hint="eastAsia"/>
                <w:bCs/>
                <w:color w:val="auto"/>
                <w:sz w:val="21"/>
                <w:szCs w:val="21"/>
                <w:highlight w:val="none"/>
                <w:lang w:val="en-US" w:eastAsia="zh-CN"/>
              </w:rPr>
              <w:t>类比湖南宏旺新材料科技有限公司</w:t>
            </w:r>
            <w:r>
              <w:rPr>
                <w:rFonts w:hint="eastAsia" w:cs="Times New Roman"/>
                <w:snapToGrid w:val="0"/>
                <w:color w:val="auto"/>
                <w:sz w:val="21"/>
                <w:szCs w:val="21"/>
                <w:highlight w:val="none"/>
                <w:vertAlign w:val="baseline"/>
                <w:lang w:val="en-US" w:eastAsia="zh-CN"/>
              </w:rPr>
              <w:t>氧化铁粉仓及袋装废气</w:t>
            </w:r>
            <w:r>
              <w:rPr>
                <w:rFonts w:hint="eastAsia"/>
                <w:bCs/>
                <w:color w:val="auto"/>
                <w:sz w:val="21"/>
                <w:szCs w:val="21"/>
                <w:highlight w:val="none"/>
                <w:lang w:val="en-US" w:eastAsia="zh-CN"/>
              </w:rPr>
              <w:t>排放口排放速率，根据其检测数据，湖南宏旺新材料科技有限公司酸再生装置废气处理装置风量为12000m</w:t>
            </w:r>
            <w:r>
              <w:rPr>
                <w:rFonts w:hint="eastAsia"/>
                <w:bCs/>
                <w:color w:val="auto"/>
                <w:sz w:val="21"/>
                <w:szCs w:val="21"/>
                <w:highlight w:val="none"/>
                <w:vertAlign w:val="superscript"/>
                <w:lang w:val="en-US" w:eastAsia="zh-CN"/>
              </w:rPr>
              <w:t>3</w:t>
            </w:r>
            <w:r>
              <w:rPr>
                <w:rFonts w:hint="eastAsia"/>
                <w:bCs/>
                <w:color w:val="auto"/>
                <w:sz w:val="21"/>
                <w:szCs w:val="21"/>
                <w:highlight w:val="none"/>
                <w:lang w:val="en-US" w:eastAsia="zh-CN"/>
              </w:rPr>
              <w:t>/h左右，颗粒物排放速率在0.08kg/h左右，本项目设计风量8000m</w:t>
            </w:r>
            <w:r>
              <w:rPr>
                <w:rFonts w:hint="eastAsia"/>
                <w:bCs/>
                <w:color w:val="auto"/>
                <w:sz w:val="21"/>
                <w:szCs w:val="21"/>
                <w:highlight w:val="none"/>
                <w:vertAlign w:val="superscript"/>
                <w:lang w:val="en-US" w:eastAsia="zh-CN"/>
              </w:rPr>
              <w:t>3</w:t>
            </w:r>
            <w:r>
              <w:rPr>
                <w:rFonts w:hint="eastAsia"/>
                <w:bCs/>
                <w:color w:val="auto"/>
                <w:sz w:val="21"/>
                <w:szCs w:val="21"/>
                <w:highlight w:val="none"/>
                <w:lang w:val="en-US" w:eastAsia="zh-CN"/>
              </w:rPr>
              <w:t>/h，排放速率保守折算为按照0.053kg/h</w:t>
            </w:r>
            <w:r>
              <w:rPr>
                <w:rFonts w:hint="eastAsia"/>
                <w:bCs/>
                <w:color w:val="auto"/>
                <w:sz w:val="21"/>
                <w:szCs w:val="21"/>
                <w:highlight w:val="none"/>
                <w:vertAlign w:val="baseline"/>
                <w:lang w:val="en-US" w:eastAsia="zh-CN"/>
              </w:rPr>
              <w:t>计算，经布袋除尘器处理后经DA014排气筒排放。</w:t>
            </w:r>
          </w:p>
          <w:p w14:paraId="7926746B">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snapToGrid w:val="0"/>
                <w:color w:val="auto"/>
                <w:szCs w:val="21"/>
                <w:highlight w:val="none"/>
                <w:vertAlign w:val="baseline"/>
                <w:lang w:val="en-US" w:eastAsia="zh-CN"/>
              </w:rPr>
            </w:pPr>
            <w:r>
              <w:rPr>
                <w:rFonts w:ascii="Times New Roman" w:hAnsi="Times New Roman" w:eastAsia="黑体"/>
                <w:bCs/>
                <w:color w:val="auto"/>
                <w:spacing w:val="2"/>
                <w:sz w:val="21"/>
                <w:szCs w:val="21"/>
                <w:highlight w:val="none"/>
              </w:rPr>
              <w:t>表4-</w:t>
            </w:r>
            <w:r>
              <w:rPr>
                <w:rFonts w:hint="eastAsia" w:eastAsia="黑体"/>
                <w:bCs/>
                <w:color w:val="auto"/>
                <w:spacing w:val="2"/>
                <w:sz w:val="21"/>
                <w:szCs w:val="21"/>
                <w:highlight w:val="none"/>
                <w:lang w:val="en-US" w:eastAsia="zh-CN"/>
              </w:rPr>
              <w:t>4</w:t>
            </w:r>
            <w:r>
              <w:rPr>
                <w:rFonts w:ascii="Times New Roman" w:hAnsi="Times New Roman" w:eastAsia="黑体"/>
                <w:bCs/>
                <w:color w:val="auto"/>
                <w:spacing w:val="2"/>
                <w:sz w:val="21"/>
                <w:szCs w:val="21"/>
                <w:highlight w:val="none"/>
              </w:rPr>
              <w:t>项目</w:t>
            </w:r>
            <w:r>
              <w:rPr>
                <w:rFonts w:hint="eastAsia" w:ascii="Times New Roman" w:hAnsi="Times New Roman" w:eastAsia="黑体"/>
                <w:bCs/>
                <w:color w:val="auto"/>
                <w:spacing w:val="2"/>
                <w:sz w:val="21"/>
                <w:szCs w:val="21"/>
                <w:highlight w:val="none"/>
                <w:lang w:val="en-US" w:eastAsia="zh-CN"/>
              </w:rPr>
              <w:t>酸性</w:t>
            </w:r>
            <w:r>
              <w:rPr>
                <w:rFonts w:ascii="Times New Roman" w:hAnsi="Times New Roman" w:eastAsia="黑体"/>
                <w:bCs/>
                <w:color w:val="auto"/>
                <w:spacing w:val="2"/>
                <w:sz w:val="21"/>
                <w:szCs w:val="21"/>
                <w:highlight w:val="none"/>
              </w:rPr>
              <w:t>废气产排情况表</w:t>
            </w:r>
          </w:p>
          <w:tbl>
            <w:tblPr>
              <w:tblStyle w:val="33"/>
              <w:tblW w:w="495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581"/>
              <w:gridCol w:w="780"/>
              <w:gridCol w:w="718"/>
              <w:gridCol w:w="808"/>
              <w:gridCol w:w="915"/>
              <w:gridCol w:w="421"/>
              <w:gridCol w:w="627"/>
              <w:gridCol w:w="718"/>
              <w:gridCol w:w="703"/>
              <w:gridCol w:w="701"/>
              <w:gridCol w:w="400"/>
            </w:tblGrid>
            <w:tr w14:paraId="54DED2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17" w:type="pct"/>
                  <w:vMerge w:val="restart"/>
                  <w:noWrap w:val="0"/>
                  <w:vAlign w:val="center"/>
                </w:tcPr>
                <w:p w14:paraId="40FCD464">
                  <w:pPr>
                    <w:jc w:val="center"/>
                    <w:rPr>
                      <w:rFonts w:ascii="Times New Roman" w:hAnsi="Times New Roman"/>
                      <w:color w:val="auto"/>
                      <w:sz w:val="18"/>
                      <w:szCs w:val="18"/>
                      <w:highlight w:val="none"/>
                    </w:rPr>
                  </w:pPr>
                  <w:r>
                    <w:rPr>
                      <w:rFonts w:ascii="Times New Roman" w:hAnsi="Times New Roman"/>
                      <w:color w:val="auto"/>
                      <w:sz w:val="18"/>
                      <w:szCs w:val="18"/>
                      <w:highlight w:val="none"/>
                    </w:rPr>
                    <w:t>污染源</w:t>
                  </w:r>
                </w:p>
              </w:tc>
              <w:tc>
                <w:tcPr>
                  <w:tcW w:w="353" w:type="pct"/>
                  <w:vMerge w:val="restart"/>
                  <w:noWrap w:val="0"/>
                  <w:vAlign w:val="center"/>
                </w:tcPr>
                <w:p w14:paraId="5008C5D3">
                  <w:pPr>
                    <w:jc w:val="center"/>
                    <w:rPr>
                      <w:rFonts w:ascii="Times New Roman" w:hAnsi="Times New Roman"/>
                      <w:color w:val="auto"/>
                      <w:sz w:val="18"/>
                      <w:szCs w:val="18"/>
                      <w:highlight w:val="none"/>
                    </w:rPr>
                  </w:pPr>
                  <w:r>
                    <w:rPr>
                      <w:rFonts w:ascii="Times New Roman" w:hAnsi="Times New Roman"/>
                      <w:color w:val="auto"/>
                      <w:sz w:val="18"/>
                      <w:szCs w:val="18"/>
                      <w:highlight w:val="none"/>
                    </w:rPr>
                    <w:t>污染物</w:t>
                  </w:r>
                </w:p>
              </w:tc>
              <w:tc>
                <w:tcPr>
                  <w:tcW w:w="474" w:type="pct"/>
                  <w:vMerge w:val="restart"/>
                  <w:noWrap w:val="0"/>
                  <w:vAlign w:val="center"/>
                </w:tcPr>
                <w:p w14:paraId="69A074C9">
                  <w:pPr>
                    <w:jc w:val="center"/>
                    <w:rPr>
                      <w:rFonts w:ascii="Times New Roman" w:hAnsi="Times New Roman"/>
                      <w:color w:val="auto"/>
                      <w:sz w:val="18"/>
                      <w:szCs w:val="18"/>
                      <w:highlight w:val="none"/>
                    </w:rPr>
                  </w:pPr>
                  <w:r>
                    <w:rPr>
                      <w:rFonts w:hint="eastAsia"/>
                      <w:color w:val="auto"/>
                      <w:sz w:val="18"/>
                      <w:szCs w:val="18"/>
                      <w:highlight w:val="none"/>
                      <w:lang w:val="en-US" w:eastAsia="zh-CN"/>
                    </w:rPr>
                    <w:t>设计</w:t>
                  </w:r>
                  <w:r>
                    <w:rPr>
                      <w:rFonts w:ascii="Times New Roman" w:hAnsi="Times New Roman"/>
                      <w:color w:val="auto"/>
                      <w:sz w:val="18"/>
                      <w:szCs w:val="18"/>
                      <w:highlight w:val="none"/>
                    </w:rPr>
                    <w:t>废气量m</w:t>
                  </w:r>
                  <w:r>
                    <w:rPr>
                      <w:rFonts w:ascii="Times New Roman" w:hAnsi="Times New Roman"/>
                      <w:color w:val="auto"/>
                      <w:sz w:val="18"/>
                      <w:szCs w:val="18"/>
                      <w:highlight w:val="none"/>
                      <w:vertAlign w:val="superscript"/>
                    </w:rPr>
                    <w:t>3</w:t>
                  </w:r>
                  <w:r>
                    <w:rPr>
                      <w:rFonts w:ascii="Times New Roman" w:hAnsi="Times New Roman"/>
                      <w:color w:val="auto"/>
                      <w:sz w:val="18"/>
                      <w:szCs w:val="18"/>
                      <w:highlight w:val="none"/>
                    </w:rPr>
                    <w:t>/h</w:t>
                  </w:r>
                </w:p>
              </w:tc>
              <w:tc>
                <w:tcPr>
                  <w:tcW w:w="927" w:type="pct"/>
                  <w:gridSpan w:val="2"/>
                  <w:noWrap w:val="0"/>
                  <w:vAlign w:val="center"/>
                </w:tcPr>
                <w:p w14:paraId="5EC8CED5">
                  <w:pPr>
                    <w:jc w:val="center"/>
                    <w:rPr>
                      <w:rFonts w:ascii="Times New Roman" w:hAnsi="Times New Roman"/>
                      <w:color w:val="auto"/>
                      <w:sz w:val="18"/>
                      <w:szCs w:val="18"/>
                      <w:highlight w:val="none"/>
                    </w:rPr>
                  </w:pPr>
                  <w:r>
                    <w:rPr>
                      <w:rFonts w:ascii="Times New Roman" w:hAnsi="Times New Roman"/>
                      <w:color w:val="auto"/>
                      <w:sz w:val="18"/>
                      <w:szCs w:val="18"/>
                      <w:highlight w:val="none"/>
                    </w:rPr>
                    <w:t>产生情况</w:t>
                  </w:r>
                </w:p>
              </w:tc>
              <w:tc>
                <w:tcPr>
                  <w:tcW w:w="556" w:type="pct"/>
                  <w:vMerge w:val="restart"/>
                  <w:noWrap w:val="0"/>
                  <w:vAlign w:val="center"/>
                </w:tcPr>
                <w:p w14:paraId="1F8B4862">
                  <w:pPr>
                    <w:jc w:val="center"/>
                    <w:rPr>
                      <w:rFonts w:ascii="Times New Roman" w:hAnsi="Times New Roman"/>
                      <w:color w:val="auto"/>
                      <w:sz w:val="18"/>
                      <w:szCs w:val="18"/>
                      <w:highlight w:val="none"/>
                    </w:rPr>
                  </w:pPr>
                  <w:r>
                    <w:rPr>
                      <w:rFonts w:ascii="Times New Roman" w:hAnsi="Times New Roman"/>
                      <w:color w:val="auto"/>
                      <w:sz w:val="18"/>
                      <w:szCs w:val="18"/>
                      <w:highlight w:val="none"/>
                    </w:rPr>
                    <w:t>处理措施</w:t>
                  </w:r>
                </w:p>
              </w:tc>
              <w:tc>
                <w:tcPr>
                  <w:tcW w:w="256" w:type="pct"/>
                  <w:vMerge w:val="restart"/>
                  <w:noWrap w:val="0"/>
                  <w:vAlign w:val="center"/>
                </w:tcPr>
                <w:p w14:paraId="2B31871E">
                  <w:pPr>
                    <w:jc w:val="center"/>
                    <w:rPr>
                      <w:rFonts w:ascii="Times New Roman" w:hAnsi="Times New Roman"/>
                      <w:color w:val="auto"/>
                      <w:sz w:val="18"/>
                      <w:szCs w:val="18"/>
                      <w:highlight w:val="none"/>
                    </w:rPr>
                  </w:pPr>
                  <w:r>
                    <w:rPr>
                      <w:rFonts w:ascii="Times New Roman" w:hAnsi="Times New Roman"/>
                      <w:color w:val="auto"/>
                      <w:sz w:val="18"/>
                      <w:szCs w:val="18"/>
                      <w:highlight w:val="none"/>
                    </w:rPr>
                    <w:t>去除效率</w:t>
                  </w:r>
                </w:p>
                <w:p w14:paraId="6E554AB4">
                  <w:pPr>
                    <w:jc w:val="center"/>
                    <w:rPr>
                      <w:rFonts w:ascii="Times New Roman" w:hAnsi="Times New Roman"/>
                      <w:color w:val="auto"/>
                      <w:sz w:val="18"/>
                      <w:szCs w:val="18"/>
                      <w:highlight w:val="none"/>
                    </w:rPr>
                  </w:pPr>
                  <w:r>
                    <w:rPr>
                      <w:rFonts w:ascii="Times New Roman" w:hAnsi="Times New Roman"/>
                      <w:color w:val="auto"/>
                      <w:sz w:val="18"/>
                      <w:szCs w:val="18"/>
                      <w:highlight w:val="none"/>
                    </w:rPr>
                    <w:t>%</w:t>
                  </w:r>
                </w:p>
              </w:tc>
              <w:tc>
                <w:tcPr>
                  <w:tcW w:w="1244" w:type="pct"/>
                  <w:gridSpan w:val="3"/>
                  <w:noWrap w:val="0"/>
                  <w:vAlign w:val="center"/>
                </w:tcPr>
                <w:p w14:paraId="25EA867A">
                  <w:pPr>
                    <w:jc w:val="center"/>
                    <w:rPr>
                      <w:rFonts w:ascii="Times New Roman" w:hAnsi="Times New Roman"/>
                      <w:color w:val="auto"/>
                      <w:sz w:val="18"/>
                      <w:szCs w:val="18"/>
                      <w:highlight w:val="none"/>
                    </w:rPr>
                  </w:pPr>
                  <w:r>
                    <w:rPr>
                      <w:rFonts w:ascii="Times New Roman" w:hAnsi="Times New Roman"/>
                      <w:color w:val="auto"/>
                      <w:sz w:val="18"/>
                      <w:szCs w:val="18"/>
                      <w:highlight w:val="none"/>
                    </w:rPr>
                    <w:t>排放情况</w:t>
                  </w:r>
                </w:p>
              </w:tc>
              <w:tc>
                <w:tcPr>
                  <w:tcW w:w="426" w:type="pct"/>
                  <w:noWrap w:val="0"/>
                  <w:vAlign w:val="center"/>
                </w:tcPr>
                <w:p w14:paraId="6931D60E">
                  <w:pPr>
                    <w:jc w:val="center"/>
                    <w:rPr>
                      <w:rFonts w:hint="eastAsia"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排放标准</w:t>
                  </w:r>
                </w:p>
              </w:tc>
              <w:tc>
                <w:tcPr>
                  <w:tcW w:w="243" w:type="pct"/>
                  <w:vMerge w:val="restart"/>
                  <w:noWrap w:val="0"/>
                  <w:vAlign w:val="center"/>
                </w:tcPr>
                <w:p w14:paraId="30DB4D65">
                  <w:pPr>
                    <w:jc w:val="center"/>
                    <w:rPr>
                      <w:rFonts w:ascii="Times New Roman" w:hAnsi="Times New Roman"/>
                      <w:color w:val="auto"/>
                      <w:sz w:val="18"/>
                      <w:szCs w:val="18"/>
                      <w:highlight w:val="none"/>
                    </w:rPr>
                  </w:pPr>
                  <w:r>
                    <w:rPr>
                      <w:rFonts w:ascii="Times New Roman" w:hAnsi="Times New Roman"/>
                      <w:color w:val="auto"/>
                      <w:sz w:val="18"/>
                      <w:szCs w:val="18"/>
                      <w:highlight w:val="none"/>
                    </w:rPr>
                    <w:t>达标情况</w:t>
                  </w:r>
                </w:p>
              </w:tc>
            </w:tr>
            <w:tr w14:paraId="57882D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17" w:type="pct"/>
                  <w:vMerge w:val="continue"/>
                  <w:noWrap w:val="0"/>
                  <w:vAlign w:val="center"/>
                </w:tcPr>
                <w:p w14:paraId="641DE849">
                  <w:pPr>
                    <w:widowControl/>
                    <w:jc w:val="center"/>
                    <w:rPr>
                      <w:rFonts w:ascii="Times New Roman" w:hAnsi="Times New Roman"/>
                      <w:color w:val="auto"/>
                      <w:sz w:val="18"/>
                      <w:szCs w:val="18"/>
                      <w:highlight w:val="none"/>
                    </w:rPr>
                  </w:pPr>
                </w:p>
              </w:tc>
              <w:tc>
                <w:tcPr>
                  <w:tcW w:w="353" w:type="pct"/>
                  <w:vMerge w:val="continue"/>
                  <w:noWrap w:val="0"/>
                  <w:vAlign w:val="center"/>
                </w:tcPr>
                <w:p w14:paraId="1543243E">
                  <w:pPr>
                    <w:widowControl/>
                    <w:jc w:val="center"/>
                    <w:rPr>
                      <w:rFonts w:ascii="Times New Roman" w:hAnsi="Times New Roman"/>
                      <w:color w:val="auto"/>
                      <w:sz w:val="18"/>
                      <w:szCs w:val="18"/>
                      <w:highlight w:val="none"/>
                    </w:rPr>
                  </w:pPr>
                </w:p>
              </w:tc>
              <w:tc>
                <w:tcPr>
                  <w:tcW w:w="474" w:type="pct"/>
                  <w:vMerge w:val="continue"/>
                  <w:noWrap w:val="0"/>
                  <w:vAlign w:val="center"/>
                </w:tcPr>
                <w:p w14:paraId="1926240E">
                  <w:pPr>
                    <w:widowControl/>
                    <w:jc w:val="center"/>
                    <w:rPr>
                      <w:rFonts w:ascii="Times New Roman" w:hAnsi="Times New Roman"/>
                      <w:color w:val="auto"/>
                      <w:sz w:val="18"/>
                      <w:szCs w:val="18"/>
                      <w:highlight w:val="none"/>
                    </w:rPr>
                  </w:pPr>
                </w:p>
              </w:tc>
              <w:tc>
                <w:tcPr>
                  <w:tcW w:w="436" w:type="pct"/>
                  <w:noWrap w:val="0"/>
                  <w:vAlign w:val="center"/>
                </w:tcPr>
                <w:p w14:paraId="76CD5E08">
                  <w:pPr>
                    <w:jc w:val="center"/>
                    <w:rPr>
                      <w:rFonts w:ascii="Times New Roman" w:hAnsi="Times New Roman"/>
                      <w:color w:val="auto"/>
                      <w:sz w:val="18"/>
                      <w:szCs w:val="18"/>
                      <w:highlight w:val="none"/>
                    </w:rPr>
                  </w:pPr>
                  <w:r>
                    <w:rPr>
                      <w:rFonts w:ascii="Times New Roman" w:hAnsi="Times New Roman"/>
                      <w:color w:val="auto"/>
                      <w:sz w:val="18"/>
                      <w:szCs w:val="18"/>
                      <w:highlight w:val="none"/>
                    </w:rPr>
                    <w:t>产生量t/a</w:t>
                  </w:r>
                </w:p>
              </w:tc>
              <w:tc>
                <w:tcPr>
                  <w:tcW w:w="491" w:type="pct"/>
                  <w:noWrap w:val="0"/>
                  <w:vAlign w:val="center"/>
                </w:tcPr>
                <w:p w14:paraId="0DF30EBC">
                  <w:pPr>
                    <w:jc w:val="center"/>
                    <w:rPr>
                      <w:rFonts w:hint="eastAsia" w:ascii="Times New Roman" w:hAnsi="Times New Roman"/>
                      <w:color w:val="auto"/>
                      <w:sz w:val="18"/>
                      <w:szCs w:val="18"/>
                      <w:highlight w:val="none"/>
                    </w:rPr>
                  </w:pPr>
                  <w:r>
                    <w:rPr>
                      <w:rFonts w:hint="eastAsia" w:ascii="Times New Roman" w:hAnsi="Times New Roman"/>
                      <w:color w:val="auto"/>
                      <w:sz w:val="18"/>
                      <w:szCs w:val="18"/>
                      <w:highlight w:val="none"/>
                    </w:rPr>
                    <w:t>产生速率</w:t>
                  </w:r>
                </w:p>
                <w:p w14:paraId="281DACE1">
                  <w:pPr>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kg/h</w:t>
                  </w:r>
                </w:p>
              </w:tc>
              <w:tc>
                <w:tcPr>
                  <w:tcW w:w="556" w:type="pct"/>
                  <w:vMerge w:val="continue"/>
                  <w:noWrap w:val="0"/>
                  <w:vAlign w:val="center"/>
                </w:tcPr>
                <w:p w14:paraId="58B88D65">
                  <w:pPr>
                    <w:widowControl/>
                    <w:jc w:val="center"/>
                    <w:rPr>
                      <w:rFonts w:ascii="Times New Roman" w:hAnsi="Times New Roman"/>
                      <w:color w:val="auto"/>
                      <w:sz w:val="18"/>
                      <w:szCs w:val="18"/>
                      <w:highlight w:val="none"/>
                    </w:rPr>
                  </w:pPr>
                </w:p>
              </w:tc>
              <w:tc>
                <w:tcPr>
                  <w:tcW w:w="256" w:type="pct"/>
                  <w:vMerge w:val="continue"/>
                  <w:noWrap w:val="0"/>
                  <w:vAlign w:val="center"/>
                </w:tcPr>
                <w:p w14:paraId="2E0E23EC">
                  <w:pPr>
                    <w:widowControl/>
                    <w:jc w:val="center"/>
                    <w:rPr>
                      <w:rFonts w:ascii="Times New Roman" w:hAnsi="Times New Roman"/>
                      <w:color w:val="auto"/>
                      <w:sz w:val="18"/>
                      <w:szCs w:val="18"/>
                      <w:highlight w:val="none"/>
                    </w:rPr>
                  </w:pPr>
                </w:p>
              </w:tc>
              <w:tc>
                <w:tcPr>
                  <w:tcW w:w="381" w:type="pct"/>
                  <w:noWrap w:val="0"/>
                  <w:vAlign w:val="center"/>
                </w:tcPr>
                <w:p w14:paraId="06D0075A">
                  <w:pPr>
                    <w:jc w:val="center"/>
                    <w:rPr>
                      <w:rFonts w:ascii="Times New Roman" w:hAnsi="Times New Roman"/>
                      <w:color w:val="auto"/>
                      <w:sz w:val="18"/>
                      <w:szCs w:val="18"/>
                      <w:highlight w:val="none"/>
                    </w:rPr>
                  </w:pPr>
                  <w:r>
                    <w:rPr>
                      <w:rFonts w:ascii="Times New Roman" w:hAnsi="Times New Roman"/>
                      <w:color w:val="auto"/>
                      <w:sz w:val="18"/>
                      <w:szCs w:val="18"/>
                      <w:highlight w:val="none"/>
                    </w:rPr>
                    <w:t>排放量</w:t>
                  </w:r>
                </w:p>
                <w:p w14:paraId="7F3CAE5A">
                  <w:pPr>
                    <w:jc w:val="center"/>
                    <w:rPr>
                      <w:rFonts w:ascii="Times New Roman" w:hAnsi="Times New Roman"/>
                      <w:color w:val="auto"/>
                      <w:sz w:val="18"/>
                      <w:szCs w:val="18"/>
                      <w:highlight w:val="none"/>
                    </w:rPr>
                  </w:pPr>
                  <w:r>
                    <w:rPr>
                      <w:rFonts w:ascii="Times New Roman" w:hAnsi="Times New Roman"/>
                      <w:color w:val="auto"/>
                      <w:sz w:val="18"/>
                      <w:szCs w:val="18"/>
                      <w:highlight w:val="none"/>
                    </w:rPr>
                    <w:t>t/a</w:t>
                  </w:r>
                </w:p>
              </w:tc>
              <w:tc>
                <w:tcPr>
                  <w:tcW w:w="436" w:type="pct"/>
                  <w:noWrap w:val="0"/>
                  <w:vAlign w:val="center"/>
                </w:tcPr>
                <w:p w14:paraId="6F723863">
                  <w:pPr>
                    <w:jc w:val="center"/>
                    <w:rPr>
                      <w:rFonts w:ascii="Times New Roman" w:hAnsi="Times New Roman"/>
                      <w:color w:val="auto"/>
                      <w:sz w:val="18"/>
                      <w:szCs w:val="18"/>
                      <w:highlight w:val="none"/>
                    </w:rPr>
                  </w:pPr>
                  <w:r>
                    <w:rPr>
                      <w:rFonts w:ascii="Times New Roman" w:hAnsi="Times New Roman"/>
                      <w:color w:val="auto"/>
                      <w:sz w:val="18"/>
                      <w:szCs w:val="18"/>
                      <w:highlight w:val="none"/>
                    </w:rPr>
                    <w:t>排放速率kg/h</w:t>
                  </w:r>
                </w:p>
              </w:tc>
              <w:tc>
                <w:tcPr>
                  <w:tcW w:w="427" w:type="pct"/>
                  <w:noWrap w:val="0"/>
                  <w:vAlign w:val="center"/>
                </w:tcPr>
                <w:p w14:paraId="4D955C0E">
                  <w:pPr>
                    <w:jc w:val="center"/>
                    <w:rPr>
                      <w:rFonts w:ascii="Times New Roman" w:hAnsi="Times New Roman"/>
                      <w:color w:val="auto"/>
                      <w:sz w:val="18"/>
                      <w:szCs w:val="18"/>
                      <w:highlight w:val="none"/>
                    </w:rPr>
                  </w:pPr>
                  <w:r>
                    <w:rPr>
                      <w:rFonts w:ascii="Times New Roman" w:hAnsi="Times New Roman"/>
                      <w:color w:val="auto"/>
                      <w:sz w:val="18"/>
                      <w:szCs w:val="18"/>
                      <w:highlight w:val="none"/>
                    </w:rPr>
                    <w:t>浓度</w:t>
                  </w:r>
                </w:p>
                <w:p w14:paraId="1A752746">
                  <w:pPr>
                    <w:jc w:val="center"/>
                    <w:rPr>
                      <w:rFonts w:ascii="Times New Roman" w:hAnsi="Times New Roman"/>
                      <w:color w:val="auto"/>
                      <w:sz w:val="18"/>
                      <w:szCs w:val="18"/>
                      <w:highlight w:val="none"/>
                    </w:rPr>
                  </w:pPr>
                  <w:r>
                    <w:rPr>
                      <w:rFonts w:ascii="Times New Roman" w:hAnsi="Times New Roman"/>
                      <w:color w:val="auto"/>
                      <w:sz w:val="18"/>
                      <w:szCs w:val="18"/>
                      <w:highlight w:val="none"/>
                    </w:rPr>
                    <w:t>mg/m</w:t>
                  </w:r>
                  <w:r>
                    <w:rPr>
                      <w:rFonts w:ascii="Times New Roman" w:hAnsi="Times New Roman"/>
                      <w:color w:val="auto"/>
                      <w:sz w:val="18"/>
                      <w:szCs w:val="18"/>
                      <w:highlight w:val="none"/>
                      <w:vertAlign w:val="superscript"/>
                    </w:rPr>
                    <w:t>3</w:t>
                  </w:r>
                </w:p>
              </w:tc>
              <w:tc>
                <w:tcPr>
                  <w:tcW w:w="426" w:type="pct"/>
                  <w:noWrap w:val="0"/>
                  <w:vAlign w:val="center"/>
                </w:tcPr>
                <w:p w14:paraId="44081C97">
                  <w:pPr>
                    <w:jc w:val="center"/>
                    <w:rPr>
                      <w:rFonts w:ascii="Times New Roman" w:hAnsi="Times New Roman"/>
                      <w:color w:val="auto"/>
                      <w:sz w:val="18"/>
                      <w:szCs w:val="18"/>
                      <w:highlight w:val="none"/>
                    </w:rPr>
                  </w:pPr>
                  <w:r>
                    <w:rPr>
                      <w:rFonts w:ascii="Times New Roman" w:hAnsi="Times New Roman"/>
                      <w:color w:val="auto"/>
                      <w:sz w:val="18"/>
                      <w:szCs w:val="18"/>
                      <w:highlight w:val="none"/>
                    </w:rPr>
                    <w:t>浓度</w:t>
                  </w:r>
                </w:p>
                <w:p w14:paraId="5D3572E0">
                  <w:pPr>
                    <w:jc w:val="center"/>
                    <w:rPr>
                      <w:rFonts w:ascii="Times New Roman" w:hAnsi="Times New Roman"/>
                      <w:color w:val="auto"/>
                      <w:sz w:val="18"/>
                      <w:szCs w:val="18"/>
                      <w:highlight w:val="none"/>
                    </w:rPr>
                  </w:pPr>
                  <w:r>
                    <w:rPr>
                      <w:rFonts w:ascii="Times New Roman" w:hAnsi="Times New Roman"/>
                      <w:color w:val="auto"/>
                      <w:sz w:val="18"/>
                      <w:szCs w:val="18"/>
                      <w:highlight w:val="none"/>
                    </w:rPr>
                    <w:t>mg/m</w:t>
                  </w:r>
                  <w:r>
                    <w:rPr>
                      <w:rFonts w:ascii="Times New Roman" w:hAnsi="Times New Roman"/>
                      <w:color w:val="auto"/>
                      <w:sz w:val="18"/>
                      <w:szCs w:val="18"/>
                      <w:highlight w:val="none"/>
                      <w:vertAlign w:val="superscript"/>
                    </w:rPr>
                    <w:t>3</w:t>
                  </w:r>
                </w:p>
              </w:tc>
              <w:tc>
                <w:tcPr>
                  <w:tcW w:w="243" w:type="pct"/>
                  <w:vMerge w:val="continue"/>
                  <w:noWrap w:val="0"/>
                  <w:vAlign w:val="center"/>
                </w:tcPr>
                <w:p w14:paraId="00D515E2">
                  <w:pPr>
                    <w:widowControl/>
                    <w:jc w:val="center"/>
                    <w:rPr>
                      <w:rFonts w:ascii="Times New Roman" w:hAnsi="Times New Roman"/>
                      <w:color w:val="auto"/>
                      <w:sz w:val="18"/>
                      <w:szCs w:val="18"/>
                      <w:highlight w:val="none"/>
                    </w:rPr>
                  </w:pPr>
                </w:p>
              </w:tc>
            </w:tr>
            <w:tr w14:paraId="594E41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17" w:type="pct"/>
                  <w:noWrap w:val="0"/>
                  <w:vAlign w:val="center"/>
                </w:tcPr>
                <w:p w14:paraId="72C93477">
                  <w:pPr>
                    <w:jc w:val="center"/>
                    <w:rPr>
                      <w:rFonts w:hint="default" w:ascii="Times New Roman" w:hAnsi="Times New Roman" w:eastAsia="宋体"/>
                      <w:color w:val="auto"/>
                      <w:sz w:val="18"/>
                      <w:szCs w:val="18"/>
                      <w:highlight w:val="none"/>
                      <w:lang w:val="en-US" w:eastAsia="zh-CN"/>
                    </w:rPr>
                  </w:pPr>
                  <w:r>
                    <w:rPr>
                      <w:rFonts w:hint="eastAsia" w:ascii="Times New Roman" w:hAnsi="Times New Roman" w:eastAsia="宋体"/>
                      <w:color w:val="auto"/>
                      <w:sz w:val="18"/>
                      <w:szCs w:val="18"/>
                      <w:highlight w:val="none"/>
                      <w:lang w:val="en-US" w:eastAsia="zh-CN"/>
                    </w:rPr>
                    <w:t>DA00</w:t>
                  </w:r>
                  <w:r>
                    <w:rPr>
                      <w:rFonts w:hint="eastAsia"/>
                      <w:color w:val="auto"/>
                      <w:sz w:val="18"/>
                      <w:szCs w:val="18"/>
                      <w:highlight w:val="none"/>
                      <w:lang w:val="en-US" w:eastAsia="zh-CN"/>
                    </w:rPr>
                    <w:t>3</w:t>
                  </w:r>
                </w:p>
              </w:tc>
              <w:tc>
                <w:tcPr>
                  <w:tcW w:w="353" w:type="pct"/>
                  <w:noWrap w:val="0"/>
                  <w:vAlign w:val="center"/>
                </w:tcPr>
                <w:p w14:paraId="30004A77">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颗粒物</w:t>
                  </w:r>
                </w:p>
              </w:tc>
              <w:tc>
                <w:tcPr>
                  <w:tcW w:w="474" w:type="pct"/>
                  <w:noWrap w:val="0"/>
                  <w:vAlign w:val="center"/>
                </w:tcPr>
                <w:p w14:paraId="407D3B82">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75000</w:t>
                  </w:r>
                </w:p>
              </w:tc>
              <w:tc>
                <w:tcPr>
                  <w:tcW w:w="436" w:type="pct"/>
                  <w:noWrap w:val="0"/>
                  <w:vAlign w:val="center"/>
                </w:tcPr>
                <w:p w14:paraId="6C21E623">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214</w:t>
                  </w:r>
                </w:p>
              </w:tc>
              <w:tc>
                <w:tcPr>
                  <w:tcW w:w="491" w:type="pct"/>
                  <w:noWrap w:val="0"/>
                  <w:vAlign w:val="center"/>
                </w:tcPr>
                <w:p w14:paraId="22EF3131">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30.57</w:t>
                  </w:r>
                </w:p>
              </w:tc>
              <w:tc>
                <w:tcPr>
                  <w:tcW w:w="556" w:type="pct"/>
                  <w:noWrap w:val="0"/>
                  <w:vAlign w:val="center"/>
                </w:tcPr>
                <w:p w14:paraId="6CF8EC00">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布袋除尘器</w:t>
                  </w:r>
                </w:p>
              </w:tc>
              <w:tc>
                <w:tcPr>
                  <w:tcW w:w="256" w:type="pct"/>
                  <w:noWrap w:val="0"/>
                  <w:vAlign w:val="center"/>
                </w:tcPr>
                <w:p w14:paraId="4ABE58F6">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99</w:t>
                  </w:r>
                </w:p>
              </w:tc>
              <w:tc>
                <w:tcPr>
                  <w:tcW w:w="381" w:type="pct"/>
                  <w:noWrap w:val="0"/>
                  <w:vAlign w:val="center"/>
                </w:tcPr>
                <w:p w14:paraId="09677E74">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2.14</w:t>
                  </w:r>
                </w:p>
              </w:tc>
              <w:tc>
                <w:tcPr>
                  <w:tcW w:w="436" w:type="pct"/>
                  <w:noWrap w:val="0"/>
                  <w:vAlign w:val="center"/>
                </w:tcPr>
                <w:p w14:paraId="250876AB">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 xml:space="preserve">0.31 </w:t>
                  </w:r>
                </w:p>
              </w:tc>
              <w:tc>
                <w:tcPr>
                  <w:tcW w:w="427" w:type="pct"/>
                  <w:noWrap w:val="0"/>
                  <w:vAlign w:val="center"/>
                </w:tcPr>
                <w:p w14:paraId="006C1A10">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eastAsia" w:cs="Times New Roman"/>
                      <w:i w:val="0"/>
                      <w:iCs w:val="0"/>
                      <w:color w:val="auto"/>
                      <w:kern w:val="0"/>
                      <w:sz w:val="18"/>
                      <w:szCs w:val="18"/>
                      <w:u w:val="none"/>
                      <w:lang w:val="en-US" w:eastAsia="zh-CN" w:bidi="ar"/>
                    </w:rPr>
                    <w:t>4.13</w:t>
                  </w:r>
                </w:p>
              </w:tc>
              <w:tc>
                <w:tcPr>
                  <w:tcW w:w="426" w:type="pct"/>
                  <w:noWrap w:val="0"/>
                  <w:vAlign w:val="center"/>
                </w:tcPr>
                <w:p w14:paraId="4FFB8A8A">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15</w:t>
                  </w:r>
                </w:p>
              </w:tc>
              <w:tc>
                <w:tcPr>
                  <w:tcW w:w="243" w:type="pct"/>
                  <w:noWrap w:val="0"/>
                  <w:vAlign w:val="center"/>
                </w:tcPr>
                <w:p w14:paraId="13A9115C">
                  <w:pPr>
                    <w:jc w:val="center"/>
                    <w:rPr>
                      <w:rFonts w:ascii="Times New Roman" w:hAnsi="Times New Roman"/>
                      <w:color w:val="auto"/>
                      <w:sz w:val="18"/>
                      <w:szCs w:val="18"/>
                      <w:highlight w:val="none"/>
                    </w:rPr>
                  </w:pPr>
                  <w:r>
                    <w:rPr>
                      <w:rFonts w:ascii="Times New Roman" w:hAnsi="Times New Roman"/>
                      <w:color w:val="auto"/>
                      <w:sz w:val="18"/>
                      <w:szCs w:val="18"/>
                      <w:highlight w:val="none"/>
                    </w:rPr>
                    <w:t>达标</w:t>
                  </w:r>
                </w:p>
              </w:tc>
            </w:tr>
            <w:tr w14:paraId="2B5DC0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17" w:type="pct"/>
                  <w:noWrap w:val="0"/>
                  <w:vAlign w:val="center"/>
                </w:tcPr>
                <w:p w14:paraId="32B78827">
                  <w:pPr>
                    <w:jc w:val="center"/>
                    <w:rPr>
                      <w:rFonts w:hint="default" w:ascii="Times New Roman" w:hAnsi="Times New Roman" w:eastAsia="宋体"/>
                      <w:color w:val="auto"/>
                      <w:sz w:val="18"/>
                      <w:szCs w:val="18"/>
                      <w:highlight w:val="none"/>
                      <w:lang w:val="en-US" w:eastAsia="zh-CN"/>
                    </w:rPr>
                  </w:pPr>
                  <w:r>
                    <w:rPr>
                      <w:rFonts w:hint="eastAsia" w:ascii="Times New Roman" w:hAnsi="Times New Roman" w:eastAsia="宋体"/>
                      <w:color w:val="auto"/>
                      <w:sz w:val="18"/>
                      <w:szCs w:val="18"/>
                      <w:highlight w:val="none"/>
                      <w:lang w:val="en-US" w:eastAsia="zh-CN"/>
                    </w:rPr>
                    <w:t>DA0</w:t>
                  </w:r>
                  <w:r>
                    <w:rPr>
                      <w:rFonts w:hint="eastAsia"/>
                      <w:color w:val="auto"/>
                      <w:sz w:val="18"/>
                      <w:szCs w:val="18"/>
                      <w:highlight w:val="none"/>
                      <w:lang w:val="en-US" w:eastAsia="zh-CN"/>
                    </w:rPr>
                    <w:t>10</w:t>
                  </w:r>
                </w:p>
              </w:tc>
              <w:tc>
                <w:tcPr>
                  <w:tcW w:w="353" w:type="pct"/>
                  <w:noWrap w:val="0"/>
                  <w:vAlign w:val="center"/>
                </w:tcPr>
                <w:p w14:paraId="3128984A">
                  <w:pPr>
                    <w:jc w:val="center"/>
                    <w:rPr>
                      <w:rFonts w:hint="eastAsia"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颗粒物</w:t>
                  </w:r>
                </w:p>
              </w:tc>
              <w:tc>
                <w:tcPr>
                  <w:tcW w:w="474" w:type="pct"/>
                  <w:noWrap w:val="0"/>
                  <w:vAlign w:val="center"/>
                </w:tcPr>
                <w:p w14:paraId="5286623D">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60000</w:t>
                  </w:r>
                </w:p>
              </w:tc>
              <w:tc>
                <w:tcPr>
                  <w:tcW w:w="436" w:type="pct"/>
                  <w:noWrap w:val="0"/>
                  <w:vAlign w:val="center"/>
                </w:tcPr>
                <w:p w14:paraId="52D7A1AC">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56</w:t>
                  </w:r>
                </w:p>
              </w:tc>
              <w:tc>
                <w:tcPr>
                  <w:tcW w:w="491" w:type="pct"/>
                  <w:noWrap w:val="0"/>
                  <w:vAlign w:val="center"/>
                </w:tcPr>
                <w:p w14:paraId="6C29969A">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8</w:t>
                  </w:r>
                </w:p>
              </w:tc>
              <w:tc>
                <w:tcPr>
                  <w:tcW w:w="556" w:type="pct"/>
                  <w:noWrap w:val="0"/>
                  <w:vAlign w:val="center"/>
                </w:tcPr>
                <w:p w14:paraId="21503EFF">
                  <w:pPr>
                    <w:jc w:val="center"/>
                    <w:rPr>
                      <w:rFonts w:ascii="Times New Roman" w:hAnsi="Times New Roman"/>
                      <w:color w:val="auto"/>
                      <w:sz w:val="18"/>
                      <w:szCs w:val="18"/>
                      <w:highlight w:val="none"/>
                    </w:rPr>
                  </w:pPr>
                  <w:r>
                    <w:rPr>
                      <w:rFonts w:hint="eastAsia"/>
                      <w:color w:val="auto"/>
                      <w:sz w:val="18"/>
                      <w:szCs w:val="18"/>
                      <w:highlight w:val="none"/>
                      <w:lang w:val="en-US" w:eastAsia="zh-CN"/>
                    </w:rPr>
                    <w:t>布袋除尘器</w:t>
                  </w:r>
                </w:p>
              </w:tc>
              <w:tc>
                <w:tcPr>
                  <w:tcW w:w="256" w:type="pct"/>
                  <w:noWrap w:val="0"/>
                  <w:vAlign w:val="center"/>
                </w:tcPr>
                <w:p w14:paraId="3D670BDE">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99</w:t>
                  </w:r>
                </w:p>
              </w:tc>
              <w:tc>
                <w:tcPr>
                  <w:tcW w:w="381" w:type="pct"/>
                  <w:noWrap w:val="0"/>
                  <w:vAlign w:val="center"/>
                </w:tcPr>
                <w:p w14:paraId="62F8FA3F">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0.532</w:t>
                  </w:r>
                </w:p>
              </w:tc>
              <w:tc>
                <w:tcPr>
                  <w:tcW w:w="436" w:type="pct"/>
                  <w:noWrap w:val="0"/>
                  <w:vAlign w:val="center"/>
                </w:tcPr>
                <w:p w14:paraId="46678EE1">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0.076</w:t>
                  </w:r>
                </w:p>
              </w:tc>
              <w:tc>
                <w:tcPr>
                  <w:tcW w:w="427" w:type="pct"/>
                  <w:noWrap w:val="0"/>
                  <w:vAlign w:val="center"/>
                </w:tcPr>
                <w:p w14:paraId="14366A86">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1.27</w:t>
                  </w:r>
                </w:p>
              </w:tc>
              <w:tc>
                <w:tcPr>
                  <w:tcW w:w="426" w:type="pct"/>
                  <w:noWrap w:val="0"/>
                  <w:vAlign w:val="center"/>
                </w:tcPr>
                <w:p w14:paraId="1B970914">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15</w:t>
                  </w:r>
                </w:p>
              </w:tc>
              <w:tc>
                <w:tcPr>
                  <w:tcW w:w="243" w:type="pct"/>
                  <w:noWrap w:val="0"/>
                  <w:vAlign w:val="center"/>
                </w:tcPr>
                <w:p w14:paraId="17843E0B">
                  <w:pPr>
                    <w:jc w:val="center"/>
                    <w:rPr>
                      <w:rFonts w:ascii="Times New Roman" w:hAnsi="Times New Roman"/>
                      <w:color w:val="auto"/>
                      <w:sz w:val="18"/>
                      <w:szCs w:val="18"/>
                      <w:highlight w:val="none"/>
                    </w:rPr>
                  </w:pPr>
                  <w:r>
                    <w:rPr>
                      <w:rFonts w:ascii="Times New Roman" w:hAnsi="Times New Roman"/>
                      <w:color w:val="auto"/>
                      <w:sz w:val="18"/>
                      <w:szCs w:val="18"/>
                      <w:highlight w:val="none"/>
                    </w:rPr>
                    <w:t>达标</w:t>
                  </w:r>
                </w:p>
              </w:tc>
            </w:tr>
            <w:tr w14:paraId="763780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17" w:type="pct"/>
                  <w:noWrap w:val="0"/>
                  <w:vAlign w:val="center"/>
                </w:tcPr>
                <w:p w14:paraId="4B79E131">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DA012</w:t>
                  </w:r>
                </w:p>
              </w:tc>
              <w:tc>
                <w:tcPr>
                  <w:tcW w:w="353" w:type="pct"/>
                  <w:noWrap w:val="0"/>
                  <w:vAlign w:val="center"/>
                </w:tcPr>
                <w:p w14:paraId="4BB55351">
                  <w:pPr>
                    <w:jc w:val="center"/>
                    <w:rPr>
                      <w:rFonts w:hint="default" w:ascii="Times New Roman" w:hAnsi="Times New Roman"/>
                      <w:color w:val="auto"/>
                      <w:sz w:val="18"/>
                      <w:szCs w:val="18"/>
                      <w:highlight w:val="none"/>
                      <w:lang w:val="en-US" w:eastAsia="zh-CN"/>
                    </w:rPr>
                  </w:pPr>
                  <w:r>
                    <w:rPr>
                      <w:rFonts w:hint="eastAsia"/>
                      <w:color w:val="auto"/>
                      <w:sz w:val="18"/>
                      <w:szCs w:val="18"/>
                      <w:highlight w:val="none"/>
                      <w:lang w:val="en-US" w:eastAsia="zh-CN"/>
                    </w:rPr>
                    <w:t>颗粒物</w:t>
                  </w:r>
                </w:p>
              </w:tc>
              <w:tc>
                <w:tcPr>
                  <w:tcW w:w="474" w:type="pct"/>
                  <w:noWrap w:val="0"/>
                  <w:vAlign w:val="center"/>
                </w:tcPr>
                <w:p w14:paraId="704E358C">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3000</w:t>
                  </w:r>
                </w:p>
              </w:tc>
              <w:tc>
                <w:tcPr>
                  <w:tcW w:w="436" w:type="pct"/>
                  <w:noWrap w:val="0"/>
                  <w:vAlign w:val="center"/>
                </w:tcPr>
                <w:p w14:paraId="3E77C83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21</w:t>
                  </w:r>
                </w:p>
              </w:tc>
              <w:tc>
                <w:tcPr>
                  <w:tcW w:w="491" w:type="pct"/>
                  <w:noWrap w:val="0"/>
                  <w:vAlign w:val="center"/>
                </w:tcPr>
                <w:p w14:paraId="5B3A0D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3</w:t>
                  </w:r>
                </w:p>
              </w:tc>
              <w:tc>
                <w:tcPr>
                  <w:tcW w:w="556" w:type="pct"/>
                  <w:noWrap w:val="0"/>
                  <w:vAlign w:val="center"/>
                </w:tcPr>
                <w:p w14:paraId="789B92E2">
                  <w:pPr>
                    <w:jc w:val="center"/>
                    <w:rPr>
                      <w:rFonts w:hint="eastAsia"/>
                      <w:color w:val="auto"/>
                      <w:sz w:val="18"/>
                      <w:szCs w:val="18"/>
                      <w:highlight w:val="none"/>
                      <w:lang w:val="en-US" w:eastAsia="zh-CN"/>
                    </w:rPr>
                  </w:pPr>
                  <w:r>
                    <w:rPr>
                      <w:rFonts w:hint="eastAsia"/>
                      <w:color w:val="auto"/>
                      <w:sz w:val="18"/>
                      <w:szCs w:val="18"/>
                      <w:highlight w:val="none"/>
                      <w:lang w:val="en-US" w:eastAsia="zh-CN"/>
                    </w:rPr>
                    <w:t>布袋除尘器</w:t>
                  </w:r>
                </w:p>
              </w:tc>
              <w:tc>
                <w:tcPr>
                  <w:tcW w:w="256" w:type="pct"/>
                  <w:noWrap w:val="0"/>
                  <w:vAlign w:val="center"/>
                </w:tcPr>
                <w:p w14:paraId="661708FA">
                  <w:pPr>
                    <w:jc w:val="center"/>
                    <w:rPr>
                      <w:rFonts w:hint="default"/>
                      <w:color w:val="auto"/>
                      <w:sz w:val="18"/>
                      <w:szCs w:val="18"/>
                      <w:highlight w:val="none"/>
                      <w:lang w:val="en-US" w:eastAsia="zh-CN"/>
                    </w:rPr>
                  </w:pPr>
                  <w:r>
                    <w:rPr>
                      <w:rFonts w:hint="eastAsia"/>
                      <w:color w:val="auto"/>
                      <w:sz w:val="18"/>
                      <w:szCs w:val="18"/>
                      <w:highlight w:val="none"/>
                      <w:lang w:val="en-US" w:eastAsia="zh-CN"/>
                    </w:rPr>
                    <w:t>99</w:t>
                  </w:r>
                </w:p>
              </w:tc>
              <w:tc>
                <w:tcPr>
                  <w:tcW w:w="381" w:type="pct"/>
                  <w:noWrap w:val="0"/>
                  <w:vAlign w:val="center"/>
                </w:tcPr>
                <w:p w14:paraId="477A601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0.21</w:t>
                  </w:r>
                </w:p>
              </w:tc>
              <w:tc>
                <w:tcPr>
                  <w:tcW w:w="436" w:type="pct"/>
                  <w:noWrap w:val="0"/>
                  <w:vAlign w:val="center"/>
                </w:tcPr>
                <w:p w14:paraId="69A7242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0.03</w:t>
                  </w:r>
                </w:p>
              </w:tc>
              <w:tc>
                <w:tcPr>
                  <w:tcW w:w="427" w:type="pct"/>
                  <w:noWrap w:val="0"/>
                  <w:vAlign w:val="center"/>
                </w:tcPr>
                <w:p w14:paraId="14AA60C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10</w:t>
                  </w:r>
                </w:p>
              </w:tc>
              <w:tc>
                <w:tcPr>
                  <w:tcW w:w="426" w:type="pct"/>
                  <w:noWrap w:val="0"/>
                  <w:vAlign w:val="center"/>
                </w:tcPr>
                <w:p w14:paraId="780C09FB">
                  <w:pPr>
                    <w:jc w:val="center"/>
                    <w:rPr>
                      <w:rFonts w:hint="eastAsia"/>
                      <w:color w:val="auto"/>
                      <w:sz w:val="18"/>
                      <w:szCs w:val="18"/>
                      <w:highlight w:val="none"/>
                      <w:lang w:val="en-US" w:eastAsia="zh-CN"/>
                    </w:rPr>
                  </w:pPr>
                  <w:r>
                    <w:rPr>
                      <w:rFonts w:hint="eastAsia"/>
                      <w:color w:val="auto"/>
                      <w:sz w:val="18"/>
                      <w:szCs w:val="18"/>
                      <w:highlight w:val="none"/>
                      <w:lang w:val="en-US" w:eastAsia="zh-CN"/>
                    </w:rPr>
                    <w:t>15</w:t>
                  </w:r>
                </w:p>
              </w:tc>
              <w:tc>
                <w:tcPr>
                  <w:tcW w:w="243" w:type="pct"/>
                  <w:noWrap w:val="0"/>
                  <w:vAlign w:val="center"/>
                </w:tcPr>
                <w:p w14:paraId="69C7D16E">
                  <w:pPr>
                    <w:jc w:val="center"/>
                    <w:rPr>
                      <w:rFonts w:ascii="Times New Roman" w:hAnsi="Times New Roman"/>
                      <w:color w:val="auto"/>
                      <w:sz w:val="18"/>
                      <w:szCs w:val="18"/>
                      <w:highlight w:val="none"/>
                    </w:rPr>
                  </w:pPr>
                  <w:r>
                    <w:rPr>
                      <w:rFonts w:ascii="Times New Roman" w:hAnsi="Times New Roman"/>
                      <w:color w:val="auto"/>
                      <w:sz w:val="18"/>
                      <w:szCs w:val="18"/>
                      <w:highlight w:val="none"/>
                    </w:rPr>
                    <w:t>达标</w:t>
                  </w:r>
                </w:p>
              </w:tc>
            </w:tr>
            <w:tr w14:paraId="36774D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17" w:type="pct"/>
                  <w:noWrap w:val="0"/>
                  <w:vAlign w:val="center"/>
                </w:tcPr>
                <w:p w14:paraId="305CB20D">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DA014</w:t>
                  </w:r>
                </w:p>
              </w:tc>
              <w:tc>
                <w:tcPr>
                  <w:tcW w:w="353" w:type="pct"/>
                  <w:noWrap w:val="0"/>
                  <w:vAlign w:val="center"/>
                </w:tcPr>
                <w:p w14:paraId="459B4E5C">
                  <w:pPr>
                    <w:jc w:val="center"/>
                    <w:rPr>
                      <w:rFonts w:hint="eastAsia" w:ascii="Times New Roman" w:hAnsi="Times New Roman"/>
                      <w:color w:val="auto"/>
                      <w:sz w:val="18"/>
                      <w:szCs w:val="18"/>
                      <w:highlight w:val="none"/>
                      <w:lang w:val="en-US" w:eastAsia="zh-CN"/>
                    </w:rPr>
                  </w:pPr>
                  <w:r>
                    <w:rPr>
                      <w:rFonts w:hint="eastAsia"/>
                      <w:color w:val="auto"/>
                      <w:sz w:val="18"/>
                      <w:szCs w:val="18"/>
                      <w:highlight w:val="none"/>
                      <w:lang w:val="en-US" w:eastAsia="zh-CN"/>
                    </w:rPr>
                    <w:t>颗粒物</w:t>
                  </w:r>
                </w:p>
              </w:tc>
              <w:tc>
                <w:tcPr>
                  <w:tcW w:w="474" w:type="pct"/>
                  <w:noWrap w:val="0"/>
                  <w:vAlign w:val="center"/>
                </w:tcPr>
                <w:p w14:paraId="0CD734AB">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8000</w:t>
                  </w:r>
                </w:p>
              </w:tc>
              <w:tc>
                <w:tcPr>
                  <w:tcW w:w="436" w:type="pct"/>
                  <w:noWrap w:val="0"/>
                  <w:vAlign w:val="center"/>
                </w:tcPr>
                <w:p w14:paraId="0DB5E9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37.1</w:t>
                  </w:r>
                </w:p>
              </w:tc>
              <w:tc>
                <w:tcPr>
                  <w:tcW w:w="491" w:type="pct"/>
                  <w:noWrap w:val="0"/>
                  <w:vAlign w:val="center"/>
                </w:tcPr>
                <w:p w14:paraId="67FF77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5.3</w:t>
                  </w:r>
                </w:p>
              </w:tc>
              <w:tc>
                <w:tcPr>
                  <w:tcW w:w="556" w:type="pct"/>
                  <w:noWrap w:val="0"/>
                  <w:vAlign w:val="center"/>
                </w:tcPr>
                <w:p w14:paraId="4BC1A624">
                  <w:pPr>
                    <w:jc w:val="center"/>
                    <w:rPr>
                      <w:rFonts w:hint="eastAsia"/>
                      <w:color w:val="auto"/>
                      <w:sz w:val="18"/>
                      <w:szCs w:val="18"/>
                      <w:highlight w:val="none"/>
                      <w:lang w:val="en-US" w:eastAsia="zh-CN"/>
                    </w:rPr>
                  </w:pPr>
                  <w:r>
                    <w:rPr>
                      <w:rFonts w:hint="eastAsia"/>
                      <w:color w:val="auto"/>
                      <w:sz w:val="18"/>
                      <w:szCs w:val="18"/>
                      <w:highlight w:val="none"/>
                      <w:lang w:val="en-US" w:eastAsia="zh-CN"/>
                    </w:rPr>
                    <w:t>布袋除尘器</w:t>
                  </w:r>
                </w:p>
              </w:tc>
              <w:tc>
                <w:tcPr>
                  <w:tcW w:w="256" w:type="pct"/>
                  <w:noWrap w:val="0"/>
                  <w:vAlign w:val="center"/>
                </w:tcPr>
                <w:p w14:paraId="3006E491">
                  <w:pPr>
                    <w:jc w:val="center"/>
                    <w:rPr>
                      <w:rFonts w:hint="default"/>
                      <w:color w:val="auto"/>
                      <w:sz w:val="18"/>
                      <w:szCs w:val="18"/>
                      <w:highlight w:val="none"/>
                      <w:lang w:val="en-US" w:eastAsia="zh-CN"/>
                    </w:rPr>
                  </w:pPr>
                  <w:r>
                    <w:rPr>
                      <w:rFonts w:hint="eastAsia"/>
                      <w:color w:val="auto"/>
                      <w:sz w:val="18"/>
                      <w:szCs w:val="18"/>
                      <w:highlight w:val="none"/>
                      <w:lang w:val="en-US" w:eastAsia="zh-CN"/>
                    </w:rPr>
                    <w:t>99</w:t>
                  </w:r>
                </w:p>
              </w:tc>
              <w:tc>
                <w:tcPr>
                  <w:tcW w:w="381" w:type="pct"/>
                  <w:noWrap w:val="0"/>
                  <w:vAlign w:val="center"/>
                </w:tcPr>
                <w:p w14:paraId="3A4BDED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cs="Times New Roman"/>
                      <w:i w:val="0"/>
                      <w:iCs w:val="0"/>
                      <w:color w:val="auto"/>
                      <w:kern w:val="0"/>
                      <w:sz w:val="18"/>
                      <w:szCs w:val="18"/>
                      <w:u w:val="none"/>
                      <w:lang w:val="en-US" w:eastAsia="zh-CN" w:bidi="ar"/>
                    </w:rPr>
                    <w:t>0.37</w:t>
                  </w:r>
                </w:p>
              </w:tc>
              <w:tc>
                <w:tcPr>
                  <w:tcW w:w="436" w:type="pct"/>
                  <w:noWrap w:val="0"/>
                  <w:vAlign w:val="center"/>
                </w:tcPr>
                <w:p w14:paraId="30BFA07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cs="Times New Roman"/>
                      <w:i w:val="0"/>
                      <w:iCs w:val="0"/>
                      <w:color w:val="auto"/>
                      <w:kern w:val="0"/>
                      <w:sz w:val="18"/>
                      <w:szCs w:val="18"/>
                      <w:u w:val="none"/>
                      <w:lang w:val="en-US" w:eastAsia="zh-CN" w:bidi="ar"/>
                    </w:rPr>
                    <w:t>0.053</w:t>
                  </w:r>
                </w:p>
              </w:tc>
              <w:tc>
                <w:tcPr>
                  <w:tcW w:w="427" w:type="pct"/>
                  <w:noWrap w:val="0"/>
                  <w:vAlign w:val="center"/>
                </w:tcPr>
                <w:p w14:paraId="06477FC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cs="Times New Roman"/>
                      <w:i w:val="0"/>
                      <w:iCs w:val="0"/>
                      <w:color w:val="auto"/>
                      <w:kern w:val="0"/>
                      <w:sz w:val="18"/>
                      <w:szCs w:val="18"/>
                      <w:u w:val="none"/>
                      <w:lang w:val="en-US" w:eastAsia="zh-CN" w:bidi="ar"/>
                    </w:rPr>
                    <w:t>6.62</w:t>
                  </w:r>
                </w:p>
              </w:tc>
              <w:tc>
                <w:tcPr>
                  <w:tcW w:w="426" w:type="pct"/>
                  <w:noWrap w:val="0"/>
                  <w:vAlign w:val="center"/>
                </w:tcPr>
                <w:p w14:paraId="75CB3996">
                  <w:pPr>
                    <w:jc w:val="center"/>
                    <w:rPr>
                      <w:rFonts w:hint="default"/>
                      <w:color w:val="auto"/>
                      <w:sz w:val="18"/>
                      <w:szCs w:val="18"/>
                      <w:highlight w:val="none"/>
                      <w:lang w:val="en-US" w:eastAsia="zh-CN"/>
                    </w:rPr>
                  </w:pPr>
                  <w:r>
                    <w:rPr>
                      <w:rFonts w:hint="eastAsia"/>
                      <w:color w:val="auto"/>
                      <w:sz w:val="18"/>
                      <w:szCs w:val="18"/>
                      <w:highlight w:val="none"/>
                      <w:lang w:val="en-US" w:eastAsia="zh-CN"/>
                    </w:rPr>
                    <w:t>30</w:t>
                  </w:r>
                </w:p>
              </w:tc>
              <w:tc>
                <w:tcPr>
                  <w:tcW w:w="243" w:type="pct"/>
                  <w:noWrap w:val="0"/>
                  <w:vAlign w:val="center"/>
                </w:tcPr>
                <w:p w14:paraId="5E50C4F1">
                  <w:pPr>
                    <w:jc w:val="center"/>
                    <w:rPr>
                      <w:rFonts w:ascii="Times New Roman" w:hAnsi="Times New Roman"/>
                      <w:color w:val="auto"/>
                      <w:sz w:val="18"/>
                      <w:szCs w:val="18"/>
                      <w:highlight w:val="none"/>
                    </w:rPr>
                  </w:pPr>
                  <w:r>
                    <w:rPr>
                      <w:rFonts w:ascii="Times New Roman" w:hAnsi="Times New Roman"/>
                      <w:color w:val="auto"/>
                      <w:sz w:val="18"/>
                      <w:szCs w:val="18"/>
                      <w:highlight w:val="none"/>
                    </w:rPr>
                    <w:t>达标</w:t>
                  </w:r>
                </w:p>
              </w:tc>
            </w:tr>
          </w:tbl>
          <w:p w14:paraId="6DD40049">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default"/>
                <w:bCs/>
                <w:color w:val="auto"/>
                <w:sz w:val="21"/>
                <w:szCs w:val="21"/>
                <w:highlight w:val="none"/>
                <w:vertAlign w:val="baseline"/>
                <w:lang w:val="en-US" w:eastAsia="zh-CN"/>
              </w:rPr>
            </w:pPr>
            <w:r>
              <w:rPr>
                <w:rFonts w:hint="eastAsia"/>
                <w:color w:val="auto"/>
                <w:sz w:val="21"/>
                <w:szCs w:val="21"/>
                <w:highlight w:val="none"/>
                <w:lang w:val="en-US" w:eastAsia="zh-CN"/>
              </w:rPr>
              <w:t>由上表可知，DA003、DA010、DA012、DA014排放的颗粒物可以满足《轧钢工业大气污染物排放标准》（GB28665-2012）及其修改单表3标准限值要求。</w:t>
            </w:r>
          </w:p>
          <w:p w14:paraId="65AEAF73">
            <w:pPr>
              <w:adjustRightInd w:val="0"/>
              <w:snapToGrid w:val="0"/>
              <w:spacing w:line="360" w:lineRule="auto"/>
              <w:ind w:firstLine="420" w:firstLineChars="200"/>
              <w:rPr>
                <w:rFonts w:hint="eastAsia"/>
                <w:bCs/>
                <w:color w:val="auto"/>
                <w:sz w:val="21"/>
                <w:szCs w:val="21"/>
                <w:highlight w:val="none"/>
                <w:lang w:val="en-US" w:eastAsia="zh-CN"/>
              </w:rPr>
            </w:pPr>
            <w:r>
              <w:rPr>
                <w:rFonts w:hint="eastAsia"/>
                <w:bCs/>
                <w:color w:val="auto"/>
                <w:sz w:val="21"/>
                <w:szCs w:val="21"/>
                <w:highlight w:val="none"/>
                <w:lang w:val="en-US" w:eastAsia="zh-CN"/>
              </w:rPr>
              <w:t>③酸性废气（盐酸酸洗及酸洗后水洗废气、盐酸储罐呼吸废气，硫酸酸洗及水洗废气、硫酸储罐呼吸废气）</w:t>
            </w:r>
          </w:p>
          <w:p w14:paraId="525D276D">
            <w:pPr>
              <w:spacing w:line="360" w:lineRule="auto"/>
              <w:ind w:firstLine="420" w:firstLineChars="200"/>
              <w:rPr>
                <w:rFonts w:ascii="宋体" w:hAnsi="宋体" w:eastAsia="宋体" w:cs="宋体"/>
                <w:color w:val="auto"/>
                <w:sz w:val="21"/>
                <w:szCs w:val="21"/>
                <w:highlight w:val="none"/>
              </w:rPr>
            </w:pPr>
            <w:r>
              <w:rPr>
                <w:rFonts w:ascii="宋体" w:hAnsi="宋体" w:eastAsia="宋体" w:cs="宋体"/>
                <w:color w:val="auto"/>
                <w:sz w:val="21"/>
                <w:szCs w:val="21"/>
                <w:highlight w:val="none"/>
              </w:rPr>
              <w:t>根据有关资料分析，</w:t>
            </w:r>
            <w:r>
              <w:rPr>
                <w:rFonts w:hint="eastAsia" w:ascii="宋体" w:hAnsi="宋体" w:eastAsia="宋体" w:cs="宋体"/>
                <w:color w:val="auto"/>
                <w:sz w:val="21"/>
                <w:szCs w:val="21"/>
                <w:highlight w:val="none"/>
                <w:lang w:val="en-US" w:eastAsia="zh-CN"/>
              </w:rPr>
              <w:t>酸洗过程中氯化氢、硫酸雾</w:t>
            </w:r>
            <w:r>
              <w:rPr>
                <w:rFonts w:ascii="宋体" w:hAnsi="宋体" w:eastAsia="宋体" w:cs="宋体"/>
                <w:color w:val="auto"/>
                <w:sz w:val="21"/>
                <w:szCs w:val="21"/>
                <w:highlight w:val="none"/>
              </w:rPr>
              <w:t>的产生量与生产规模、酸用量、酸浓度、作业条件（温度、湿度、通风状况等）、槽液面积大小都有密切的关系。根据《环境统计手册》有关资料，</w:t>
            </w:r>
            <w:r>
              <w:rPr>
                <w:rFonts w:hint="eastAsia" w:ascii="宋体" w:hAnsi="宋体" w:eastAsia="宋体" w:cs="宋体"/>
                <w:color w:val="auto"/>
                <w:sz w:val="21"/>
                <w:szCs w:val="21"/>
                <w:highlight w:val="none"/>
                <w:lang w:val="en-US" w:eastAsia="zh-CN"/>
              </w:rPr>
              <w:t>酸洗</w:t>
            </w:r>
            <w:r>
              <w:rPr>
                <w:rFonts w:ascii="宋体" w:hAnsi="宋体" w:eastAsia="宋体" w:cs="宋体"/>
                <w:color w:val="auto"/>
                <w:sz w:val="21"/>
                <w:szCs w:val="21"/>
                <w:highlight w:val="none"/>
              </w:rPr>
              <w:t>槽内</w:t>
            </w:r>
            <w:r>
              <w:rPr>
                <w:rFonts w:hint="eastAsia" w:ascii="宋体" w:hAnsi="宋体" w:eastAsia="宋体" w:cs="宋体"/>
                <w:color w:val="auto"/>
                <w:sz w:val="21"/>
                <w:szCs w:val="21"/>
                <w:highlight w:val="none"/>
                <w:lang w:val="en-US" w:eastAsia="zh-CN"/>
              </w:rPr>
              <w:t>盐</w:t>
            </w:r>
            <w:r>
              <w:rPr>
                <w:rFonts w:ascii="宋体" w:hAnsi="宋体" w:eastAsia="宋体" w:cs="宋体"/>
                <w:color w:val="auto"/>
                <w:sz w:val="21"/>
                <w:szCs w:val="21"/>
                <w:highlight w:val="none"/>
              </w:rPr>
              <w:t>酸雾排放速率可按以下经验公式计算：</w:t>
            </w:r>
          </w:p>
          <w:p w14:paraId="20794375">
            <w:pPr>
              <w:spacing w:line="360" w:lineRule="auto"/>
              <w:ind w:firstLine="420" w:firstLineChars="200"/>
              <w:jc w:val="center"/>
              <w:rPr>
                <w:rFonts w:hint="eastAsia" w:ascii="宋体" w:hAnsi="宋体"/>
                <w:color w:val="auto"/>
                <w:kern w:val="0"/>
              </w:rPr>
            </w:pPr>
            <w:r>
              <w:rPr>
                <w:rFonts w:hint="default" w:ascii="Times New Roman" w:hAnsi="Times New Roman" w:cs="Times New Roman"/>
                <w:color w:val="auto"/>
                <w:kern w:val="0"/>
              </w:rPr>
              <w:t>Gz=M（0.000352+0.000786</w:t>
            </w:r>
            <w:r>
              <w:rPr>
                <w:rFonts w:hint="eastAsia" w:ascii="Times New Roman" w:hAnsi="Times New Roman" w:cs="Times New Roman"/>
                <w:color w:val="auto"/>
                <w:kern w:val="0"/>
                <w:lang w:val="en-US" w:eastAsia="zh-CN"/>
              </w:rPr>
              <w:t>U</w:t>
            </w:r>
            <w:r>
              <w:rPr>
                <w:rFonts w:hint="default" w:ascii="Times New Roman" w:hAnsi="Times New Roman" w:cs="Times New Roman"/>
                <w:color w:val="auto"/>
                <w:kern w:val="0"/>
              </w:rPr>
              <w:t>）×P×F</w:t>
            </w:r>
          </w:p>
          <w:p w14:paraId="47AEFC9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式中</w:t>
            </w:r>
            <w:r>
              <w:rPr>
                <w:rFonts w:hint="eastAsia" w:ascii="Times New Roman" w:hAnsi="Times New Roman" w:eastAsia="宋体" w:cs="Times New Roman"/>
                <w:color w:val="auto"/>
                <w:sz w:val="21"/>
                <w:szCs w:val="21"/>
                <w:highlight w:val="none"/>
                <w:lang w:eastAsia="zh-CN"/>
              </w:rPr>
              <w:t>：</w:t>
            </w:r>
          </w:p>
          <w:p w14:paraId="0020FB6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G</w:t>
            </w:r>
            <w:r>
              <w:rPr>
                <w:rFonts w:hint="eastAsia" w:ascii="Times New Roman" w:hAnsi="Times New Roman" w:eastAsia="宋体" w:cs="Times New Roman"/>
                <w:color w:val="auto"/>
                <w:sz w:val="21"/>
                <w:szCs w:val="21"/>
                <w:highlight w:val="none"/>
                <w:lang w:val="en-US" w:eastAsia="zh-CN"/>
              </w:rPr>
              <w:t>z</w:t>
            </w:r>
            <w:r>
              <w:rPr>
                <w:rFonts w:hint="default" w:ascii="Times New Roman" w:hAnsi="Times New Roman" w:eastAsia="宋体" w:cs="Times New Roman"/>
                <w:color w:val="auto"/>
                <w:sz w:val="21"/>
                <w:szCs w:val="21"/>
                <w:highlight w:val="none"/>
              </w:rPr>
              <w:t>--酸雾排放速率(kg</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lang w:eastAsia="zh-CN"/>
              </w:rPr>
              <w:t>；</w:t>
            </w:r>
          </w:p>
          <w:p w14:paraId="6F2D39E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M--液体分子量</w:t>
            </w:r>
            <w:r>
              <w:rPr>
                <w:rFonts w:hint="default" w:ascii="Times New Roman" w:hAnsi="Times New Roman" w:eastAsia="宋体" w:cs="Times New Roman"/>
                <w:color w:val="auto"/>
                <w:sz w:val="21"/>
                <w:szCs w:val="21"/>
                <w:highlight w:val="none"/>
                <w:lang w:eastAsia="zh-CN"/>
              </w:rPr>
              <w:t>；</w:t>
            </w:r>
          </w:p>
          <w:p w14:paraId="1BA1F53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U--蒸发液体表面上的空气流速(m/s)</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应以实测数据为准。无条件实测时，可取0.1~0.5m/s或查表计算，本项目U取值0.</w:t>
            </w: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m/s</w:t>
            </w:r>
            <w:r>
              <w:rPr>
                <w:rFonts w:hint="default" w:ascii="Times New Roman" w:hAnsi="Times New Roman" w:eastAsia="宋体" w:cs="Times New Roman"/>
                <w:color w:val="auto"/>
                <w:sz w:val="21"/>
                <w:szCs w:val="21"/>
                <w:highlight w:val="none"/>
                <w:lang w:eastAsia="zh-CN"/>
              </w:rPr>
              <w:t>；</w:t>
            </w:r>
          </w:p>
          <w:p w14:paraId="13B192CA">
            <w:pPr>
              <w:spacing w:line="360" w:lineRule="auto"/>
              <w:ind w:firstLine="420" w:firstLineChars="200"/>
              <w:jc w:val="left"/>
              <w:rPr>
                <w:rFonts w:hint="default" w:ascii="Times New Roman" w:hAnsi="Times New Roman" w:cs="Times New Roman"/>
                <w:color w:val="auto"/>
                <w:kern w:val="0"/>
                <w:highlight w:val="none"/>
                <w:lang w:val="en-US" w:eastAsia="zh-CN"/>
              </w:rPr>
            </w:pPr>
            <w:r>
              <w:rPr>
                <w:rFonts w:hint="default" w:ascii="Times New Roman" w:hAnsi="Times New Roman" w:eastAsia="宋体" w:cs="Times New Roman"/>
                <w:color w:val="auto"/>
                <w:sz w:val="21"/>
                <w:szCs w:val="21"/>
                <w:highlight w:val="none"/>
              </w:rPr>
              <w:t>P--相应于液体温度下空气中的饱和蒸汽分压力(mmHg)，</w:t>
            </w:r>
            <w:r>
              <w:rPr>
                <w:rFonts w:hint="default" w:ascii="Times New Roman" w:hAnsi="Times New Roman" w:cs="Times New Roman"/>
                <w:color w:val="auto"/>
                <w:kern w:val="0"/>
                <w:highlight w:val="none"/>
              </w:rPr>
              <w:t>温度以操作温度25℃计；清洗槽中盐酸</w:t>
            </w:r>
            <w:r>
              <w:rPr>
                <w:rFonts w:hint="eastAsia" w:ascii="Times New Roman" w:hAnsi="Times New Roman" w:cs="Times New Roman"/>
                <w:color w:val="auto"/>
                <w:kern w:val="0"/>
                <w:highlight w:val="none"/>
                <w:lang w:val="en-US" w:eastAsia="zh-CN"/>
              </w:rPr>
              <w:t>清洗液</w:t>
            </w:r>
            <w:r>
              <w:rPr>
                <w:rFonts w:hint="default" w:ascii="Times New Roman" w:hAnsi="Times New Roman" w:cs="Times New Roman"/>
                <w:color w:val="auto"/>
                <w:kern w:val="0"/>
                <w:highlight w:val="none"/>
              </w:rPr>
              <w:t>浓度为</w:t>
            </w:r>
            <w:r>
              <w:rPr>
                <w:rFonts w:hint="eastAsia" w:ascii="Times New Roman" w:hAnsi="Times New Roman" w:cs="Times New Roman"/>
                <w:color w:val="auto"/>
                <w:kern w:val="0"/>
                <w:highlight w:val="none"/>
                <w:lang w:val="en-US" w:eastAsia="zh-CN"/>
              </w:rPr>
              <w:t>18%-25</w:t>
            </w:r>
            <w:r>
              <w:rPr>
                <w:rFonts w:hint="default" w:ascii="Times New Roman" w:hAnsi="Times New Roman" w:cs="Times New Roman"/>
                <w:color w:val="auto"/>
                <w:kern w:val="0"/>
                <w:highlight w:val="none"/>
              </w:rPr>
              <w:t>%</w:t>
            </w:r>
            <w:r>
              <w:rPr>
                <w:rFonts w:hint="default" w:ascii="Times New Roman" w:hAnsi="Times New Roman" w:cs="Times New Roman"/>
                <w:color w:val="auto"/>
                <w:kern w:val="0"/>
                <w:highlight w:val="none"/>
                <w:lang w:eastAsia="zh-CN"/>
              </w:rPr>
              <w:t>，</w:t>
            </w:r>
            <w:r>
              <w:rPr>
                <w:rFonts w:hint="default" w:ascii="Times New Roman" w:hAnsi="Times New Roman" w:eastAsia="宋体" w:cs="Times New Roman"/>
                <w:color w:val="auto"/>
                <w:sz w:val="21"/>
                <w:szCs w:val="21"/>
                <w:highlight w:val="none"/>
              </w:rPr>
              <w:t>饱和蒸汽分压</w:t>
            </w:r>
            <w:r>
              <w:rPr>
                <w:rFonts w:hint="eastAsia" w:ascii="Times New Roman" w:hAnsi="Times New Roman" w:eastAsia="宋体" w:cs="Times New Roman"/>
                <w:color w:val="auto"/>
                <w:sz w:val="21"/>
                <w:szCs w:val="21"/>
                <w:highlight w:val="none"/>
                <w:lang w:val="en-US" w:eastAsia="zh-CN"/>
              </w:rPr>
              <w:t>按照</w:t>
            </w:r>
            <w:r>
              <w:rPr>
                <w:rFonts w:hint="default" w:ascii="Times New Roman" w:hAnsi="Times New Roman" w:cs="Times New Roman"/>
                <w:color w:val="auto"/>
                <w:kern w:val="0"/>
                <w:highlight w:val="none"/>
                <w:lang w:val="en-US" w:eastAsia="zh-CN"/>
              </w:rPr>
              <w:t>42.66Pa，</w:t>
            </w:r>
            <w:r>
              <w:rPr>
                <w:rFonts w:hint="default" w:ascii="Times New Roman" w:hAnsi="Times New Roman" w:cs="Times New Roman"/>
                <w:color w:val="auto"/>
                <w:kern w:val="0"/>
                <w:highlight w:val="none"/>
              </w:rPr>
              <w:t>硫酸</w:t>
            </w:r>
            <w:r>
              <w:rPr>
                <w:rFonts w:hint="eastAsia" w:ascii="Times New Roman" w:hAnsi="Times New Roman" w:cs="Times New Roman"/>
                <w:color w:val="auto"/>
                <w:kern w:val="0"/>
                <w:highlight w:val="none"/>
                <w:lang w:val="en-US" w:eastAsia="zh-CN"/>
              </w:rPr>
              <w:t>清洗液</w:t>
            </w:r>
            <w:r>
              <w:rPr>
                <w:rFonts w:hint="default" w:ascii="Times New Roman" w:hAnsi="Times New Roman" w:cs="Times New Roman"/>
                <w:color w:val="auto"/>
                <w:kern w:val="0"/>
                <w:highlight w:val="none"/>
              </w:rPr>
              <w:t>浓度</w:t>
            </w:r>
            <w:r>
              <w:rPr>
                <w:rFonts w:hint="eastAsia" w:ascii="Times New Roman" w:hAnsi="Times New Roman" w:cs="Times New Roman"/>
                <w:color w:val="auto"/>
                <w:kern w:val="0"/>
                <w:highlight w:val="none"/>
                <w:lang w:val="en-US" w:eastAsia="zh-CN"/>
              </w:rPr>
              <w:t>3%~18</w:t>
            </w:r>
            <w:r>
              <w:rPr>
                <w:rFonts w:hint="default" w:ascii="Times New Roman" w:hAnsi="Times New Roman" w:cs="Times New Roman"/>
                <w:color w:val="auto"/>
                <w:kern w:val="0"/>
                <w:highlight w:val="none"/>
              </w:rPr>
              <w:t>%</w:t>
            </w:r>
            <w:r>
              <w:rPr>
                <w:rFonts w:hint="default" w:ascii="Times New Roman" w:hAnsi="Times New Roman" w:cs="Times New Roman"/>
                <w:color w:val="auto"/>
                <w:kern w:val="0"/>
                <w:highlight w:val="none"/>
                <w:lang w:eastAsia="zh-CN"/>
              </w:rPr>
              <w:t>，</w:t>
            </w:r>
            <w:r>
              <w:rPr>
                <w:rFonts w:hint="default" w:ascii="Times New Roman" w:hAnsi="Times New Roman" w:eastAsia="宋体" w:cs="Times New Roman"/>
                <w:color w:val="auto"/>
                <w:sz w:val="21"/>
                <w:szCs w:val="21"/>
                <w:highlight w:val="none"/>
              </w:rPr>
              <w:t>饱和蒸汽分压</w:t>
            </w:r>
            <w:r>
              <w:rPr>
                <w:rFonts w:hint="eastAsia" w:ascii="Times New Roman" w:hAnsi="Times New Roman" w:eastAsia="宋体" w:cs="Times New Roman"/>
                <w:color w:val="auto"/>
                <w:sz w:val="21"/>
                <w:szCs w:val="21"/>
                <w:highlight w:val="none"/>
                <w:lang w:val="en-US" w:eastAsia="zh-CN"/>
              </w:rPr>
              <w:t>按照</w:t>
            </w:r>
            <w:r>
              <w:rPr>
                <w:rFonts w:hint="eastAsia" w:ascii="Times New Roman" w:hAnsi="Times New Roman" w:cs="Times New Roman"/>
                <w:color w:val="auto"/>
                <w:kern w:val="0"/>
                <w:highlight w:val="none"/>
                <w:lang w:val="en-US" w:eastAsia="zh-CN"/>
              </w:rPr>
              <w:t>16.53</w:t>
            </w:r>
            <w:r>
              <w:rPr>
                <w:rFonts w:hint="default" w:ascii="Times New Roman" w:hAnsi="Times New Roman" w:cs="Times New Roman"/>
                <w:color w:val="auto"/>
                <w:kern w:val="0"/>
                <w:highlight w:val="none"/>
                <w:lang w:val="en-US" w:eastAsia="zh-CN"/>
              </w:rPr>
              <w:t>Pa；</w:t>
            </w:r>
          </w:p>
          <w:p w14:paraId="7C3D74E9">
            <w:pPr>
              <w:spacing w:line="360" w:lineRule="auto"/>
              <w:ind w:firstLine="420" w:firstLineChars="200"/>
              <w:jc w:val="left"/>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F--蒸发面的面积(m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eastAsia="zh-CN"/>
              </w:rPr>
              <w:t>；</w:t>
            </w:r>
          </w:p>
          <w:p w14:paraId="13442772">
            <w:pPr>
              <w:spacing w:line="360" w:lineRule="auto"/>
              <w:ind w:firstLine="420" w:firstLineChars="200"/>
              <w:rPr>
                <w:rFonts w:hint="eastAsia" w:ascii="宋体" w:hAnsi="宋体"/>
                <w:color w:val="auto"/>
                <w:kern w:val="0"/>
              </w:rPr>
            </w:pPr>
            <w:r>
              <w:rPr>
                <w:rFonts w:hint="eastAsia" w:ascii="宋体" w:hAnsi="宋体"/>
                <w:color w:val="auto"/>
                <w:kern w:val="0"/>
              </w:rPr>
              <w:t>溶液静置状态下的挥发量计算结果见下表。</w:t>
            </w:r>
          </w:p>
          <w:p w14:paraId="3230B2F1">
            <w:pPr>
              <w:ind w:firstLine="420" w:firstLineChars="200"/>
              <w:jc w:val="center"/>
              <w:rPr>
                <w:rFonts w:hint="eastAsia" w:ascii="宋体" w:hAnsi="宋体"/>
                <w:color w:val="auto"/>
              </w:rPr>
            </w:pPr>
            <w:r>
              <w:rPr>
                <w:rFonts w:hint="default" w:ascii="Times New Roman" w:hAnsi="Times New Roman" w:eastAsia="黑体" w:cs="Times New Roman"/>
                <w:color w:val="auto"/>
              </w:rPr>
              <w:t>表</w:t>
            </w:r>
            <w:r>
              <w:rPr>
                <w:rFonts w:hint="default" w:ascii="Times New Roman" w:hAnsi="Times New Roman" w:eastAsia="黑体" w:cs="Times New Roman"/>
                <w:color w:val="auto"/>
                <w:lang w:val="en-US" w:eastAsia="zh-CN"/>
              </w:rPr>
              <w:t>4-5</w:t>
            </w:r>
            <w:r>
              <w:rPr>
                <w:rFonts w:hint="default" w:ascii="Times New Roman" w:hAnsi="Times New Roman" w:eastAsia="黑体" w:cs="Times New Roman"/>
                <w:color w:val="auto"/>
              </w:rPr>
              <w:t xml:space="preserve"> </w:t>
            </w:r>
            <w:r>
              <w:rPr>
                <w:rFonts w:hint="eastAsia" w:ascii="黑体" w:hAnsi="黑体" w:eastAsia="黑体"/>
                <w:color w:val="auto"/>
              </w:rPr>
              <w:t xml:space="preserve"> 液体挥发量计算表</w:t>
            </w:r>
          </w:p>
          <w:tbl>
            <w:tblPr>
              <w:tblStyle w:val="33"/>
              <w:tblW w:w="4998"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765"/>
              <w:gridCol w:w="2766"/>
              <w:gridCol w:w="2768"/>
            </w:tblGrid>
            <w:tr w14:paraId="47877B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noWrap w:val="0"/>
                  <w:vAlign w:val="center"/>
                </w:tcPr>
                <w:p w14:paraId="02991946">
                  <w:pPr>
                    <w:spacing w:line="360" w:lineRule="exact"/>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项目</w:t>
                  </w:r>
                </w:p>
              </w:tc>
              <w:tc>
                <w:tcPr>
                  <w:tcW w:w="1666" w:type="pct"/>
                  <w:tcBorders>
                    <w:tl2br w:val="nil"/>
                    <w:tr2bl w:val="nil"/>
                  </w:tcBorders>
                  <w:noWrap w:val="0"/>
                  <w:vAlign w:val="center"/>
                </w:tcPr>
                <w:p w14:paraId="73E82FFF">
                  <w:pPr>
                    <w:spacing w:line="360" w:lineRule="exact"/>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硫酸雾</w:t>
                  </w:r>
                </w:p>
              </w:tc>
              <w:tc>
                <w:tcPr>
                  <w:tcW w:w="1667" w:type="pct"/>
                  <w:tcBorders>
                    <w:tl2br w:val="nil"/>
                    <w:tr2bl w:val="nil"/>
                  </w:tcBorders>
                  <w:noWrap w:val="0"/>
                  <w:vAlign w:val="center"/>
                </w:tcPr>
                <w:p w14:paraId="1996B2DD">
                  <w:pPr>
                    <w:spacing w:line="360" w:lineRule="exact"/>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氯化氢</w:t>
                  </w:r>
                </w:p>
              </w:tc>
            </w:tr>
            <w:tr w14:paraId="589269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noWrap w:val="0"/>
                  <w:vAlign w:val="center"/>
                </w:tcPr>
                <w:p w14:paraId="4CB1BF97">
                  <w:pPr>
                    <w:spacing w:line="360" w:lineRule="exact"/>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分子量M</w:t>
                  </w:r>
                </w:p>
              </w:tc>
              <w:tc>
                <w:tcPr>
                  <w:tcW w:w="1666" w:type="pct"/>
                  <w:tcBorders>
                    <w:tl2br w:val="nil"/>
                    <w:tr2bl w:val="nil"/>
                  </w:tcBorders>
                  <w:noWrap w:val="0"/>
                  <w:vAlign w:val="center"/>
                </w:tcPr>
                <w:p w14:paraId="6C9AD6E3">
                  <w:pPr>
                    <w:spacing w:line="360" w:lineRule="exact"/>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w:t>
                  </w:r>
                </w:p>
              </w:tc>
              <w:tc>
                <w:tcPr>
                  <w:tcW w:w="1667" w:type="pct"/>
                  <w:tcBorders>
                    <w:tl2br w:val="nil"/>
                    <w:tr2bl w:val="nil"/>
                  </w:tcBorders>
                  <w:noWrap w:val="0"/>
                  <w:vAlign w:val="center"/>
                </w:tcPr>
                <w:p w14:paraId="664FCC61">
                  <w:pPr>
                    <w:spacing w:line="360" w:lineRule="exact"/>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36.5</w:t>
                  </w:r>
                </w:p>
              </w:tc>
            </w:tr>
            <w:tr w14:paraId="748BE4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noWrap w:val="0"/>
                  <w:vAlign w:val="center"/>
                </w:tcPr>
                <w:p w14:paraId="089EDEC3">
                  <w:pPr>
                    <w:spacing w:line="360" w:lineRule="exact"/>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空气流速V（m/s）</w:t>
                  </w:r>
                </w:p>
              </w:tc>
              <w:tc>
                <w:tcPr>
                  <w:tcW w:w="1666" w:type="pct"/>
                  <w:tcBorders>
                    <w:tl2br w:val="nil"/>
                    <w:tr2bl w:val="nil"/>
                  </w:tcBorders>
                  <w:noWrap w:val="0"/>
                  <w:vAlign w:val="center"/>
                </w:tcPr>
                <w:p w14:paraId="0561168F">
                  <w:pPr>
                    <w:spacing w:line="360" w:lineRule="exact"/>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0.3</w:t>
                  </w:r>
                </w:p>
              </w:tc>
              <w:tc>
                <w:tcPr>
                  <w:tcW w:w="1667" w:type="pct"/>
                  <w:tcBorders>
                    <w:tl2br w:val="nil"/>
                    <w:tr2bl w:val="nil"/>
                  </w:tcBorders>
                  <w:noWrap w:val="0"/>
                  <w:vAlign w:val="center"/>
                </w:tcPr>
                <w:p w14:paraId="18F61CC0">
                  <w:pPr>
                    <w:spacing w:line="360" w:lineRule="exact"/>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0.3</w:t>
                  </w:r>
                </w:p>
              </w:tc>
            </w:tr>
            <w:tr w14:paraId="0136DC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noWrap w:val="0"/>
                  <w:vAlign w:val="center"/>
                </w:tcPr>
                <w:p w14:paraId="4BCF27FC">
                  <w:pPr>
                    <w:spacing w:line="360" w:lineRule="exact"/>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物料蒸汽分压P（mmHg）</w:t>
                  </w:r>
                </w:p>
              </w:tc>
              <w:tc>
                <w:tcPr>
                  <w:tcW w:w="1666" w:type="pct"/>
                  <w:tcBorders>
                    <w:tl2br w:val="nil"/>
                    <w:tr2bl w:val="nil"/>
                  </w:tcBorders>
                  <w:noWrap w:val="0"/>
                  <w:vAlign w:val="center"/>
                </w:tcPr>
                <w:p w14:paraId="309B0C3E">
                  <w:pPr>
                    <w:spacing w:line="360" w:lineRule="exact"/>
                    <w:jc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0.32</w:t>
                  </w:r>
                </w:p>
              </w:tc>
              <w:tc>
                <w:tcPr>
                  <w:tcW w:w="1667" w:type="pct"/>
                  <w:tcBorders>
                    <w:tl2br w:val="nil"/>
                    <w:tr2bl w:val="nil"/>
                  </w:tcBorders>
                  <w:noWrap w:val="0"/>
                  <w:vAlign w:val="center"/>
                </w:tcPr>
                <w:p w14:paraId="6F8FFAFB">
                  <w:pPr>
                    <w:spacing w:line="360" w:lineRule="exact"/>
                    <w:jc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0.12</w:t>
                  </w:r>
                </w:p>
              </w:tc>
            </w:tr>
            <w:tr w14:paraId="6FFB03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noWrap w:val="0"/>
                  <w:vAlign w:val="center"/>
                </w:tcPr>
                <w:p w14:paraId="20843F10">
                  <w:pPr>
                    <w:spacing w:line="360" w:lineRule="exact"/>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蒸发表面积F（m</w:t>
                  </w:r>
                  <w:r>
                    <w:rPr>
                      <w:rFonts w:hint="default" w:ascii="Times New Roman" w:hAnsi="Times New Roman" w:cs="Times New Roman"/>
                      <w:color w:val="auto"/>
                      <w:kern w:val="0"/>
                      <w:sz w:val="18"/>
                      <w:szCs w:val="18"/>
                      <w:vertAlign w:val="superscript"/>
                    </w:rPr>
                    <w:t>2</w:t>
                  </w:r>
                  <w:r>
                    <w:rPr>
                      <w:rFonts w:hint="default" w:ascii="Times New Roman" w:hAnsi="Times New Roman" w:cs="Times New Roman"/>
                      <w:color w:val="auto"/>
                      <w:kern w:val="0"/>
                      <w:sz w:val="18"/>
                      <w:szCs w:val="18"/>
                    </w:rPr>
                    <w:t>）</w:t>
                  </w:r>
                </w:p>
              </w:tc>
              <w:tc>
                <w:tcPr>
                  <w:tcW w:w="1666" w:type="pct"/>
                  <w:tcBorders>
                    <w:tl2br w:val="nil"/>
                    <w:tr2bl w:val="nil"/>
                  </w:tcBorders>
                  <w:noWrap w:val="0"/>
                  <w:vAlign w:val="center"/>
                </w:tcPr>
                <w:p w14:paraId="2E8ACA03">
                  <w:pPr>
                    <w:spacing w:line="360" w:lineRule="exact"/>
                    <w:jc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220</w:t>
                  </w:r>
                </w:p>
              </w:tc>
              <w:tc>
                <w:tcPr>
                  <w:tcW w:w="1667" w:type="pct"/>
                  <w:tcBorders>
                    <w:tl2br w:val="nil"/>
                    <w:tr2bl w:val="nil"/>
                  </w:tcBorders>
                  <w:noWrap w:val="0"/>
                  <w:vAlign w:val="center"/>
                </w:tcPr>
                <w:p w14:paraId="5265ED02">
                  <w:pPr>
                    <w:spacing w:line="360" w:lineRule="exact"/>
                    <w:jc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46.8</w:t>
                  </w:r>
                </w:p>
              </w:tc>
            </w:tr>
            <w:tr w14:paraId="1C903F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noWrap w:val="0"/>
                  <w:vAlign w:val="center"/>
                </w:tcPr>
                <w:p w14:paraId="0C7A94AF">
                  <w:pPr>
                    <w:spacing w:line="360" w:lineRule="exact"/>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挥发量Gz（kg/h）</w:t>
                  </w:r>
                </w:p>
              </w:tc>
              <w:tc>
                <w:tcPr>
                  <w:tcW w:w="2822" w:type="dxa"/>
                  <w:tcBorders>
                    <w:tl2br w:val="nil"/>
                    <w:tr2bl w:val="nil"/>
                  </w:tcBorders>
                  <w:noWrap w:val="0"/>
                  <w:vAlign w:val="center"/>
                </w:tcPr>
                <w:p w14:paraId="6D797C7E">
                  <w:pPr>
                    <w:keepNext w:val="0"/>
                    <w:keepLines w:val="0"/>
                    <w:widowControl/>
                    <w:suppressLineNumbers w:val="0"/>
                    <w:jc w:val="center"/>
                    <w:textAlignment w:val="center"/>
                    <w:rPr>
                      <w:rFonts w:hint="default" w:ascii="Times New Roman" w:hAnsi="Times New Roman" w:cs="Times New Roman"/>
                      <w:color w:val="auto"/>
                      <w:kern w:val="0"/>
                      <w:sz w:val="18"/>
                      <w:szCs w:val="18"/>
                    </w:rPr>
                  </w:pPr>
                  <w:r>
                    <w:rPr>
                      <w:rFonts w:hint="default" w:ascii="Times New Roman" w:hAnsi="Times New Roman" w:eastAsia="宋体" w:cs="Times New Roman"/>
                      <w:i w:val="0"/>
                      <w:iCs w:val="0"/>
                      <w:color w:val="auto"/>
                      <w:kern w:val="0"/>
                      <w:sz w:val="18"/>
                      <w:szCs w:val="18"/>
                      <w:u w:val="none"/>
                      <w:lang w:val="en-US" w:eastAsia="zh-CN" w:bidi="ar"/>
                    </w:rPr>
                    <w:t>4.06</w:t>
                  </w:r>
                </w:p>
              </w:tc>
              <w:tc>
                <w:tcPr>
                  <w:tcW w:w="2824" w:type="dxa"/>
                  <w:tcBorders>
                    <w:tl2br w:val="nil"/>
                    <w:tr2bl w:val="nil"/>
                  </w:tcBorders>
                  <w:noWrap w:val="0"/>
                  <w:vAlign w:val="center"/>
                </w:tcPr>
                <w:p w14:paraId="16CCBB18">
                  <w:pPr>
                    <w:keepNext w:val="0"/>
                    <w:keepLines w:val="0"/>
                    <w:widowControl/>
                    <w:suppressLineNumbers w:val="0"/>
                    <w:jc w:val="center"/>
                    <w:textAlignment w:val="center"/>
                    <w:rPr>
                      <w:rFonts w:hint="default" w:ascii="Times New Roman" w:hAnsi="Times New Roman" w:cs="Times New Roman"/>
                      <w:color w:val="auto"/>
                      <w:kern w:val="0"/>
                      <w:sz w:val="18"/>
                      <w:szCs w:val="18"/>
                    </w:rPr>
                  </w:pPr>
                  <w:r>
                    <w:rPr>
                      <w:rFonts w:hint="default" w:ascii="Times New Roman" w:hAnsi="Times New Roman" w:eastAsia="宋体" w:cs="Times New Roman"/>
                      <w:i w:val="0"/>
                      <w:iCs w:val="0"/>
                      <w:color w:val="auto"/>
                      <w:kern w:val="0"/>
                      <w:sz w:val="18"/>
                      <w:szCs w:val="18"/>
                      <w:u w:val="none"/>
                      <w:lang w:val="en-US" w:eastAsia="zh-CN" w:bidi="ar"/>
                    </w:rPr>
                    <w:t>0.12</w:t>
                  </w:r>
                </w:p>
              </w:tc>
            </w:tr>
            <w:tr w14:paraId="486FDB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noWrap w:val="0"/>
                  <w:vAlign w:val="center"/>
                </w:tcPr>
                <w:p w14:paraId="6A409317">
                  <w:pPr>
                    <w:spacing w:line="360" w:lineRule="exact"/>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挥发量（t/a）</w:t>
                  </w:r>
                </w:p>
              </w:tc>
              <w:tc>
                <w:tcPr>
                  <w:tcW w:w="2822" w:type="dxa"/>
                  <w:tcBorders>
                    <w:tl2br w:val="nil"/>
                    <w:tr2bl w:val="nil"/>
                  </w:tcBorders>
                  <w:noWrap w:val="0"/>
                  <w:vAlign w:val="center"/>
                </w:tcPr>
                <w:p w14:paraId="0EDED906">
                  <w:pPr>
                    <w:keepNext w:val="0"/>
                    <w:keepLines w:val="0"/>
                    <w:widowControl/>
                    <w:suppressLineNumbers w:val="0"/>
                    <w:jc w:val="center"/>
                    <w:textAlignment w:val="center"/>
                    <w:rPr>
                      <w:rFonts w:hint="default" w:ascii="Times New Roman" w:hAnsi="Times New Roman" w:cs="Times New Roman"/>
                      <w:color w:val="auto"/>
                      <w:kern w:val="0"/>
                      <w:sz w:val="18"/>
                      <w:szCs w:val="18"/>
                    </w:rPr>
                  </w:pPr>
                  <w:r>
                    <w:rPr>
                      <w:rFonts w:hint="default" w:ascii="Times New Roman" w:hAnsi="Times New Roman" w:eastAsia="宋体" w:cs="Times New Roman"/>
                      <w:i w:val="0"/>
                      <w:iCs w:val="0"/>
                      <w:color w:val="auto"/>
                      <w:kern w:val="0"/>
                      <w:sz w:val="18"/>
                      <w:szCs w:val="18"/>
                      <w:u w:val="none"/>
                      <w:lang w:val="en-US" w:eastAsia="zh-CN" w:bidi="ar"/>
                    </w:rPr>
                    <w:t>28.39</w:t>
                  </w:r>
                </w:p>
              </w:tc>
              <w:tc>
                <w:tcPr>
                  <w:tcW w:w="2824" w:type="dxa"/>
                  <w:tcBorders>
                    <w:tl2br w:val="nil"/>
                    <w:tr2bl w:val="nil"/>
                  </w:tcBorders>
                  <w:noWrap w:val="0"/>
                  <w:vAlign w:val="center"/>
                </w:tcPr>
                <w:p w14:paraId="17803B5D">
                  <w:pPr>
                    <w:keepNext w:val="0"/>
                    <w:keepLines w:val="0"/>
                    <w:widowControl/>
                    <w:suppressLineNumbers w:val="0"/>
                    <w:jc w:val="center"/>
                    <w:textAlignment w:val="center"/>
                    <w:rPr>
                      <w:rFonts w:hint="default" w:ascii="Times New Roman" w:hAnsi="Times New Roman" w:cs="Times New Roman"/>
                      <w:color w:val="auto"/>
                      <w:kern w:val="0"/>
                      <w:sz w:val="18"/>
                      <w:szCs w:val="18"/>
                    </w:rPr>
                  </w:pPr>
                  <w:r>
                    <w:rPr>
                      <w:rFonts w:hint="default" w:ascii="Times New Roman" w:hAnsi="Times New Roman" w:eastAsia="宋体" w:cs="Times New Roman"/>
                      <w:i w:val="0"/>
                      <w:iCs w:val="0"/>
                      <w:color w:val="auto"/>
                      <w:kern w:val="0"/>
                      <w:sz w:val="18"/>
                      <w:szCs w:val="18"/>
                      <w:u w:val="none"/>
                      <w:lang w:val="en-US" w:eastAsia="zh-CN" w:bidi="ar"/>
                    </w:rPr>
                    <w:t>0.84</w:t>
                  </w:r>
                </w:p>
              </w:tc>
            </w:tr>
          </w:tbl>
          <w:p w14:paraId="62E9460C">
            <w:pPr>
              <w:spacing w:line="360" w:lineRule="auto"/>
              <w:ind w:firstLine="420" w:firstLineChars="200"/>
              <w:rPr>
                <w:rFonts w:hint="eastAsia" w:ascii="Times New Roman" w:hAnsi="Times New Roman" w:cs="Times New Roman"/>
                <w:bCs/>
                <w:color w:val="auto"/>
                <w:sz w:val="21"/>
                <w:szCs w:val="21"/>
                <w:lang w:val="en-US" w:eastAsia="zh-CN"/>
              </w:rPr>
            </w:pPr>
            <w:r>
              <w:rPr>
                <w:rFonts w:hint="eastAsia" w:ascii="Times New Roman" w:hAnsi="Times New Roman" w:cs="Times New Roman"/>
                <w:color w:val="auto"/>
                <w:sz w:val="21"/>
                <w:szCs w:val="21"/>
                <w:lang w:val="en-US" w:eastAsia="zh-CN"/>
              </w:rPr>
              <w:t>根据工程经验，31%</w:t>
            </w:r>
            <w:r>
              <w:rPr>
                <w:rFonts w:hint="eastAsia" w:cs="Times New Roman"/>
                <w:color w:val="auto"/>
                <w:sz w:val="21"/>
                <w:szCs w:val="21"/>
                <w:lang w:val="en-US" w:eastAsia="zh-CN"/>
              </w:rPr>
              <w:t>盐酸储罐</w:t>
            </w:r>
            <w:r>
              <w:rPr>
                <w:rFonts w:hint="default" w:ascii="Times New Roman" w:hAnsi="Times New Roman" w:cs="Times New Roman"/>
                <w:color w:val="auto"/>
                <w:sz w:val="21"/>
                <w:szCs w:val="21"/>
              </w:rPr>
              <w:t>呼吸废气产生量按照使用量的</w:t>
            </w:r>
            <w:r>
              <w:rPr>
                <w:rFonts w:hint="eastAsia" w:ascii="Times New Roman" w:hAnsi="Times New Roman" w:cs="Times New Roman"/>
                <w:color w:val="auto"/>
                <w:sz w:val="21"/>
                <w:szCs w:val="21"/>
                <w:lang w:val="en-US" w:eastAsia="zh-CN"/>
              </w:rPr>
              <w:t>纯物质的</w:t>
            </w:r>
            <w:r>
              <w:rPr>
                <w:rFonts w:hint="default" w:ascii="Times New Roman" w:hAnsi="Times New Roman" w:cs="Times New Roman"/>
                <w:color w:val="auto"/>
                <w:sz w:val="21"/>
                <w:szCs w:val="21"/>
              </w:rPr>
              <w:t>1</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rPr>
              <w:t>进行计算，</w:t>
            </w:r>
            <w:r>
              <w:rPr>
                <w:rFonts w:hint="eastAsia" w:ascii="Times New Roman" w:hAnsi="Times New Roman" w:cs="Times New Roman"/>
                <w:color w:val="auto"/>
                <w:sz w:val="21"/>
                <w:szCs w:val="21"/>
                <w:lang w:val="en-US" w:eastAsia="zh-CN"/>
              </w:rPr>
              <w:t>本项目31%盐酸年用量3500t/a，</w:t>
            </w:r>
            <w:r>
              <w:rPr>
                <w:rFonts w:hint="default" w:ascii="Times New Roman" w:hAnsi="Times New Roman" w:cs="Times New Roman"/>
                <w:color w:val="auto"/>
                <w:sz w:val="21"/>
                <w:szCs w:val="21"/>
              </w:rPr>
              <w:t>则氯化氢</w:t>
            </w:r>
            <w:r>
              <w:rPr>
                <w:rFonts w:hint="eastAsia" w:ascii="Times New Roman" w:hAnsi="Times New Roman" w:cs="Times New Roman"/>
                <w:color w:val="auto"/>
                <w:sz w:val="21"/>
                <w:szCs w:val="21"/>
                <w:lang w:val="en-US" w:eastAsia="zh-CN"/>
              </w:rPr>
              <w:t>呼吸废气产生量为10.85t/a</w:t>
            </w:r>
            <w:r>
              <w:rPr>
                <w:rFonts w:hint="eastAsia" w:ascii="Times New Roman" w:hAnsi="Times New Roman" w:cs="Times New Roman"/>
                <w:bCs/>
                <w:color w:val="auto"/>
                <w:sz w:val="21"/>
                <w:szCs w:val="21"/>
                <w:lang w:val="en-US" w:eastAsia="zh-CN"/>
              </w:rPr>
              <w:t>。</w:t>
            </w:r>
          </w:p>
          <w:p w14:paraId="62E48CDF">
            <w:pPr>
              <w:spacing w:line="360" w:lineRule="auto"/>
              <w:ind w:firstLine="420" w:firstLineChars="200"/>
              <w:rPr>
                <w:rFonts w:hint="default"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98%硫酸</w:t>
            </w:r>
            <w:r>
              <w:rPr>
                <w:rFonts w:hint="eastAsia" w:cs="Times New Roman"/>
                <w:bCs/>
                <w:color w:val="auto"/>
                <w:sz w:val="21"/>
                <w:szCs w:val="21"/>
                <w:lang w:val="en-US" w:eastAsia="zh-CN"/>
              </w:rPr>
              <w:t>饱和蒸汽</w:t>
            </w:r>
            <w:r>
              <w:rPr>
                <w:rFonts w:hint="eastAsia" w:ascii="Times New Roman" w:hAnsi="Times New Roman" w:cs="Times New Roman"/>
                <w:bCs/>
                <w:color w:val="auto"/>
                <w:sz w:val="21"/>
                <w:szCs w:val="21"/>
                <w:lang w:val="en-US" w:eastAsia="zh-CN"/>
              </w:rPr>
              <w:t>压极低（20℃时约0.0013mmHg），酸雾产生量极少，本次保守按0.01kg/t硫酸经验值核算，本项目98%硫酸年用量280t，则硫酸雾产生量0.0028t/a。</w:t>
            </w:r>
          </w:p>
          <w:p w14:paraId="5F584465">
            <w:pPr>
              <w:adjustRightInd w:val="0"/>
              <w:snapToGrid w:val="0"/>
              <w:spacing w:line="360" w:lineRule="auto"/>
              <w:ind w:firstLine="404" w:firstLineChars="200"/>
              <w:rPr>
                <w:rFonts w:hint="eastAsia" w:ascii="Times New Roman" w:hAnsi="Times New Roman" w:eastAsia="宋体" w:cs="Times New Roman"/>
                <w:snapToGrid w:val="0"/>
                <w:color w:val="auto"/>
                <w:szCs w:val="21"/>
                <w:highlight w:val="none"/>
                <w:vertAlign w:val="baseline"/>
                <w:lang w:val="en-US" w:eastAsia="zh-CN"/>
              </w:rPr>
            </w:pPr>
            <w:r>
              <w:rPr>
                <w:rFonts w:hint="eastAsia"/>
                <w:color w:val="auto"/>
                <w:spacing w:val="-4"/>
                <w:szCs w:val="21"/>
                <w:highlight w:val="none"/>
                <w:lang w:val="en-US" w:eastAsia="zh-CN"/>
              </w:rPr>
              <w:t>根据设计，项目盐酸酸洗及酸洗后水洗工序废气、盐酸储罐呼吸废气收集后送至碱喷淋塔处理（处理效率95%）后经</w:t>
            </w:r>
            <w:r>
              <w:rPr>
                <w:rFonts w:hint="eastAsia" w:ascii="Times New Roman" w:hAnsi="Times New Roman" w:eastAsia="宋体" w:cs="Times New Roman"/>
                <w:snapToGrid w:val="0"/>
                <w:color w:val="auto"/>
                <w:szCs w:val="21"/>
                <w:highlight w:val="none"/>
                <w:vertAlign w:val="baseline"/>
                <w:lang w:val="en-US" w:eastAsia="zh-CN"/>
              </w:rPr>
              <w:t>24m高排气筒DA004排放。</w:t>
            </w:r>
            <w:r>
              <w:rPr>
                <w:rFonts w:hint="eastAsia"/>
                <w:color w:val="auto"/>
                <w:spacing w:val="-4"/>
                <w:szCs w:val="21"/>
                <w:highlight w:val="none"/>
                <w:lang w:val="en-US" w:eastAsia="zh-CN"/>
              </w:rPr>
              <w:t>硫酸酸洗及酸洗后水洗工序废气、硫酸储罐呼吸废气收集后送至碱喷淋塔处理（处理效率95%）后经</w:t>
            </w:r>
            <w:r>
              <w:rPr>
                <w:rFonts w:hint="eastAsia" w:ascii="Times New Roman" w:hAnsi="Times New Roman" w:eastAsia="宋体" w:cs="Times New Roman"/>
                <w:snapToGrid w:val="0"/>
                <w:color w:val="auto"/>
                <w:szCs w:val="21"/>
                <w:highlight w:val="none"/>
                <w:vertAlign w:val="baseline"/>
                <w:lang w:val="en-US" w:eastAsia="zh-CN"/>
              </w:rPr>
              <w:t>24m高排气筒DA009排放。</w:t>
            </w:r>
          </w:p>
          <w:p w14:paraId="53EACB53">
            <w:pPr>
              <w:adjustRightInd w:val="0"/>
              <w:snapToGrid w:val="0"/>
              <w:spacing w:line="360" w:lineRule="auto"/>
              <w:ind w:firstLine="420" w:firstLineChars="200"/>
              <w:rPr>
                <w:rFonts w:hint="eastAsia" w:ascii="Times New Roman" w:hAnsi="Times New Roman" w:eastAsia="宋体" w:cs="Times New Roman"/>
                <w:snapToGrid w:val="0"/>
                <w:color w:val="auto"/>
                <w:szCs w:val="21"/>
                <w:highlight w:val="none"/>
                <w:vertAlign w:val="baseline"/>
                <w:lang w:val="en-US" w:eastAsia="zh-CN"/>
              </w:rPr>
            </w:pPr>
            <w:r>
              <w:rPr>
                <w:rFonts w:hint="eastAsia" w:ascii="Times New Roman" w:hAnsi="Times New Roman" w:eastAsia="宋体" w:cs="Times New Roman"/>
                <w:snapToGrid w:val="0"/>
                <w:color w:val="auto"/>
                <w:szCs w:val="21"/>
                <w:highlight w:val="none"/>
                <w:vertAlign w:val="baseline"/>
                <w:lang w:val="en-US" w:eastAsia="zh-CN"/>
              </w:rPr>
              <w:t>酸性废气具体产生及排放情况</w:t>
            </w:r>
            <w:r>
              <w:rPr>
                <w:rFonts w:hint="eastAsia" w:cs="Times New Roman"/>
                <w:snapToGrid w:val="0"/>
                <w:color w:val="auto"/>
                <w:szCs w:val="21"/>
                <w:highlight w:val="none"/>
                <w:vertAlign w:val="baseline"/>
                <w:lang w:val="en-US" w:eastAsia="zh-CN"/>
              </w:rPr>
              <w:t>见</w:t>
            </w:r>
            <w:r>
              <w:rPr>
                <w:rFonts w:hint="eastAsia" w:ascii="Times New Roman" w:hAnsi="Times New Roman" w:eastAsia="宋体" w:cs="Times New Roman"/>
                <w:snapToGrid w:val="0"/>
                <w:color w:val="auto"/>
                <w:szCs w:val="21"/>
                <w:highlight w:val="none"/>
                <w:vertAlign w:val="baseline"/>
                <w:lang w:val="en-US" w:eastAsia="zh-CN"/>
              </w:rPr>
              <w:t>下表。</w:t>
            </w:r>
          </w:p>
          <w:p w14:paraId="4C0D165B">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snapToGrid w:val="0"/>
                <w:color w:val="auto"/>
                <w:szCs w:val="21"/>
                <w:highlight w:val="none"/>
                <w:vertAlign w:val="baseline"/>
                <w:lang w:val="en-US" w:eastAsia="zh-CN"/>
              </w:rPr>
            </w:pPr>
            <w:r>
              <w:rPr>
                <w:rFonts w:ascii="Times New Roman" w:hAnsi="Times New Roman" w:eastAsia="黑体"/>
                <w:bCs/>
                <w:color w:val="auto"/>
                <w:spacing w:val="2"/>
                <w:sz w:val="21"/>
                <w:szCs w:val="21"/>
                <w:highlight w:val="none"/>
              </w:rPr>
              <w:t>表4-</w:t>
            </w:r>
            <w:r>
              <w:rPr>
                <w:rFonts w:hint="eastAsia" w:eastAsia="黑体"/>
                <w:bCs/>
                <w:color w:val="auto"/>
                <w:spacing w:val="2"/>
                <w:sz w:val="21"/>
                <w:szCs w:val="21"/>
                <w:highlight w:val="none"/>
                <w:lang w:val="en-US" w:eastAsia="zh-CN"/>
              </w:rPr>
              <w:t xml:space="preserve">6  </w:t>
            </w:r>
            <w:r>
              <w:rPr>
                <w:rFonts w:ascii="Times New Roman" w:hAnsi="Times New Roman" w:eastAsia="黑体"/>
                <w:bCs/>
                <w:color w:val="auto"/>
                <w:spacing w:val="2"/>
                <w:sz w:val="21"/>
                <w:szCs w:val="21"/>
                <w:highlight w:val="none"/>
              </w:rPr>
              <w:t>项目</w:t>
            </w:r>
            <w:r>
              <w:rPr>
                <w:rFonts w:hint="eastAsia" w:ascii="Times New Roman" w:hAnsi="Times New Roman" w:eastAsia="黑体"/>
                <w:bCs/>
                <w:color w:val="auto"/>
                <w:spacing w:val="2"/>
                <w:sz w:val="21"/>
                <w:szCs w:val="21"/>
                <w:highlight w:val="none"/>
                <w:lang w:val="en-US" w:eastAsia="zh-CN"/>
              </w:rPr>
              <w:t>酸性</w:t>
            </w:r>
            <w:r>
              <w:rPr>
                <w:rFonts w:ascii="Times New Roman" w:hAnsi="Times New Roman" w:eastAsia="黑体"/>
                <w:bCs/>
                <w:color w:val="auto"/>
                <w:spacing w:val="2"/>
                <w:sz w:val="21"/>
                <w:szCs w:val="21"/>
                <w:highlight w:val="none"/>
              </w:rPr>
              <w:t>废气产排情况表</w:t>
            </w:r>
          </w:p>
          <w:tbl>
            <w:tblPr>
              <w:tblStyle w:val="33"/>
              <w:tblW w:w="495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581"/>
              <w:gridCol w:w="780"/>
              <w:gridCol w:w="718"/>
              <w:gridCol w:w="808"/>
              <w:gridCol w:w="915"/>
              <w:gridCol w:w="421"/>
              <w:gridCol w:w="627"/>
              <w:gridCol w:w="718"/>
              <w:gridCol w:w="703"/>
              <w:gridCol w:w="701"/>
              <w:gridCol w:w="400"/>
            </w:tblGrid>
            <w:tr w14:paraId="794856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17" w:type="pct"/>
                  <w:vMerge w:val="restart"/>
                  <w:noWrap w:val="0"/>
                  <w:vAlign w:val="center"/>
                </w:tcPr>
                <w:p w14:paraId="72D7E900">
                  <w:pPr>
                    <w:jc w:val="center"/>
                    <w:rPr>
                      <w:rFonts w:ascii="Times New Roman" w:hAnsi="Times New Roman"/>
                      <w:color w:val="auto"/>
                      <w:sz w:val="18"/>
                      <w:szCs w:val="18"/>
                      <w:highlight w:val="none"/>
                    </w:rPr>
                  </w:pPr>
                  <w:r>
                    <w:rPr>
                      <w:rFonts w:ascii="Times New Roman" w:hAnsi="Times New Roman"/>
                      <w:color w:val="auto"/>
                      <w:sz w:val="18"/>
                      <w:szCs w:val="18"/>
                      <w:highlight w:val="none"/>
                    </w:rPr>
                    <w:t>污染源</w:t>
                  </w:r>
                </w:p>
              </w:tc>
              <w:tc>
                <w:tcPr>
                  <w:tcW w:w="353" w:type="pct"/>
                  <w:vMerge w:val="restart"/>
                  <w:noWrap w:val="0"/>
                  <w:vAlign w:val="center"/>
                </w:tcPr>
                <w:p w14:paraId="08FC7189">
                  <w:pPr>
                    <w:jc w:val="center"/>
                    <w:rPr>
                      <w:rFonts w:ascii="Times New Roman" w:hAnsi="Times New Roman"/>
                      <w:color w:val="auto"/>
                      <w:sz w:val="18"/>
                      <w:szCs w:val="18"/>
                      <w:highlight w:val="none"/>
                    </w:rPr>
                  </w:pPr>
                  <w:r>
                    <w:rPr>
                      <w:rFonts w:ascii="Times New Roman" w:hAnsi="Times New Roman"/>
                      <w:color w:val="auto"/>
                      <w:sz w:val="18"/>
                      <w:szCs w:val="18"/>
                      <w:highlight w:val="none"/>
                    </w:rPr>
                    <w:t>污染物</w:t>
                  </w:r>
                </w:p>
              </w:tc>
              <w:tc>
                <w:tcPr>
                  <w:tcW w:w="474" w:type="pct"/>
                  <w:vMerge w:val="restart"/>
                  <w:noWrap w:val="0"/>
                  <w:vAlign w:val="center"/>
                </w:tcPr>
                <w:p w14:paraId="231AAD84">
                  <w:pPr>
                    <w:jc w:val="center"/>
                    <w:rPr>
                      <w:rFonts w:ascii="Times New Roman" w:hAnsi="Times New Roman"/>
                      <w:color w:val="auto"/>
                      <w:sz w:val="18"/>
                      <w:szCs w:val="18"/>
                      <w:highlight w:val="none"/>
                    </w:rPr>
                  </w:pPr>
                  <w:r>
                    <w:rPr>
                      <w:rFonts w:ascii="Times New Roman" w:hAnsi="Times New Roman"/>
                      <w:color w:val="auto"/>
                      <w:sz w:val="18"/>
                      <w:szCs w:val="18"/>
                      <w:highlight w:val="none"/>
                    </w:rPr>
                    <w:t>废气量m</w:t>
                  </w:r>
                  <w:r>
                    <w:rPr>
                      <w:rFonts w:ascii="Times New Roman" w:hAnsi="Times New Roman"/>
                      <w:color w:val="auto"/>
                      <w:sz w:val="18"/>
                      <w:szCs w:val="18"/>
                      <w:highlight w:val="none"/>
                      <w:vertAlign w:val="superscript"/>
                    </w:rPr>
                    <w:t>3</w:t>
                  </w:r>
                  <w:r>
                    <w:rPr>
                      <w:rFonts w:ascii="Times New Roman" w:hAnsi="Times New Roman"/>
                      <w:color w:val="auto"/>
                      <w:sz w:val="18"/>
                      <w:szCs w:val="18"/>
                      <w:highlight w:val="none"/>
                    </w:rPr>
                    <w:t>/h</w:t>
                  </w:r>
                </w:p>
              </w:tc>
              <w:tc>
                <w:tcPr>
                  <w:tcW w:w="927" w:type="pct"/>
                  <w:gridSpan w:val="2"/>
                  <w:noWrap w:val="0"/>
                  <w:vAlign w:val="center"/>
                </w:tcPr>
                <w:p w14:paraId="2E3EBABF">
                  <w:pPr>
                    <w:jc w:val="center"/>
                    <w:rPr>
                      <w:rFonts w:ascii="Times New Roman" w:hAnsi="Times New Roman"/>
                      <w:color w:val="auto"/>
                      <w:sz w:val="18"/>
                      <w:szCs w:val="18"/>
                      <w:highlight w:val="none"/>
                    </w:rPr>
                  </w:pPr>
                  <w:r>
                    <w:rPr>
                      <w:rFonts w:ascii="Times New Roman" w:hAnsi="Times New Roman"/>
                      <w:color w:val="auto"/>
                      <w:sz w:val="18"/>
                      <w:szCs w:val="18"/>
                      <w:highlight w:val="none"/>
                    </w:rPr>
                    <w:t>产生情况</w:t>
                  </w:r>
                </w:p>
              </w:tc>
              <w:tc>
                <w:tcPr>
                  <w:tcW w:w="556" w:type="pct"/>
                  <w:vMerge w:val="restart"/>
                  <w:noWrap w:val="0"/>
                  <w:vAlign w:val="center"/>
                </w:tcPr>
                <w:p w14:paraId="148F5B16">
                  <w:pPr>
                    <w:jc w:val="center"/>
                    <w:rPr>
                      <w:rFonts w:ascii="Times New Roman" w:hAnsi="Times New Roman"/>
                      <w:color w:val="auto"/>
                      <w:sz w:val="18"/>
                      <w:szCs w:val="18"/>
                      <w:highlight w:val="none"/>
                    </w:rPr>
                  </w:pPr>
                  <w:r>
                    <w:rPr>
                      <w:rFonts w:ascii="Times New Roman" w:hAnsi="Times New Roman"/>
                      <w:color w:val="auto"/>
                      <w:sz w:val="18"/>
                      <w:szCs w:val="18"/>
                      <w:highlight w:val="none"/>
                    </w:rPr>
                    <w:t>处理措施</w:t>
                  </w:r>
                </w:p>
              </w:tc>
              <w:tc>
                <w:tcPr>
                  <w:tcW w:w="256" w:type="pct"/>
                  <w:vMerge w:val="restart"/>
                  <w:noWrap w:val="0"/>
                  <w:vAlign w:val="center"/>
                </w:tcPr>
                <w:p w14:paraId="35A54048">
                  <w:pPr>
                    <w:jc w:val="center"/>
                    <w:rPr>
                      <w:rFonts w:ascii="Times New Roman" w:hAnsi="Times New Roman"/>
                      <w:color w:val="auto"/>
                      <w:sz w:val="18"/>
                      <w:szCs w:val="18"/>
                      <w:highlight w:val="none"/>
                    </w:rPr>
                  </w:pPr>
                  <w:r>
                    <w:rPr>
                      <w:rFonts w:ascii="Times New Roman" w:hAnsi="Times New Roman"/>
                      <w:color w:val="auto"/>
                      <w:sz w:val="18"/>
                      <w:szCs w:val="18"/>
                      <w:highlight w:val="none"/>
                    </w:rPr>
                    <w:t>去除效率</w:t>
                  </w:r>
                </w:p>
                <w:p w14:paraId="2F6DF19C">
                  <w:pPr>
                    <w:jc w:val="center"/>
                    <w:rPr>
                      <w:rFonts w:ascii="Times New Roman" w:hAnsi="Times New Roman"/>
                      <w:color w:val="auto"/>
                      <w:sz w:val="18"/>
                      <w:szCs w:val="18"/>
                      <w:highlight w:val="none"/>
                    </w:rPr>
                  </w:pPr>
                  <w:r>
                    <w:rPr>
                      <w:rFonts w:ascii="Times New Roman" w:hAnsi="Times New Roman"/>
                      <w:color w:val="auto"/>
                      <w:sz w:val="18"/>
                      <w:szCs w:val="18"/>
                      <w:highlight w:val="none"/>
                    </w:rPr>
                    <w:t>%</w:t>
                  </w:r>
                </w:p>
              </w:tc>
              <w:tc>
                <w:tcPr>
                  <w:tcW w:w="1244" w:type="pct"/>
                  <w:gridSpan w:val="3"/>
                  <w:noWrap w:val="0"/>
                  <w:vAlign w:val="center"/>
                </w:tcPr>
                <w:p w14:paraId="0A71D82F">
                  <w:pPr>
                    <w:jc w:val="center"/>
                    <w:rPr>
                      <w:rFonts w:ascii="Times New Roman" w:hAnsi="Times New Roman"/>
                      <w:color w:val="auto"/>
                      <w:sz w:val="18"/>
                      <w:szCs w:val="18"/>
                      <w:highlight w:val="none"/>
                    </w:rPr>
                  </w:pPr>
                  <w:r>
                    <w:rPr>
                      <w:rFonts w:ascii="Times New Roman" w:hAnsi="Times New Roman"/>
                      <w:color w:val="auto"/>
                      <w:sz w:val="18"/>
                      <w:szCs w:val="18"/>
                      <w:highlight w:val="none"/>
                    </w:rPr>
                    <w:t>排放情况</w:t>
                  </w:r>
                </w:p>
              </w:tc>
              <w:tc>
                <w:tcPr>
                  <w:tcW w:w="426" w:type="pct"/>
                  <w:noWrap w:val="0"/>
                  <w:vAlign w:val="center"/>
                </w:tcPr>
                <w:p w14:paraId="23DB3D08">
                  <w:pPr>
                    <w:jc w:val="center"/>
                    <w:rPr>
                      <w:rFonts w:hint="eastAsia"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排放标准</w:t>
                  </w:r>
                </w:p>
              </w:tc>
              <w:tc>
                <w:tcPr>
                  <w:tcW w:w="243" w:type="pct"/>
                  <w:vMerge w:val="restart"/>
                  <w:noWrap w:val="0"/>
                  <w:vAlign w:val="center"/>
                </w:tcPr>
                <w:p w14:paraId="02451B99">
                  <w:pPr>
                    <w:jc w:val="center"/>
                    <w:rPr>
                      <w:rFonts w:ascii="Times New Roman" w:hAnsi="Times New Roman"/>
                      <w:color w:val="auto"/>
                      <w:sz w:val="18"/>
                      <w:szCs w:val="18"/>
                      <w:highlight w:val="none"/>
                    </w:rPr>
                  </w:pPr>
                  <w:r>
                    <w:rPr>
                      <w:rFonts w:ascii="Times New Roman" w:hAnsi="Times New Roman"/>
                      <w:color w:val="auto"/>
                      <w:sz w:val="18"/>
                      <w:szCs w:val="18"/>
                      <w:highlight w:val="none"/>
                    </w:rPr>
                    <w:t>达标情况</w:t>
                  </w:r>
                </w:p>
              </w:tc>
            </w:tr>
            <w:tr w14:paraId="2799AE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17" w:type="pct"/>
                  <w:vMerge w:val="continue"/>
                  <w:noWrap w:val="0"/>
                  <w:vAlign w:val="center"/>
                </w:tcPr>
                <w:p w14:paraId="5DAAE962">
                  <w:pPr>
                    <w:widowControl/>
                    <w:jc w:val="center"/>
                    <w:rPr>
                      <w:rFonts w:ascii="Times New Roman" w:hAnsi="Times New Roman"/>
                      <w:color w:val="auto"/>
                      <w:sz w:val="18"/>
                      <w:szCs w:val="18"/>
                      <w:highlight w:val="none"/>
                    </w:rPr>
                  </w:pPr>
                </w:p>
              </w:tc>
              <w:tc>
                <w:tcPr>
                  <w:tcW w:w="353" w:type="pct"/>
                  <w:vMerge w:val="continue"/>
                  <w:noWrap w:val="0"/>
                  <w:vAlign w:val="center"/>
                </w:tcPr>
                <w:p w14:paraId="5D69EACD">
                  <w:pPr>
                    <w:widowControl/>
                    <w:jc w:val="center"/>
                    <w:rPr>
                      <w:rFonts w:ascii="Times New Roman" w:hAnsi="Times New Roman"/>
                      <w:color w:val="auto"/>
                      <w:sz w:val="18"/>
                      <w:szCs w:val="18"/>
                      <w:highlight w:val="none"/>
                    </w:rPr>
                  </w:pPr>
                </w:p>
              </w:tc>
              <w:tc>
                <w:tcPr>
                  <w:tcW w:w="474" w:type="pct"/>
                  <w:vMerge w:val="continue"/>
                  <w:noWrap w:val="0"/>
                  <w:vAlign w:val="center"/>
                </w:tcPr>
                <w:p w14:paraId="7BEF0030">
                  <w:pPr>
                    <w:widowControl/>
                    <w:jc w:val="center"/>
                    <w:rPr>
                      <w:rFonts w:ascii="Times New Roman" w:hAnsi="Times New Roman"/>
                      <w:color w:val="auto"/>
                      <w:sz w:val="18"/>
                      <w:szCs w:val="18"/>
                      <w:highlight w:val="none"/>
                    </w:rPr>
                  </w:pPr>
                </w:p>
              </w:tc>
              <w:tc>
                <w:tcPr>
                  <w:tcW w:w="436" w:type="pct"/>
                  <w:noWrap w:val="0"/>
                  <w:vAlign w:val="center"/>
                </w:tcPr>
                <w:p w14:paraId="34C317E3">
                  <w:pPr>
                    <w:jc w:val="center"/>
                    <w:rPr>
                      <w:rFonts w:ascii="Times New Roman" w:hAnsi="Times New Roman"/>
                      <w:color w:val="auto"/>
                      <w:sz w:val="18"/>
                      <w:szCs w:val="18"/>
                      <w:highlight w:val="none"/>
                    </w:rPr>
                  </w:pPr>
                  <w:r>
                    <w:rPr>
                      <w:rFonts w:ascii="Times New Roman" w:hAnsi="Times New Roman"/>
                      <w:color w:val="auto"/>
                      <w:sz w:val="18"/>
                      <w:szCs w:val="18"/>
                      <w:highlight w:val="none"/>
                    </w:rPr>
                    <w:t>产生量t/a</w:t>
                  </w:r>
                </w:p>
              </w:tc>
              <w:tc>
                <w:tcPr>
                  <w:tcW w:w="491" w:type="pct"/>
                  <w:noWrap w:val="0"/>
                  <w:vAlign w:val="center"/>
                </w:tcPr>
                <w:p w14:paraId="04BF506A">
                  <w:pPr>
                    <w:jc w:val="center"/>
                    <w:rPr>
                      <w:rFonts w:hint="eastAsia" w:ascii="Times New Roman" w:hAnsi="Times New Roman"/>
                      <w:color w:val="auto"/>
                      <w:sz w:val="18"/>
                      <w:szCs w:val="18"/>
                      <w:highlight w:val="none"/>
                    </w:rPr>
                  </w:pPr>
                  <w:r>
                    <w:rPr>
                      <w:rFonts w:hint="eastAsia" w:ascii="Times New Roman" w:hAnsi="Times New Roman"/>
                      <w:color w:val="auto"/>
                      <w:sz w:val="18"/>
                      <w:szCs w:val="18"/>
                      <w:highlight w:val="none"/>
                    </w:rPr>
                    <w:t>产生速率</w:t>
                  </w:r>
                </w:p>
                <w:p w14:paraId="07CCAFB8">
                  <w:pPr>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kg/h</w:t>
                  </w:r>
                </w:p>
              </w:tc>
              <w:tc>
                <w:tcPr>
                  <w:tcW w:w="556" w:type="pct"/>
                  <w:vMerge w:val="continue"/>
                  <w:noWrap w:val="0"/>
                  <w:vAlign w:val="center"/>
                </w:tcPr>
                <w:p w14:paraId="4E5EF7FE">
                  <w:pPr>
                    <w:widowControl/>
                    <w:jc w:val="center"/>
                    <w:rPr>
                      <w:rFonts w:ascii="Times New Roman" w:hAnsi="Times New Roman"/>
                      <w:color w:val="auto"/>
                      <w:sz w:val="18"/>
                      <w:szCs w:val="18"/>
                      <w:highlight w:val="none"/>
                    </w:rPr>
                  </w:pPr>
                </w:p>
              </w:tc>
              <w:tc>
                <w:tcPr>
                  <w:tcW w:w="256" w:type="pct"/>
                  <w:vMerge w:val="continue"/>
                  <w:noWrap w:val="0"/>
                  <w:vAlign w:val="center"/>
                </w:tcPr>
                <w:p w14:paraId="4E3A273C">
                  <w:pPr>
                    <w:widowControl/>
                    <w:jc w:val="center"/>
                    <w:rPr>
                      <w:rFonts w:ascii="Times New Roman" w:hAnsi="Times New Roman"/>
                      <w:color w:val="auto"/>
                      <w:sz w:val="18"/>
                      <w:szCs w:val="18"/>
                      <w:highlight w:val="none"/>
                    </w:rPr>
                  </w:pPr>
                </w:p>
              </w:tc>
              <w:tc>
                <w:tcPr>
                  <w:tcW w:w="381" w:type="pct"/>
                  <w:noWrap w:val="0"/>
                  <w:vAlign w:val="center"/>
                </w:tcPr>
                <w:p w14:paraId="794C87F4">
                  <w:pPr>
                    <w:jc w:val="center"/>
                    <w:rPr>
                      <w:rFonts w:ascii="Times New Roman" w:hAnsi="Times New Roman"/>
                      <w:color w:val="auto"/>
                      <w:sz w:val="18"/>
                      <w:szCs w:val="18"/>
                      <w:highlight w:val="none"/>
                    </w:rPr>
                  </w:pPr>
                  <w:r>
                    <w:rPr>
                      <w:rFonts w:ascii="Times New Roman" w:hAnsi="Times New Roman"/>
                      <w:color w:val="auto"/>
                      <w:sz w:val="18"/>
                      <w:szCs w:val="18"/>
                      <w:highlight w:val="none"/>
                    </w:rPr>
                    <w:t>排放量</w:t>
                  </w:r>
                </w:p>
                <w:p w14:paraId="6994E0C3">
                  <w:pPr>
                    <w:jc w:val="center"/>
                    <w:rPr>
                      <w:rFonts w:ascii="Times New Roman" w:hAnsi="Times New Roman"/>
                      <w:color w:val="auto"/>
                      <w:sz w:val="18"/>
                      <w:szCs w:val="18"/>
                      <w:highlight w:val="none"/>
                    </w:rPr>
                  </w:pPr>
                  <w:r>
                    <w:rPr>
                      <w:rFonts w:ascii="Times New Roman" w:hAnsi="Times New Roman"/>
                      <w:color w:val="auto"/>
                      <w:sz w:val="18"/>
                      <w:szCs w:val="18"/>
                      <w:highlight w:val="none"/>
                    </w:rPr>
                    <w:t>t/a</w:t>
                  </w:r>
                </w:p>
              </w:tc>
              <w:tc>
                <w:tcPr>
                  <w:tcW w:w="436" w:type="pct"/>
                  <w:noWrap w:val="0"/>
                  <w:vAlign w:val="center"/>
                </w:tcPr>
                <w:p w14:paraId="5C25EC37">
                  <w:pPr>
                    <w:jc w:val="center"/>
                    <w:rPr>
                      <w:rFonts w:ascii="Times New Roman" w:hAnsi="Times New Roman"/>
                      <w:color w:val="auto"/>
                      <w:sz w:val="18"/>
                      <w:szCs w:val="18"/>
                      <w:highlight w:val="none"/>
                    </w:rPr>
                  </w:pPr>
                  <w:r>
                    <w:rPr>
                      <w:rFonts w:ascii="Times New Roman" w:hAnsi="Times New Roman"/>
                      <w:color w:val="auto"/>
                      <w:sz w:val="18"/>
                      <w:szCs w:val="18"/>
                      <w:highlight w:val="none"/>
                    </w:rPr>
                    <w:t>排放速率kg/h</w:t>
                  </w:r>
                </w:p>
              </w:tc>
              <w:tc>
                <w:tcPr>
                  <w:tcW w:w="427" w:type="pct"/>
                  <w:noWrap w:val="0"/>
                  <w:vAlign w:val="center"/>
                </w:tcPr>
                <w:p w14:paraId="0894E52E">
                  <w:pPr>
                    <w:jc w:val="center"/>
                    <w:rPr>
                      <w:rFonts w:ascii="Times New Roman" w:hAnsi="Times New Roman"/>
                      <w:color w:val="auto"/>
                      <w:sz w:val="18"/>
                      <w:szCs w:val="18"/>
                      <w:highlight w:val="none"/>
                    </w:rPr>
                  </w:pPr>
                  <w:r>
                    <w:rPr>
                      <w:rFonts w:ascii="Times New Roman" w:hAnsi="Times New Roman"/>
                      <w:color w:val="auto"/>
                      <w:sz w:val="18"/>
                      <w:szCs w:val="18"/>
                      <w:highlight w:val="none"/>
                    </w:rPr>
                    <w:t>浓度</w:t>
                  </w:r>
                </w:p>
                <w:p w14:paraId="5342E56C">
                  <w:pPr>
                    <w:jc w:val="center"/>
                    <w:rPr>
                      <w:rFonts w:ascii="Times New Roman" w:hAnsi="Times New Roman"/>
                      <w:color w:val="auto"/>
                      <w:sz w:val="18"/>
                      <w:szCs w:val="18"/>
                      <w:highlight w:val="none"/>
                    </w:rPr>
                  </w:pPr>
                  <w:r>
                    <w:rPr>
                      <w:rFonts w:ascii="Times New Roman" w:hAnsi="Times New Roman"/>
                      <w:color w:val="auto"/>
                      <w:sz w:val="18"/>
                      <w:szCs w:val="18"/>
                      <w:highlight w:val="none"/>
                    </w:rPr>
                    <w:t>mg/m</w:t>
                  </w:r>
                  <w:r>
                    <w:rPr>
                      <w:rFonts w:ascii="Times New Roman" w:hAnsi="Times New Roman"/>
                      <w:color w:val="auto"/>
                      <w:sz w:val="18"/>
                      <w:szCs w:val="18"/>
                      <w:highlight w:val="none"/>
                      <w:vertAlign w:val="superscript"/>
                    </w:rPr>
                    <w:t>3</w:t>
                  </w:r>
                </w:p>
              </w:tc>
              <w:tc>
                <w:tcPr>
                  <w:tcW w:w="426" w:type="pct"/>
                  <w:noWrap w:val="0"/>
                  <w:vAlign w:val="center"/>
                </w:tcPr>
                <w:p w14:paraId="4D794CDB">
                  <w:pPr>
                    <w:jc w:val="center"/>
                    <w:rPr>
                      <w:rFonts w:ascii="Times New Roman" w:hAnsi="Times New Roman"/>
                      <w:color w:val="auto"/>
                      <w:sz w:val="18"/>
                      <w:szCs w:val="18"/>
                      <w:highlight w:val="none"/>
                    </w:rPr>
                  </w:pPr>
                  <w:r>
                    <w:rPr>
                      <w:rFonts w:ascii="Times New Roman" w:hAnsi="Times New Roman"/>
                      <w:color w:val="auto"/>
                      <w:sz w:val="18"/>
                      <w:szCs w:val="18"/>
                      <w:highlight w:val="none"/>
                    </w:rPr>
                    <w:t>浓度</w:t>
                  </w:r>
                </w:p>
                <w:p w14:paraId="0D8A27D5">
                  <w:pPr>
                    <w:jc w:val="center"/>
                    <w:rPr>
                      <w:rFonts w:ascii="Times New Roman" w:hAnsi="Times New Roman"/>
                      <w:color w:val="auto"/>
                      <w:sz w:val="18"/>
                      <w:szCs w:val="18"/>
                      <w:highlight w:val="none"/>
                    </w:rPr>
                  </w:pPr>
                  <w:r>
                    <w:rPr>
                      <w:rFonts w:ascii="Times New Roman" w:hAnsi="Times New Roman"/>
                      <w:color w:val="auto"/>
                      <w:sz w:val="18"/>
                      <w:szCs w:val="18"/>
                      <w:highlight w:val="none"/>
                    </w:rPr>
                    <w:t>mg/m</w:t>
                  </w:r>
                  <w:r>
                    <w:rPr>
                      <w:rFonts w:ascii="Times New Roman" w:hAnsi="Times New Roman"/>
                      <w:color w:val="auto"/>
                      <w:sz w:val="18"/>
                      <w:szCs w:val="18"/>
                      <w:highlight w:val="none"/>
                      <w:vertAlign w:val="superscript"/>
                    </w:rPr>
                    <w:t>3</w:t>
                  </w:r>
                </w:p>
              </w:tc>
              <w:tc>
                <w:tcPr>
                  <w:tcW w:w="243" w:type="pct"/>
                  <w:vMerge w:val="continue"/>
                  <w:noWrap w:val="0"/>
                  <w:vAlign w:val="center"/>
                </w:tcPr>
                <w:p w14:paraId="665627CE">
                  <w:pPr>
                    <w:widowControl/>
                    <w:jc w:val="center"/>
                    <w:rPr>
                      <w:rFonts w:ascii="Times New Roman" w:hAnsi="Times New Roman"/>
                      <w:color w:val="auto"/>
                      <w:sz w:val="18"/>
                      <w:szCs w:val="18"/>
                      <w:highlight w:val="none"/>
                    </w:rPr>
                  </w:pPr>
                </w:p>
              </w:tc>
            </w:tr>
            <w:tr w14:paraId="6C25C6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17" w:type="pct"/>
                  <w:noWrap w:val="0"/>
                  <w:vAlign w:val="center"/>
                </w:tcPr>
                <w:p w14:paraId="4B9F3458">
                  <w:pPr>
                    <w:jc w:val="center"/>
                    <w:rPr>
                      <w:rFonts w:hint="default" w:ascii="Times New Roman" w:hAnsi="Times New Roman" w:eastAsia="宋体"/>
                      <w:color w:val="auto"/>
                      <w:sz w:val="18"/>
                      <w:szCs w:val="18"/>
                      <w:highlight w:val="none"/>
                      <w:lang w:val="en-US" w:eastAsia="zh-CN"/>
                    </w:rPr>
                  </w:pPr>
                  <w:r>
                    <w:rPr>
                      <w:rFonts w:hint="eastAsia" w:ascii="Times New Roman" w:hAnsi="Times New Roman" w:eastAsia="宋体"/>
                      <w:color w:val="auto"/>
                      <w:sz w:val="18"/>
                      <w:szCs w:val="18"/>
                      <w:highlight w:val="none"/>
                      <w:lang w:val="en-US" w:eastAsia="zh-CN"/>
                    </w:rPr>
                    <w:t>DA004</w:t>
                  </w:r>
                </w:p>
              </w:tc>
              <w:tc>
                <w:tcPr>
                  <w:tcW w:w="353" w:type="pct"/>
                  <w:noWrap w:val="0"/>
                  <w:vAlign w:val="center"/>
                </w:tcPr>
                <w:p w14:paraId="14AE6416">
                  <w:pPr>
                    <w:jc w:val="center"/>
                    <w:rPr>
                      <w:rFonts w:hint="default" w:ascii="Times New Roman" w:hAnsi="Times New Roman" w:eastAsia="宋体"/>
                      <w:color w:val="auto"/>
                      <w:sz w:val="18"/>
                      <w:szCs w:val="18"/>
                      <w:highlight w:val="none"/>
                      <w:lang w:val="en-US" w:eastAsia="zh-CN"/>
                    </w:rPr>
                  </w:pPr>
                  <w:r>
                    <w:rPr>
                      <w:rFonts w:hint="eastAsia" w:ascii="Times New Roman" w:hAnsi="Times New Roman"/>
                      <w:color w:val="auto"/>
                      <w:sz w:val="18"/>
                      <w:szCs w:val="18"/>
                      <w:highlight w:val="none"/>
                      <w:lang w:val="en-US" w:eastAsia="zh-CN"/>
                    </w:rPr>
                    <w:t>氯化氢</w:t>
                  </w:r>
                </w:p>
              </w:tc>
              <w:tc>
                <w:tcPr>
                  <w:tcW w:w="474" w:type="pct"/>
                  <w:noWrap w:val="0"/>
                  <w:vAlign w:val="center"/>
                </w:tcPr>
                <w:p w14:paraId="1AEE4C2A">
                  <w:pPr>
                    <w:jc w:val="center"/>
                    <w:rPr>
                      <w:rFonts w:hint="default" w:ascii="Times New Roman" w:hAnsi="Times New Roman" w:eastAsia="宋体"/>
                      <w:color w:val="auto"/>
                      <w:sz w:val="18"/>
                      <w:szCs w:val="18"/>
                      <w:highlight w:val="none"/>
                      <w:lang w:val="en-US" w:eastAsia="zh-CN"/>
                    </w:rPr>
                  </w:pPr>
                  <w:r>
                    <w:rPr>
                      <w:rFonts w:hint="eastAsia" w:ascii="Times New Roman" w:hAnsi="Times New Roman" w:eastAsia="宋体"/>
                      <w:color w:val="auto"/>
                      <w:sz w:val="18"/>
                      <w:szCs w:val="18"/>
                      <w:highlight w:val="none"/>
                      <w:lang w:val="en-US" w:eastAsia="zh-CN"/>
                    </w:rPr>
                    <w:t>30000</w:t>
                  </w:r>
                </w:p>
              </w:tc>
              <w:tc>
                <w:tcPr>
                  <w:tcW w:w="436" w:type="pct"/>
                  <w:noWrap w:val="0"/>
                  <w:vAlign w:val="center"/>
                </w:tcPr>
                <w:p w14:paraId="21DBCA7E">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39.24</w:t>
                  </w:r>
                </w:p>
              </w:tc>
              <w:tc>
                <w:tcPr>
                  <w:tcW w:w="491" w:type="pct"/>
                  <w:noWrap w:val="0"/>
                  <w:vAlign w:val="center"/>
                </w:tcPr>
                <w:p w14:paraId="1DA9C153">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5.61</w:t>
                  </w:r>
                </w:p>
              </w:tc>
              <w:tc>
                <w:tcPr>
                  <w:tcW w:w="556" w:type="pct"/>
                  <w:noWrap w:val="0"/>
                  <w:vAlign w:val="center"/>
                </w:tcPr>
                <w:p w14:paraId="461FEC29">
                  <w:pPr>
                    <w:jc w:val="center"/>
                    <w:rPr>
                      <w:rFonts w:hint="eastAsia" w:ascii="Times New Roman" w:hAnsi="Times New Roman" w:eastAsia="宋体"/>
                      <w:color w:val="auto"/>
                      <w:sz w:val="18"/>
                      <w:szCs w:val="18"/>
                      <w:highlight w:val="none"/>
                      <w:lang w:eastAsia="zh-CN"/>
                    </w:rPr>
                  </w:pPr>
                  <w:r>
                    <w:rPr>
                      <w:rFonts w:hint="eastAsia"/>
                      <w:color w:val="auto"/>
                      <w:sz w:val="18"/>
                      <w:szCs w:val="18"/>
                      <w:highlight w:val="none"/>
                      <w:lang w:val="en-US" w:eastAsia="zh-CN"/>
                    </w:rPr>
                    <w:t>集气罩（95%）+</w:t>
                  </w:r>
                  <w:r>
                    <w:rPr>
                      <w:rFonts w:hint="eastAsia" w:ascii="Times New Roman" w:hAnsi="Times New Roman"/>
                      <w:color w:val="auto"/>
                      <w:sz w:val="18"/>
                      <w:szCs w:val="18"/>
                      <w:highlight w:val="none"/>
                      <w:lang w:val="en-US" w:eastAsia="zh-CN"/>
                    </w:rPr>
                    <w:t>碱喷淋</w:t>
                  </w:r>
                </w:p>
              </w:tc>
              <w:tc>
                <w:tcPr>
                  <w:tcW w:w="256" w:type="pct"/>
                  <w:noWrap w:val="0"/>
                  <w:vAlign w:val="center"/>
                </w:tcPr>
                <w:p w14:paraId="696639DA">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95</w:t>
                  </w:r>
                </w:p>
              </w:tc>
              <w:tc>
                <w:tcPr>
                  <w:tcW w:w="381" w:type="pct"/>
                  <w:noWrap w:val="0"/>
                  <w:vAlign w:val="center"/>
                </w:tcPr>
                <w:p w14:paraId="3DE7A2D2">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 xml:space="preserve">1.86 </w:t>
                  </w:r>
                </w:p>
              </w:tc>
              <w:tc>
                <w:tcPr>
                  <w:tcW w:w="436" w:type="pct"/>
                  <w:noWrap w:val="0"/>
                  <w:vAlign w:val="center"/>
                </w:tcPr>
                <w:p w14:paraId="5281F8FA">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 xml:space="preserve">0.27 </w:t>
                  </w:r>
                </w:p>
              </w:tc>
              <w:tc>
                <w:tcPr>
                  <w:tcW w:w="427" w:type="pct"/>
                  <w:noWrap w:val="0"/>
                  <w:vAlign w:val="center"/>
                </w:tcPr>
                <w:p w14:paraId="3D19B921">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 xml:space="preserve">8.88 </w:t>
                  </w:r>
                </w:p>
              </w:tc>
              <w:tc>
                <w:tcPr>
                  <w:tcW w:w="426" w:type="pct"/>
                  <w:noWrap w:val="0"/>
                  <w:vAlign w:val="center"/>
                </w:tcPr>
                <w:p w14:paraId="2552C5DF">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15</w:t>
                  </w:r>
                </w:p>
              </w:tc>
              <w:tc>
                <w:tcPr>
                  <w:tcW w:w="243" w:type="pct"/>
                  <w:noWrap w:val="0"/>
                  <w:vAlign w:val="center"/>
                </w:tcPr>
                <w:p w14:paraId="43031BB1">
                  <w:pPr>
                    <w:jc w:val="center"/>
                    <w:rPr>
                      <w:rFonts w:ascii="Times New Roman" w:hAnsi="Times New Roman"/>
                      <w:color w:val="auto"/>
                      <w:sz w:val="18"/>
                      <w:szCs w:val="18"/>
                      <w:highlight w:val="none"/>
                    </w:rPr>
                  </w:pPr>
                  <w:r>
                    <w:rPr>
                      <w:rFonts w:ascii="Times New Roman" w:hAnsi="Times New Roman"/>
                      <w:color w:val="auto"/>
                      <w:sz w:val="18"/>
                      <w:szCs w:val="18"/>
                      <w:highlight w:val="none"/>
                    </w:rPr>
                    <w:t>达标</w:t>
                  </w:r>
                </w:p>
              </w:tc>
            </w:tr>
            <w:tr w14:paraId="328497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17" w:type="pct"/>
                  <w:noWrap w:val="0"/>
                  <w:vAlign w:val="center"/>
                </w:tcPr>
                <w:p w14:paraId="1920D2E9">
                  <w:pPr>
                    <w:jc w:val="center"/>
                    <w:rPr>
                      <w:rFonts w:hint="default" w:ascii="Times New Roman" w:hAnsi="Times New Roman" w:eastAsia="宋体"/>
                      <w:color w:val="auto"/>
                      <w:sz w:val="18"/>
                      <w:szCs w:val="18"/>
                      <w:highlight w:val="none"/>
                      <w:lang w:val="en-US" w:eastAsia="zh-CN"/>
                    </w:rPr>
                  </w:pPr>
                  <w:r>
                    <w:rPr>
                      <w:rFonts w:hint="eastAsia" w:ascii="Times New Roman" w:hAnsi="Times New Roman" w:eastAsia="宋体"/>
                      <w:color w:val="auto"/>
                      <w:sz w:val="18"/>
                      <w:szCs w:val="18"/>
                      <w:highlight w:val="none"/>
                      <w:lang w:val="en-US" w:eastAsia="zh-CN"/>
                    </w:rPr>
                    <w:t>DA009</w:t>
                  </w:r>
                </w:p>
              </w:tc>
              <w:tc>
                <w:tcPr>
                  <w:tcW w:w="353" w:type="pct"/>
                  <w:noWrap w:val="0"/>
                  <w:vAlign w:val="center"/>
                </w:tcPr>
                <w:p w14:paraId="69F7F59D">
                  <w:pPr>
                    <w:jc w:val="center"/>
                    <w:rPr>
                      <w:rFonts w:hint="eastAsia" w:ascii="Times New Roman" w:hAnsi="Times New Roman" w:eastAsia="宋体"/>
                      <w:color w:val="auto"/>
                      <w:sz w:val="18"/>
                      <w:szCs w:val="18"/>
                      <w:highlight w:val="none"/>
                      <w:lang w:val="en-US" w:eastAsia="zh-CN"/>
                    </w:rPr>
                  </w:pPr>
                  <w:r>
                    <w:rPr>
                      <w:rFonts w:hint="eastAsia" w:ascii="Times New Roman" w:hAnsi="Times New Roman"/>
                      <w:color w:val="auto"/>
                      <w:sz w:val="18"/>
                      <w:szCs w:val="18"/>
                      <w:highlight w:val="none"/>
                      <w:lang w:val="en-US" w:eastAsia="zh-CN"/>
                    </w:rPr>
                    <w:t>硫酸雾</w:t>
                  </w:r>
                </w:p>
              </w:tc>
              <w:tc>
                <w:tcPr>
                  <w:tcW w:w="474" w:type="pct"/>
                  <w:noWrap w:val="0"/>
                  <w:vAlign w:val="center"/>
                </w:tcPr>
                <w:p w14:paraId="456EFE0F">
                  <w:pPr>
                    <w:jc w:val="center"/>
                    <w:rPr>
                      <w:rFonts w:hint="default" w:ascii="Times New Roman" w:hAnsi="Times New Roman" w:eastAsia="宋体"/>
                      <w:color w:val="auto"/>
                      <w:sz w:val="18"/>
                      <w:szCs w:val="18"/>
                      <w:highlight w:val="none"/>
                      <w:lang w:val="en-US" w:eastAsia="zh-CN"/>
                    </w:rPr>
                  </w:pPr>
                  <w:r>
                    <w:rPr>
                      <w:rFonts w:hint="eastAsia" w:ascii="Times New Roman" w:hAnsi="Times New Roman" w:eastAsia="宋体"/>
                      <w:color w:val="auto"/>
                      <w:sz w:val="18"/>
                      <w:szCs w:val="18"/>
                      <w:highlight w:val="none"/>
                      <w:lang w:val="en-US" w:eastAsia="zh-CN"/>
                    </w:rPr>
                    <w:t>25000</w:t>
                  </w:r>
                </w:p>
              </w:tc>
              <w:tc>
                <w:tcPr>
                  <w:tcW w:w="436" w:type="pct"/>
                  <w:noWrap w:val="0"/>
                  <w:vAlign w:val="center"/>
                </w:tcPr>
                <w:p w14:paraId="21491F65">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0.85</w:t>
                  </w:r>
                </w:p>
              </w:tc>
              <w:tc>
                <w:tcPr>
                  <w:tcW w:w="491" w:type="pct"/>
                  <w:noWrap w:val="0"/>
                  <w:vAlign w:val="center"/>
                </w:tcPr>
                <w:p w14:paraId="23FCF4AB">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0.12</w:t>
                  </w:r>
                </w:p>
              </w:tc>
              <w:tc>
                <w:tcPr>
                  <w:tcW w:w="556" w:type="pct"/>
                  <w:noWrap w:val="0"/>
                  <w:vAlign w:val="center"/>
                </w:tcPr>
                <w:p w14:paraId="7EAD4484">
                  <w:pPr>
                    <w:jc w:val="center"/>
                    <w:rPr>
                      <w:rFonts w:ascii="Times New Roman" w:hAnsi="Times New Roman"/>
                      <w:color w:val="auto"/>
                      <w:sz w:val="18"/>
                      <w:szCs w:val="18"/>
                      <w:highlight w:val="none"/>
                    </w:rPr>
                  </w:pPr>
                  <w:r>
                    <w:rPr>
                      <w:rFonts w:hint="eastAsia"/>
                      <w:color w:val="auto"/>
                      <w:sz w:val="18"/>
                      <w:szCs w:val="18"/>
                      <w:highlight w:val="none"/>
                      <w:lang w:val="en-US" w:eastAsia="zh-CN"/>
                    </w:rPr>
                    <w:t>集气罩（95%）+</w:t>
                  </w:r>
                  <w:r>
                    <w:rPr>
                      <w:rFonts w:hint="eastAsia" w:ascii="Times New Roman" w:hAnsi="Times New Roman"/>
                      <w:color w:val="auto"/>
                      <w:sz w:val="18"/>
                      <w:szCs w:val="18"/>
                      <w:highlight w:val="none"/>
                      <w:lang w:val="en-US" w:eastAsia="zh-CN"/>
                    </w:rPr>
                    <w:t>碱喷淋</w:t>
                  </w:r>
                </w:p>
              </w:tc>
              <w:tc>
                <w:tcPr>
                  <w:tcW w:w="256" w:type="pct"/>
                  <w:noWrap w:val="0"/>
                  <w:vAlign w:val="center"/>
                </w:tcPr>
                <w:p w14:paraId="031980B2">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95</w:t>
                  </w:r>
                </w:p>
              </w:tc>
              <w:tc>
                <w:tcPr>
                  <w:tcW w:w="381" w:type="pct"/>
                  <w:noWrap w:val="0"/>
                  <w:vAlign w:val="center"/>
                </w:tcPr>
                <w:p w14:paraId="36607FA4">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 xml:space="preserve">0.04 </w:t>
                  </w:r>
                </w:p>
              </w:tc>
              <w:tc>
                <w:tcPr>
                  <w:tcW w:w="436" w:type="pct"/>
                  <w:noWrap w:val="0"/>
                  <w:vAlign w:val="center"/>
                </w:tcPr>
                <w:p w14:paraId="7D2E4345">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 xml:space="preserve">0.01 </w:t>
                  </w:r>
                </w:p>
              </w:tc>
              <w:tc>
                <w:tcPr>
                  <w:tcW w:w="427" w:type="pct"/>
                  <w:noWrap w:val="0"/>
                  <w:vAlign w:val="center"/>
                </w:tcPr>
                <w:p w14:paraId="5B077A28">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 xml:space="preserve">0.23 </w:t>
                  </w:r>
                </w:p>
              </w:tc>
              <w:tc>
                <w:tcPr>
                  <w:tcW w:w="426" w:type="pct"/>
                  <w:noWrap w:val="0"/>
                  <w:vAlign w:val="center"/>
                </w:tcPr>
                <w:p w14:paraId="20CA900D">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10</w:t>
                  </w:r>
                </w:p>
              </w:tc>
              <w:tc>
                <w:tcPr>
                  <w:tcW w:w="243" w:type="pct"/>
                  <w:noWrap w:val="0"/>
                  <w:vAlign w:val="center"/>
                </w:tcPr>
                <w:p w14:paraId="093D949C">
                  <w:pPr>
                    <w:jc w:val="center"/>
                    <w:rPr>
                      <w:rFonts w:ascii="Times New Roman" w:hAnsi="Times New Roman"/>
                      <w:color w:val="auto"/>
                      <w:sz w:val="18"/>
                      <w:szCs w:val="18"/>
                      <w:highlight w:val="none"/>
                    </w:rPr>
                  </w:pPr>
                  <w:r>
                    <w:rPr>
                      <w:rFonts w:ascii="Times New Roman" w:hAnsi="Times New Roman"/>
                      <w:color w:val="auto"/>
                      <w:sz w:val="18"/>
                      <w:szCs w:val="18"/>
                      <w:highlight w:val="none"/>
                    </w:rPr>
                    <w:t>达标</w:t>
                  </w:r>
                </w:p>
              </w:tc>
            </w:tr>
          </w:tbl>
          <w:p w14:paraId="3C4473F8">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left"/>
              <w:textAlignment w:val="auto"/>
              <w:rPr>
                <w:rFonts w:hint="default"/>
                <w:color w:val="auto"/>
                <w:sz w:val="21"/>
                <w:szCs w:val="21"/>
                <w:highlight w:val="none"/>
                <w:lang w:val="en-US" w:eastAsia="zh-CN"/>
              </w:rPr>
            </w:pPr>
            <w:r>
              <w:rPr>
                <w:rFonts w:hint="eastAsia"/>
                <w:color w:val="auto"/>
                <w:sz w:val="21"/>
                <w:szCs w:val="21"/>
                <w:highlight w:val="none"/>
                <w:lang w:val="en-US" w:eastAsia="zh-CN"/>
              </w:rPr>
              <w:t>由上表可知，DA004、DA009排放的氯化氢、硫酸雾可以满足《轧钢工业大气污染物排放标准》（GB28665-2012）及其修改单表3标准限值要求。</w:t>
            </w:r>
          </w:p>
          <w:p w14:paraId="6A89FBCF">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left"/>
              <w:textAlignment w:val="auto"/>
              <w:rPr>
                <w:rFonts w:hint="default"/>
                <w:color w:val="auto"/>
                <w:sz w:val="21"/>
                <w:szCs w:val="21"/>
                <w:highlight w:val="none"/>
                <w:lang w:val="en-US" w:eastAsia="zh-CN"/>
              </w:rPr>
            </w:pPr>
            <w:r>
              <w:rPr>
                <w:rFonts w:hint="eastAsia"/>
                <w:color w:val="auto"/>
                <w:sz w:val="21"/>
                <w:szCs w:val="21"/>
                <w:highlight w:val="none"/>
                <w:lang w:val="en-US" w:eastAsia="zh-CN"/>
              </w:rPr>
              <w:t>④油雾</w:t>
            </w:r>
          </w:p>
          <w:p w14:paraId="3BDA14EC">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eastAsia"/>
                <w:bCs/>
                <w:color w:val="auto"/>
                <w:sz w:val="21"/>
                <w:szCs w:val="21"/>
                <w:highlight w:val="none"/>
                <w:vertAlign w:val="baseline"/>
                <w:lang w:val="en-US" w:eastAsia="zh-CN"/>
              </w:rPr>
            </w:pPr>
            <w:r>
              <w:rPr>
                <w:rFonts w:hint="eastAsia"/>
                <w:bCs/>
                <w:color w:val="auto"/>
                <w:sz w:val="21"/>
                <w:szCs w:val="21"/>
                <w:highlight w:val="none"/>
                <w:lang w:val="en-US" w:eastAsia="zh-CN"/>
              </w:rPr>
              <w:t>冷轧工序会产生油雾，类比湖南宏旺新材料科技有限公司二十辊轧机油雾净化排放口油雾排放速率，其风量为8500m</w:t>
            </w:r>
            <w:r>
              <w:rPr>
                <w:rFonts w:hint="eastAsia"/>
                <w:bCs/>
                <w:color w:val="auto"/>
                <w:sz w:val="21"/>
                <w:szCs w:val="21"/>
                <w:highlight w:val="none"/>
                <w:vertAlign w:val="superscript"/>
                <w:lang w:val="en-US" w:eastAsia="zh-CN"/>
              </w:rPr>
              <w:t>3</w:t>
            </w:r>
            <w:r>
              <w:rPr>
                <w:rFonts w:hint="eastAsia"/>
                <w:bCs/>
                <w:color w:val="auto"/>
                <w:sz w:val="21"/>
                <w:szCs w:val="21"/>
                <w:highlight w:val="none"/>
                <w:lang w:val="en-US" w:eastAsia="zh-CN"/>
              </w:rPr>
              <w:t>/h左右，油雾排放速率在0.0083kg/h</w:t>
            </w:r>
            <w:r>
              <w:rPr>
                <w:rFonts w:hint="eastAsia"/>
                <w:bCs/>
                <w:color w:val="auto"/>
                <w:sz w:val="21"/>
                <w:szCs w:val="21"/>
                <w:highlight w:val="none"/>
                <w:vertAlign w:val="baseline"/>
                <w:lang w:val="en-US" w:eastAsia="zh-CN"/>
              </w:rPr>
              <w:t>~</w:t>
            </w:r>
            <w:r>
              <w:rPr>
                <w:rFonts w:hint="eastAsia"/>
                <w:bCs/>
                <w:color w:val="auto"/>
                <w:sz w:val="21"/>
                <w:szCs w:val="21"/>
                <w:highlight w:val="none"/>
                <w:lang w:val="en-US" w:eastAsia="zh-CN"/>
              </w:rPr>
              <w:t>0.009kg/h左右，本项目设计风量180000m</w:t>
            </w:r>
            <w:r>
              <w:rPr>
                <w:rFonts w:hint="eastAsia"/>
                <w:bCs/>
                <w:color w:val="auto"/>
                <w:sz w:val="21"/>
                <w:szCs w:val="21"/>
                <w:highlight w:val="none"/>
                <w:vertAlign w:val="superscript"/>
                <w:lang w:val="en-US" w:eastAsia="zh-CN"/>
              </w:rPr>
              <w:t>3</w:t>
            </w:r>
            <w:r>
              <w:rPr>
                <w:rFonts w:hint="eastAsia"/>
                <w:bCs/>
                <w:color w:val="auto"/>
                <w:sz w:val="21"/>
                <w:szCs w:val="21"/>
                <w:highlight w:val="none"/>
                <w:lang w:val="en-US" w:eastAsia="zh-CN"/>
              </w:rPr>
              <w:t>/h，排放速率保守折算为按照0.2kg/h</w:t>
            </w:r>
            <w:r>
              <w:rPr>
                <w:rFonts w:hint="eastAsia"/>
                <w:bCs/>
                <w:color w:val="auto"/>
                <w:sz w:val="21"/>
                <w:szCs w:val="21"/>
                <w:highlight w:val="none"/>
                <w:vertAlign w:val="baseline"/>
                <w:lang w:val="en-US" w:eastAsia="zh-CN"/>
              </w:rPr>
              <w:t>计算，油雾经油雾净化器处理后经DA005排气筒排放。</w:t>
            </w:r>
          </w:p>
          <w:p w14:paraId="68452B17">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snapToGrid w:val="0"/>
                <w:color w:val="auto"/>
                <w:szCs w:val="21"/>
                <w:highlight w:val="none"/>
                <w:vertAlign w:val="baseline"/>
                <w:lang w:val="en-US" w:eastAsia="zh-CN"/>
              </w:rPr>
            </w:pPr>
            <w:r>
              <w:rPr>
                <w:rFonts w:ascii="Times New Roman" w:hAnsi="Times New Roman" w:eastAsia="黑体"/>
                <w:bCs/>
                <w:color w:val="auto"/>
                <w:spacing w:val="2"/>
                <w:sz w:val="21"/>
                <w:szCs w:val="21"/>
                <w:highlight w:val="none"/>
              </w:rPr>
              <w:t>表4-</w:t>
            </w:r>
            <w:r>
              <w:rPr>
                <w:rFonts w:hint="eastAsia" w:eastAsia="黑体"/>
                <w:bCs/>
                <w:color w:val="auto"/>
                <w:spacing w:val="2"/>
                <w:sz w:val="21"/>
                <w:szCs w:val="21"/>
                <w:highlight w:val="none"/>
                <w:lang w:val="en-US" w:eastAsia="zh-CN"/>
              </w:rPr>
              <w:t xml:space="preserve">7  </w:t>
            </w:r>
            <w:r>
              <w:rPr>
                <w:rFonts w:ascii="Times New Roman" w:hAnsi="Times New Roman" w:eastAsia="黑体"/>
                <w:bCs/>
                <w:color w:val="auto"/>
                <w:spacing w:val="2"/>
                <w:sz w:val="21"/>
                <w:szCs w:val="21"/>
                <w:highlight w:val="none"/>
              </w:rPr>
              <w:t>项目</w:t>
            </w:r>
            <w:r>
              <w:rPr>
                <w:rFonts w:hint="eastAsia" w:ascii="Times New Roman" w:hAnsi="Times New Roman" w:eastAsia="黑体"/>
                <w:bCs/>
                <w:color w:val="auto"/>
                <w:spacing w:val="2"/>
                <w:sz w:val="21"/>
                <w:szCs w:val="21"/>
                <w:highlight w:val="none"/>
                <w:lang w:val="en-US" w:eastAsia="zh-CN"/>
              </w:rPr>
              <w:t>油雾</w:t>
            </w:r>
            <w:r>
              <w:rPr>
                <w:rFonts w:ascii="Times New Roman" w:hAnsi="Times New Roman" w:eastAsia="黑体"/>
                <w:bCs/>
                <w:color w:val="auto"/>
                <w:spacing w:val="2"/>
                <w:sz w:val="21"/>
                <w:szCs w:val="21"/>
                <w:highlight w:val="none"/>
              </w:rPr>
              <w:t>废气产排情况表</w:t>
            </w:r>
          </w:p>
          <w:tbl>
            <w:tblPr>
              <w:tblStyle w:val="33"/>
              <w:tblW w:w="495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581"/>
              <w:gridCol w:w="780"/>
              <w:gridCol w:w="718"/>
              <w:gridCol w:w="808"/>
              <w:gridCol w:w="915"/>
              <w:gridCol w:w="421"/>
              <w:gridCol w:w="627"/>
              <w:gridCol w:w="718"/>
              <w:gridCol w:w="703"/>
              <w:gridCol w:w="701"/>
              <w:gridCol w:w="400"/>
            </w:tblGrid>
            <w:tr w14:paraId="117132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17" w:type="pct"/>
                  <w:vMerge w:val="restart"/>
                  <w:noWrap w:val="0"/>
                  <w:vAlign w:val="center"/>
                </w:tcPr>
                <w:p w14:paraId="6C9619CD">
                  <w:pPr>
                    <w:jc w:val="center"/>
                    <w:rPr>
                      <w:rFonts w:ascii="Times New Roman" w:hAnsi="Times New Roman"/>
                      <w:color w:val="auto"/>
                      <w:sz w:val="18"/>
                      <w:szCs w:val="18"/>
                      <w:highlight w:val="none"/>
                    </w:rPr>
                  </w:pPr>
                  <w:r>
                    <w:rPr>
                      <w:rFonts w:ascii="Times New Roman" w:hAnsi="Times New Roman"/>
                      <w:color w:val="auto"/>
                      <w:sz w:val="18"/>
                      <w:szCs w:val="18"/>
                      <w:highlight w:val="none"/>
                    </w:rPr>
                    <w:t>污染源</w:t>
                  </w:r>
                </w:p>
              </w:tc>
              <w:tc>
                <w:tcPr>
                  <w:tcW w:w="353" w:type="pct"/>
                  <w:vMerge w:val="restart"/>
                  <w:noWrap w:val="0"/>
                  <w:vAlign w:val="center"/>
                </w:tcPr>
                <w:p w14:paraId="64F04118">
                  <w:pPr>
                    <w:jc w:val="center"/>
                    <w:rPr>
                      <w:rFonts w:ascii="Times New Roman" w:hAnsi="Times New Roman"/>
                      <w:color w:val="auto"/>
                      <w:sz w:val="18"/>
                      <w:szCs w:val="18"/>
                      <w:highlight w:val="none"/>
                    </w:rPr>
                  </w:pPr>
                  <w:r>
                    <w:rPr>
                      <w:rFonts w:ascii="Times New Roman" w:hAnsi="Times New Roman"/>
                      <w:color w:val="auto"/>
                      <w:sz w:val="18"/>
                      <w:szCs w:val="18"/>
                      <w:highlight w:val="none"/>
                    </w:rPr>
                    <w:t>污染物</w:t>
                  </w:r>
                </w:p>
              </w:tc>
              <w:tc>
                <w:tcPr>
                  <w:tcW w:w="474" w:type="pct"/>
                  <w:vMerge w:val="restart"/>
                  <w:noWrap w:val="0"/>
                  <w:vAlign w:val="center"/>
                </w:tcPr>
                <w:p w14:paraId="685B0C51">
                  <w:pPr>
                    <w:jc w:val="center"/>
                    <w:rPr>
                      <w:rFonts w:ascii="Times New Roman" w:hAnsi="Times New Roman"/>
                      <w:color w:val="auto"/>
                      <w:sz w:val="18"/>
                      <w:szCs w:val="18"/>
                      <w:highlight w:val="none"/>
                    </w:rPr>
                  </w:pPr>
                  <w:r>
                    <w:rPr>
                      <w:rFonts w:ascii="Times New Roman" w:hAnsi="Times New Roman"/>
                      <w:color w:val="auto"/>
                      <w:sz w:val="18"/>
                      <w:szCs w:val="18"/>
                      <w:highlight w:val="none"/>
                    </w:rPr>
                    <w:t>废气量m</w:t>
                  </w:r>
                  <w:r>
                    <w:rPr>
                      <w:rFonts w:ascii="Times New Roman" w:hAnsi="Times New Roman"/>
                      <w:color w:val="auto"/>
                      <w:sz w:val="18"/>
                      <w:szCs w:val="18"/>
                      <w:highlight w:val="none"/>
                      <w:vertAlign w:val="superscript"/>
                    </w:rPr>
                    <w:t>3</w:t>
                  </w:r>
                  <w:r>
                    <w:rPr>
                      <w:rFonts w:ascii="Times New Roman" w:hAnsi="Times New Roman"/>
                      <w:color w:val="auto"/>
                      <w:sz w:val="18"/>
                      <w:szCs w:val="18"/>
                      <w:highlight w:val="none"/>
                    </w:rPr>
                    <w:t>/h</w:t>
                  </w:r>
                </w:p>
              </w:tc>
              <w:tc>
                <w:tcPr>
                  <w:tcW w:w="927" w:type="pct"/>
                  <w:gridSpan w:val="2"/>
                  <w:noWrap w:val="0"/>
                  <w:vAlign w:val="center"/>
                </w:tcPr>
                <w:p w14:paraId="2A921FD3">
                  <w:pPr>
                    <w:jc w:val="center"/>
                    <w:rPr>
                      <w:rFonts w:ascii="Times New Roman" w:hAnsi="Times New Roman"/>
                      <w:color w:val="auto"/>
                      <w:sz w:val="18"/>
                      <w:szCs w:val="18"/>
                      <w:highlight w:val="none"/>
                    </w:rPr>
                  </w:pPr>
                  <w:r>
                    <w:rPr>
                      <w:rFonts w:ascii="Times New Roman" w:hAnsi="Times New Roman"/>
                      <w:color w:val="auto"/>
                      <w:sz w:val="18"/>
                      <w:szCs w:val="18"/>
                      <w:highlight w:val="none"/>
                    </w:rPr>
                    <w:t>产生情况</w:t>
                  </w:r>
                </w:p>
              </w:tc>
              <w:tc>
                <w:tcPr>
                  <w:tcW w:w="556" w:type="pct"/>
                  <w:vMerge w:val="restart"/>
                  <w:noWrap w:val="0"/>
                  <w:vAlign w:val="center"/>
                </w:tcPr>
                <w:p w14:paraId="5BC03102">
                  <w:pPr>
                    <w:jc w:val="center"/>
                    <w:rPr>
                      <w:rFonts w:ascii="Times New Roman" w:hAnsi="Times New Roman"/>
                      <w:color w:val="auto"/>
                      <w:sz w:val="18"/>
                      <w:szCs w:val="18"/>
                      <w:highlight w:val="none"/>
                    </w:rPr>
                  </w:pPr>
                  <w:r>
                    <w:rPr>
                      <w:rFonts w:ascii="Times New Roman" w:hAnsi="Times New Roman"/>
                      <w:color w:val="auto"/>
                      <w:sz w:val="18"/>
                      <w:szCs w:val="18"/>
                      <w:highlight w:val="none"/>
                    </w:rPr>
                    <w:t>处理措施</w:t>
                  </w:r>
                </w:p>
              </w:tc>
              <w:tc>
                <w:tcPr>
                  <w:tcW w:w="256" w:type="pct"/>
                  <w:vMerge w:val="restart"/>
                  <w:noWrap w:val="0"/>
                  <w:vAlign w:val="center"/>
                </w:tcPr>
                <w:p w14:paraId="3B28A4D8">
                  <w:pPr>
                    <w:jc w:val="center"/>
                    <w:rPr>
                      <w:rFonts w:ascii="Times New Roman" w:hAnsi="Times New Roman"/>
                      <w:color w:val="auto"/>
                      <w:sz w:val="18"/>
                      <w:szCs w:val="18"/>
                      <w:highlight w:val="none"/>
                    </w:rPr>
                  </w:pPr>
                  <w:r>
                    <w:rPr>
                      <w:rFonts w:ascii="Times New Roman" w:hAnsi="Times New Roman"/>
                      <w:color w:val="auto"/>
                      <w:sz w:val="18"/>
                      <w:szCs w:val="18"/>
                      <w:highlight w:val="none"/>
                    </w:rPr>
                    <w:t>去除效率</w:t>
                  </w:r>
                </w:p>
                <w:p w14:paraId="076FC786">
                  <w:pPr>
                    <w:jc w:val="center"/>
                    <w:rPr>
                      <w:rFonts w:ascii="Times New Roman" w:hAnsi="Times New Roman"/>
                      <w:color w:val="auto"/>
                      <w:sz w:val="18"/>
                      <w:szCs w:val="18"/>
                      <w:highlight w:val="none"/>
                    </w:rPr>
                  </w:pPr>
                  <w:r>
                    <w:rPr>
                      <w:rFonts w:ascii="Times New Roman" w:hAnsi="Times New Roman"/>
                      <w:color w:val="auto"/>
                      <w:sz w:val="18"/>
                      <w:szCs w:val="18"/>
                      <w:highlight w:val="none"/>
                    </w:rPr>
                    <w:t>%</w:t>
                  </w:r>
                </w:p>
              </w:tc>
              <w:tc>
                <w:tcPr>
                  <w:tcW w:w="1244" w:type="pct"/>
                  <w:gridSpan w:val="3"/>
                  <w:noWrap w:val="0"/>
                  <w:vAlign w:val="center"/>
                </w:tcPr>
                <w:p w14:paraId="31AF7260">
                  <w:pPr>
                    <w:jc w:val="center"/>
                    <w:rPr>
                      <w:rFonts w:ascii="Times New Roman" w:hAnsi="Times New Roman"/>
                      <w:color w:val="auto"/>
                      <w:sz w:val="18"/>
                      <w:szCs w:val="18"/>
                      <w:highlight w:val="none"/>
                    </w:rPr>
                  </w:pPr>
                  <w:r>
                    <w:rPr>
                      <w:rFonts w:ascii="Times New Roman" w:hAnsi="Times New Roman"/>
                      <w:color w:val="auto"/>
                      <w:sz w:val="18"/>
                      <w:szCs w:val="18"/>
                      <w:highlight w:val="none"/>
                    </w:rPr>
                    <w:t>排放情况</w:t>
                  </w:r>
                </w:p>
              </w:tc>
              <w:tc>
                <w:tcPr>
                  <w:tcW w:w="426" w:type="pct"/>
                  <w:noWrap w:val="0"/>
                  <w:vAlign w:val="center"/>
                </w:tcPr>
                <w:p w14:paraId="36F32584">
                  <w:pPr>
                    <w:jc w:val="center"/>
                    <w:rPr>
                      <w:rFonts w:hint="eastAsia"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排放标准</w:t>
                  </w:r>
                </w:p>
              </w:tc>
              <w:tc>
                <w:tcPr>
                  <w:tcW w:w="243" w:type="pct"/>
                  <w:vMerge w:val="restart"/>
                  <w:noWrap w:val="0"/>
                  <w:vAlign w:val="center"/>
                </w:tcPr>
                <w:p w14:paraId="214A8389">
                  <w:pPr>
                    <w:jc w:val="center"/>
                    <w:rPr>
                      <w:rFonts w:ascii="Times New Roman" w:hAnsi="Times New Roman"/>
                      <w:color w:val="auto"/>
                      <w:sz w:val="18"/>
                      <w:szCs w:val="18"/>
                      <w:highlight w:val="none"/>
                    </w:rPr>
                  </w:pPr>
                  <w:r>
                    <w:rPr>
                      <w:rFonts w:ascii="Times New Roman" w:hAnsi="Times New Roman"/>
                      <w:color w:val="auto"/>
                      <w:sz w:val="18"/>
                      <w:szCs w:val="18"/>
                      <w:highlight w:val="none"/>
                    </w:rPr>
                    <w:t>达标情况</w:t>
                  </w:r>
                </w:p>
              </w:tc>
            </w:tr>
            <w:tr w14:paraId="493776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17" w:type="pct"/>
                  <w:vMerge w:val="continue"/>
                  <w:noWrap w:val="0"/>
                  <w:vAlign w:val="center"/>
                </w:tcPr>
                <w:p w14:paraId="4E737AD4">
                  <w:pPr>
                    <w:widowControl/>
                    <w:jc w:val="center"/>
                    <w:rPr>
                      <w:rFonts w:ascii="Times New Roman" w:hAnsi="Times New Roman"/>
                      <w:color w:val="auto"/>
                      <w:sz w:val="18"/>
                      <w:szCs w:val="18"/>
                      <w:highlight w:val="none"/>
                    </w:rPr>
                  </w:pPr>
                </w:p>
              </w:tc>
              <w:tc>
                <w:tcPr>
                  <w:tcW w:w="353" w:type="pct"/>
                  <w:vMerge w:val="continue"/>
                  <w:noWrap w:val="0"/>
                  <w:vAlign w:val="center"/>
                </w:tcPr>
                <w:p w14:paraId="2046C4A2">
                  <w:pPr>
                    <w:widowControl/>
                    <w:jc w:val="center"/>
                    <w:rPr>
                      <w:rFonts w:ascii="Times New Roman" w:hAnsi="Times New Roman"/>
                      <w:color w:val="auto"/>
                      <w:sz w:val="18"/>
                      <w:szCs w:val="18"/>
                      <w:highlight w:val="none"/>
                    </w:rPr>
                  </w:pPr>
                </w:p>
              </w:tc>
              <w:tc>
                <w:tcPr>
                  <w:tcW w:w="474" w:type="pct"/>
                  <w:vMerge w:val="continue"/>
                  <w:noWrap w:val="0"/>
                  <w:vAlign w:val="center"/>
                </w:tcPr>
                <w:p w14:paraId="4DBC18F0">
                  <w:pPr>
                    <w:widowControl/>
                    <w:jc w:val="center"/>
                    <w:rPr>
                      <w:rFonts w:ascii="Times New Roman" w:hAnsi="Times New Roman"/>
                      <w:color w:val="auto"/>
                      <w:sz w:val="18"/>
                      <w:szCs w:val="18"/>
                      <w:highlight w:val="none"/>
                    </w:rPr>
                  </w:pPr>
                </w:p>
              </w:tc>
              <w:tc>
                <w:tcPr>
                  <w:tcW w:w="436" w:type="pct"/>
                  <w:noWrap w:val="0"/>
                  <w:vAlign w:val="center"/>
                </w:tcPr>
                <w:p w14:paraId="789C2780">
                  <w:pPr>
                    <w:jc w:val="center"/>
                    <w:rPr>
                      <w:rFonts w:ascii="Times New Roman" w:hAnsi="Times New Roman"/>
                      <w:color w:val="auto"/>
                      <w:sz w:val="18"/>
                      <w:szCs w:val="18"/>
                      <w:highlight w:val="none"/>
                    </w:rPr>
                  </w:pPr>
                  <w:r>
                    <w:rPr>
                      <w:rFonts w:ascii="Times New Roman" w:hAnsi="Times New Roman"/>
                      <w:color w:val="auto"/>
                      <w:sz w:val="18"/>
                      <w:szCs w:val="18"/>
                      <w:highlight w:val="none"/>
                    </w:rPr>
                    <w:t>产生量t/a</w:t>
                  </w:r>
                </w:p>
              </w:tc>
              <w:tc>
                <w:tcPr>
                  <w:tcW w:w="491" w:type="pct"/>
                  <w:noWrap w:val="0"/>
                  <w:vAlign w:val="center"/>
                </w:tcPr>
                <w:p w14:paraId="2667CAE4">
                  <w:pPr>
                    <w:jc w:val="center"/>
                    <w:rPr>
                      <w:rFonts w:hint="eastAsia" w:ascii="Times New Roman" w:hAnsi="Times New Roman"/>
                      <w:color w:val="auto"/>
                      <w:sz w:val="18"/>
                      <w:szCs w:val="18"/>
                      <w:highlight w:val="none"/>
                    </w:rPr>
                  </w:pPr>
                  <w:r>
                    <w:rPr>
                      <w:rFonts w:hint="eastAsia" w:ascii="Times New Roman" w:hAnsi="Times New Roman"/>
                      <w:color w:val="auto"/>
                      <w:sz w:val="18"/>
                      <w:szCs w:val="18"/>
                      <w:highlight w:val="none"/>
                    </w:rPr>
                    <w:t>产生速率</w:t>
                  </w:r>
                </w:p>
                <w:p w14:paraId="1463DD9A">
                  <w:pPr>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kg/h</w:t>
                  </w:r>
                </w:p>
              </w:tc>
              <w:tc>
                <w:tcPr>
                  <w:tcW w:w="556" w:type="pct"/>
                  <w:vMerge w:val="continue"/>
                  <w:noWrap w:val="0"/>
                  <w:vAlign w:val="center"/>
                </w:tcPr>
                <w:p w14:paraId="3D9E0711">
                  <w:pPr>
                    <w:widowControl/>
                    <w:jc w:val="center"/>
                    <w:rPr>
                      <w:rFonts w:ascii="Times New Roman" w:hAnsi="Times New Roman"/>
                      <w:color w:val="auto"/>
                      <w:sz w:val="18"/>
                      <w:szCs w:val="18"/>
                      <w:highlight w:val="none"/>
                    </w:rPr>
                  </w:pPr>
                </w:p>
              </w:tc>
              <w:tc>
                <w:tcPr>
                  <w:tcW w:w="256" w:type="pct"/>
                  <w:vMerge w:val="continue"/>
                  <w:noWrap w:val="0"/>
                  <w:vAlign w:val="center"/>
                </w:tcPr>
                <w:p w14:paraId="3667D48E">
                  <w:pPr>
                    <w:widowControl/>
                    <w:jc w:val="center"/>
                    <w:rPr>
                      <w:rFonts w:ascii="Times New Roman" w:hAnsi="Times New Roman"/>
                      <w:color w:val="auto"/>
                      <w:sz w:val="18"/>
                      <w:szCs w:val="18"/>
                      <w:highlight w:val="none"/>
                    </w:rPr>
                  </w:pPr>
                </w:p>
              </w:tc>
              <w:tc>
                <w:tcPr>
                  <w:tcW w:w="381" w:type="pct"/>
                  <w:noWrap w:val="0"/>
                  <w:vAlign w:val="center"/>
                </w:tcPr>
                <w:p w14:paraId="6AA757D9">
                  <w:pPr>
                    <w:jc w:val="center"/>
                    <w:rPr>
                      <w:rFonts w:ascii="Times New Roman" w:hAnsi="Times New Roman"/>
                      <w:color w:val="auto"/>
                      <w:sz w:val="18"/>
                      <w:szCs w:val="18"/>
                      <w:highlight w:val="none"/>
                    </w:rPr>
                  </w:pPr>
                  <w:r>
                    <w:rPr>
                      <w:rFonts w:ascii="Times New Roman" w:hAnsi="Times New Roman"/>
                      <w:color w:val="auto"/>
                      <w:sz w:val="18"/>
                      <w:szCs w:val="18"/>
                      <w:highlight w:val="none"/>
                    </w:rPr>
                    <w:t>排放量</w:t>
                  </w:r>
                </w:p>
                <w:p w14:paraId="7B61E553">
                  <w:pPr>
                    <w:jc w:val="center"/>
                    <w:rPr>
                      <w:rFonts w:ascii="Times New Roman" w:hAnsi="Times New Roman"/>
                      <w:color w:val="auto"/>
                      <w:sz w:val="18"/>
                      <w:szCs w:val="18"/>
                      <w:highlight w:val="none"/>
                    </w:rPr>
                  </w:pPr>
                  <w:r>
                    <w:rPr>
                      <w:rFonts w:ascii="Times New Roman" w:hAnsi="Times New Roman"/>
                      <w:color w:val="auto"/>
                      <w:sz w:val="18"/>
                      <w:szCs w:val="18"/>
                      <w:highlight w:val="none"/>
                    </w:rPr>
                    <w:t>t/a</w:t>
                  </w:r>
                </w:p>
              </w:tc>
              <w:tc>
                <w:tcPr>
                  <w:tcW w:w="436" w:type="pct"/>
                  <w:noWrap w:val="0"/>
                  <w:vAlign w:val="center"/>
                </w:tcPr>
                <w:p w14:paraId="42FFFE54">
                  <w:pPr>
                    <w:jc w:val="center"/>
                    <w:rPr>
                      <w:rFonts w:ascii="Times New Roman" w:hAnsi="Times New Roman"/>
                      <w:color w:val="auto"/>
                      <w:sz w:val="18"/>
                      <w:szCs w:val="18"/>
                      <w:highlight w:val="none"/>
                    </w:rPr>
                  </w:pPr>
                  <w:r>
                    <w:rPr>
                      <w:rFonts w:ascii="Times New Roman" w:hAnsi="Times New Roman"/>
                      <w:color w:val="auto"/>
                      <w:sz w:val="18"/>
                      <w:szCs w:val="18"/>
                      <w:highlight w:val="none"/>
                    </w:rPr>
                    <w:t>排放速率kg/h</w:t>
                  </w:r>
                </w:p>
              </w:tc>
              <w:tc>
                <w:tcPr>
                  <w:tcW w:w="427" w:type="pct"/>
                  <w:noWrap w:val="0"/>
                  <w:vAlign w:val="center"/>
                </w:tcPr>
                <w:p w14:paraId="3953068E">
                  <w:pPr>
                    <w:jc w:val="center"/>
                    <w:rPr>
                      <w:rFonts w:ascii="Times New Roman" w:hAnsi="Times New Roman"/>
                      <w:color w:val="auto"/>
                      <w:sz w:val="18"/>
                      <w:szCs w:val="18"/>
                      <w:highlight w:val="none"/>
                    </w:rPr>
                  </w:pPr>
                  <w:r>
                    <w:rPr>
                      <w:rFonts w:ascii="Times New Roman" w:hAnsi="Times New Roman"/>
                      <w:color w:val="auto"/>
                      <w:sz w:val="18"/>
                      <w:szCs w:val="18"/>
                      <w:highlight w:val="none"/>
                    </w:rPr>
                    <w:t>浓度</w:t>
                  </w:r>
                </w:p>
                <w:p w14:paraId="1A8CA731">
                  <w:pPr>
                    <w:jc w:val="center"/>
                    <w:rPr>
                      <w:rFonts w:ascii="Times New Roman" w:hAnsi="Times New Roman"/>
                      <w:color w:val="auto"/>
                      <w:sz w:val="18"/>
                      <w:szCs w:val="18"/>
                      <w:highlight w:val="none"/>
                    </w:rPr>
                  </w:pPr>
                  <w:r>
                    <w:rPr>
                      <w:rFonts w:ascii="Times New Roman" w:hAnsi="Times New Roman"/>
                      <w:color w:val="auto"/>
                      <w:sz w:val="18"/>
                      <w:szCs w:val="18"/>
                      <w:highlight w:val="none"/>
                    </w:rPr>
                    <w:t>mg/m</w:t>
                  </w:r>
                  <w:r>
                    <w:rPr>
                      <w:rFonts w:ascii="Times New Roman" w:hAnsi="Times New Roman"/>
                      <w:color w:val="auto"/>
                      <w:sz w:val="18"/>
                      <w:szCs w:val="18"/>
                      <w:highlight w:val="none"/>
                      <w:vertAlign w:val="superscript"/>
                    </w:rPr>
                    <w:t>3</w:t>
                  </w:r>
                </w:p>
              </w:tc>
              <w:tc>
                <w:tcPr>
                  <w:tcW w:w="426" w:type="pct"/>
                  <w:noWrap w:val="0"/>
                  <w:vAlign w:val="center"/>
                </w:tcPr>
                <w:p w14:paraId="59563006">
                  <w:pPr>
                    <w:jc w:val="center"/>
                    <w:rPr>
                      <w:rFonts w:ascii="Times New Roman" w:hAnsi="Times New Roman"/>
                      <w:color w:val="auto"/>
                      <w:sz w:val="18"/>
                      <w:szCs w:val="18"/>
                      <w:highlight w:val="none"/>
                    </w:rPr>
                  </w:pPr>
                  <w:r>
                    <w:rPr>
                      <w:rFonts w:ascii="Times New Roman" w:hAnsi="Times New Roman"/>
                      <w:color w:val="auto"/>
                      <w:sz w:val="18"/>
                      <w:szCs w:val="18"/>
                      <w:highlight w:val="none"/>
                    </w:rPr>
                    <w:t>浓度</w:t>
                  </w:r>
                </w:p>
                <w:p w14:paraId="3ECCE488">
                  <w:pPr>
                    <w:jc w:val="center"/>
                    <w:rPr>
                      <w:rFonts w:ascii="Times New Roman" w:hAnsi="Times New Roman"/>
                      <w:color w:val="auto"/>
                      <w:sz w:val="18"/>
                      <w:szCs w:val="18"/>
                      <w:highlight w:val="none"/>
                    </w:rPr>
                  </w:pPr>
                  <w:r>
                    <w:rPr>
                      <w:rFonts w:ascii="Times New Roman" w:hAnsi="Times New Roman"/>
                      <w:color w:val="auto"/>
                      <w:sz w:val="18"/>
                      <w:szCs w:val="18"/>
                      <w:highlight w:val="none"/>
                    </w:rPr>
                    <w:t>mg/m</w:t>
                  </w:r>
                  <w:r>
                    <w:rPr>
                      <w:rFonts w:ascii="Times New Roman" w:hAnsi="Times New Roman"/>
                      <w:color w:val="auto"/>
                      <w:sz w:val="18"/>
                      <w:szCs w:val="18"/>
                      <w:highlight w:val="none"/>
                      <w:vertAlign w:val="superscript"/>
                    </w:rPr>
                    <w:t>3</w:t>
                  </w:r>
                </w:p>
              </w:tc>
              <w:tc>
                <w:tcPr>
                  <w:tcW w:w="243" w:type="pct"/>
                  <w:vMerge w:val="continue"/>
                  <w:noWrap w:val="0"/>
                  <w:vAlign w:val="center"/>
                </w:tcPr>
                <w:p w14:paraId="3BEF65DB">
                  <w:pPr>
                    <w:widowControl/>
                    <w:jc w:val="center"/>
                    <w:rPr>
                      <w:rFonts w:ascii="Times New Roman" w:hAnsi="Times New Roman"/>
                      <w:color w:val="auto"/>
                      <w:sz w:val="18"/>
                      <w:szCs w:val="18"/>
                      <w:highlight w:val="none"/>
                    </w:rPr>
                  </w:pPr>
                </w:p>
              </w:tc>
            </w:tr>
            <w:tr w14:paraId="1E6433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17" w:type="pct"/>
                  <w:noWrap w:val="0"/>
                  <w:vAlign w:val="center"/>
                </w:tcPr>
                <w:p w14:paraId="0D228AFB">
                  <w:pPr>
                    <w:jc w:val="center"/>
                    <w:rPr>
                      <w:rFonts w:hint="default" w:ascii="Times New Roman" w:hAnsi="Times New Roman" w:eastAsia="宋体"/>
                      <w:color w:val="auto"/>
                      <w:sz w:val="18"/>
                      <w:szCs w:val="18"/>
                      <w:highlight w:val="none"/>
                      <w:lang w:val="en-US" w:eastAsia="zh-CN"/>
                    </w:rPr>
                  </w:pPr>
                  <w:r>
                    <w:rPr>
                      <w:rFonts w:hint="eastAsia" w:ascii="Times New Roman" w:hAnsi="Times New Roman" w:eastAsia="宋体"/>
                      <w:color w:val="auto"/>
                      <w:sz w:val="18"/>
                      <w:szCs w:val="18"/>
                      <w:highlight w:val="none"/>
                      <w:lang w:val="en-US" w:eastAsia="zh-CN"/>
                    </w:rPr>
                    <w:t>DA005</w:t>
                  </w:r>
                </w:p>
              </w:tc>
              <w:tc>
                <w:tcPr>
                  <w:tcW w:w="353" w:type="pct"/>
                  <w:noWrap w:val="0"/>
                  <w:vAlign w:val="center"/>
                </w:tcPr>
                <w:p w14:paraId="61E102E8">
                  <w:pPr>
                    <w:jc w:val="center"/>
                    <w:rPr>
                      <w:rFonts w:hint="default" w:ascii="Times New Roman" w:hAnsi="Times New Roman" w:eastAsia="宋体"/>
                      <w:color w:val="auto"/>
                      <w:sz w:val="18"/>
                      <w:szCs w:val="18"/>
                      <w:highlight w:val="none"/>
                      <w:lang w:val="en-US" w:eastAsia="zh-CN"/>
                    </w:rPr>
                  </w:pPr>
                  <w:r>
                    <w:rPr>
                      <w:rFonts w:hint="eastAsia" w:ascii="Times New Roman" w:hAnsi="Times New Roman"/>
                      <w:color w:val="auto"/>
                      <w:sz w:val="18"/>
                      <w:szCs w:val="18"/>
                      <w:highlight w:val="none"/>
                      <w:lang w:val="en-US" w:eastAsia="zh-CN"/>
                    </w:rPr>
                    <w:t>油雾</w:t>
                  </w:r>
                </w:p>
              </w:tc>
              <w:tc>
                <w:tcPr>
                  <w:tcW w:w="474" w:type="pct"/>
                  <w:noWrap w:val="0"/>
                  <w:vAlign w:val="center"/>
                </w:tcPr>
                <w:p w14:paraId="53E6253B">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180000</w:t>
                  </w:r>
                </w:p>
              </w:tc>
              <w:tc>
                <w:tcPr>
                  <w:tcW w:w="436" w:type="pct"/>
                  <w:noWrap w:val="0"/>
                  <w:vAlign w:val="center"/>
                </w:tcPr>
                <w:p w14:paraId="556ED465">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14.74</w:t>
                  </w:r>
                </w:p>
              </w:tc>
              <w:tc>
                <w:tcPr>
                  <w:tcW w:w="491" w:type="pct"/>
                  <w:noWrap w:val="0"/>
                  <w:vAlign w:val="center"/>
                </w:tcPr>
                <w:p w14:paraId="2949D434">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2.1</w:t>
                  </w:r>
                </w:p>
              </w:tc>
              <w:tc>
                <w:tcPr>
                  <w:tcW w:w="556" w:type="pct"/>
                  <w:noWrap w:val="0"/>
                  <w:vAlign w:val="center"/>
                </w:tcPr>
                <w:p w14:paraId="6E912A9F">
                  <w:pPr>
                    <w:jc w:val="center"/>
                    <w:rPr>
                      <w:rFonts w:hint="eastAsia" w:ascii="Times New Roman" w:hAnsi="Times New Roman" w:eastAsia="宋体"/>
                      <w:color w:val="auto"/>
                      <w:sz w:val="18"/>
                      <w:szCs w:val="18"/>
                      <w:highlight w:val="none"/>
                      <w:lang w:eastAsia="zh-CN"/>
                    </w:rPr>
                  </w:pPr>
                  <w:r>
                    <w:rPr>
                      <w:rFonts w:hint="eastAsia"/>
                      <w:color w:val="auto"/>
                      <w:sz w:val="18"/>
                      <w:szCs w:val="18"/>
                      <w:highlight w:val="none"/>
                      <w:lang w:val="en-US" w:eastAsia="zh-CN"/>
                    </w:rPr>
                    <w:t>集气罩（95%）+</w:t>
                  </w:r>
                  <w:r>
                    <w:rPr>
                      <w:rFonts w:hint="eastAsia" w:ascii="Times New Roman" w:hAnsi="Times New Roman"/>
                      <w:color w:val="auto"/>
                      <w:sz w:val="18"/>
                      <w:szCs w:val="18"/>
                      <w:highlight w:val="none"/>
                      <w:lang w:val="en-US" w:eastAsia="zh-CN"/>
                    </w:rPr>
                    <w:t>油雾净化器</w:t>
                  </w:r>
                </w:p>
              </w:tc>
              <w:tc>
                <w:tcPr>
                  <w:tcW w:w="256" w:type="pct"/>
                  <w:noWrap w:val="0"/>
                  <w:vAlign w:val="center"/>
                </w:tcPr>
                <w:p w14:paraId="11E90585">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90</w:t>
                  </w:r>
                </w:p>
              </w:tc>
              <w:tc>
                <w:tcPr>
                  <w:tcW w:w="381" w:type="pct"/>
                  <w:noWrap w:val="0"/>
                  <w:vAlign w:val="center"/>
                </w:tcPr>
                <w:p w14:paraId="01FE8407">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1.4</w:t>
                  </w:r>
                </w:p>
              </w:tc>
              <w:tc>
                <w:tcPr>
                  <w:tcW w:w="436" w:type="pct"/>
                  <w:noWrap w:val="0"/>
                  <w:vAlign w:val="center"/>
                </w:tcPr>
                <w:p w14:paraId="2F938B69">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0.2</w:t>
                  </w:r>
                </w:p>
              </w:tc>
              <w:tc>
                <w:tcPr>
                  <w:tcW w:w="427" w:type="pct"/>
                  <w:noWrap w:val="0"/>
                  <w:vAlign w:val="center"/>
                </w:tcPr>
                <w:p w14:paraId="2BC34B06">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1.11</w:t>
                  </w:r>
                </w:p>
              </w:tc>
              <w:tc>
                <w:tcPr>
                  <w:tcW w:w="426" w:type="pct"/>
                  <w:noWrap w:val="0"/>
                  <w:vAlign w:val="center"/>
                </w:tcPr>
                <w:p w14:paraId="477E7DAE">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20</w:t>
                  </w:r>
                </w:p>
              </w:tc>
              <w:tc>
                <w:tcPr>
                  <w:tcW w:w="243" w:type="pct"/>
                  <w:noWrap w:val="0"/>
                  <w:vAlign w:val="center"/>
                </w:tcPr>
                <w:p w14:paraId="2464E4D9">
                  <w:pPr>
                    <w:jc w:val="center"/>
                    <w:rPr>
                      <w:rFonts w:ascii="Times New Roman" w:hAnsi="Times New Roman"/>
                      <w:color w:val="auto"/>
                      <w:sz w:val="18"/>
                      <w:szCs w:val="18"/>
                      <w:highlight w:val="none"/>
                    </w:rPr>
                  </w:pPr>
                  <w:r>
                    <w:rPr>
                      <w:rFonts w:ascii="Times New Roman" w:hAnsi="Times New Roman"/>
                      <w:color w:val="auto"/>
                      <w:sz w:val="18"/>
                      <w:szCs w:val="18"/>
                      <w:highlight w:val="none"/>
                    </w:rPr>
                    <w:t>达标</w:t>
                  </w:r>
                </w:p>
              </w:tc>
            </w:tr>
          </w:tbl>
          <w:p w14:paraId="68F255AF">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default"/>
                <w:color w:val="auto"/>
                <w:sz w:val="21"/>
                <w:szCs w:val="21"/>
                <w:highlight w:val="none"/>
                <w:lang w:val="en-US" w:eastAsia="zh-CN"/>
              </w:rPr>
            </w:pPr>
            <w:r>
              <w:rPr>
                <w:rFonts w:hint="eastAsia"/>
                <w:color w:val="auto"/>
                <w:sz w:val="21"/>
                <w:szCs w:val="21"/>
                <w:highlight w:val="none"/>
                <w:lang w:val="en-US" w:eastAsia="zh-CN"/>
              </w:rPr>
              <w:t>由上表可知，DA005排放的油雾可以满足《轧钢工业大气污染物排放标准》（GB28665-2012）及其修改单表3标准限值要求。</w:t>
            </w:r>
          </w:p>
          <w:p w14:paraId="4C27DC49">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left"/>
              <w:textAlignment w:val="auto"/>
              <w:rPr>
                <w:rFonts w:hint="default"/>
                <w:color w:val="auto"/>
                <w:sz w:val="21"/>
                <w:szCs w:val="21"/>
                <w:highlight w:val="none"/>
                <w:lang w:val="en-US" w:eastAsia="zh-CN"/>
              </w:rPr>
            </w:pPr>
            <w:r>
              <w:rPr>
                <w:rFonts w:hint="eastAsia"/>
                <w:color w:val="auto"/>
                <w:sz w:val="21"/>
                <w:szCs w:val="21"/>
                <w:highlight w:val="none"/>
                <w:lang w:val="en-US" w:eastAsia="zh-CN"/>
              </w:rPr>
              <w:t>④碱雾</w:t>
            </w:r>
          </w:p>
          <w:p w14:paraId="62203A8B">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eastAsia"/>
                <w:bCs/>
                <w:color w:val="auto"/>
                <w:sz w:val="21"/>
                <w:szCs w:val="21"/>
                <w:highlight w:val="none"/>
                <w:vertAlign w:val="baseline"/>
                <w:lang w:val="en-US" w:eastAsia="zh-CN"/>
              </w:rPr>
            </w:pPr>
            <w:r>
              <w:rPr>
                <w:rFonts w:hint="eastAsia"/>
                <w:bCs/>
                <w:color w:val="auto"/>
                <w:sz w:val="21"/>
                <w:szCs w:val="21"/>
                <w:highlight w:val="none"/>
                <w:lang w:val="en-US" w:eastAsia="zh-CN"/>
              </w:rPr>
              <w:t>碱洗及碱洗后水洗工序会产生碱雾，类比《湖南宏旺新材料科技有限公司年产15万吨高磁感取向硅钢及配套铁芯扩建项目竣工环境保护验收监测报告》（2025年3月），DCL碱洗工序废气排放筒数据，其风量为11000m</w:t>
            </w:r>
            <w:r>
              <w:rPr>
                <w:rFonts w:hint="eastAsia"/>
                <w:bCs/>
                <w:color w:val="auto"/>
                <w:sz w:val="21"/>
                <w:szCs w:val="21"/>
                <w:highlight w:val="none"/>
                <w:vertAlign w:val="superscript"/>
                <w:lang w:val="en-US" w:eastAsia="zh-CN"/>
              </w:rPr>
              <w:t>3</w:t>
            </w:r>
            <w:r>
              <w:rPr>
                <w:rFonts w:hint="eastAsia"/>
                <w:bCs/>
                <w:color w:val="auto"/>
                <w:sz w:val="21"/>
                <w:szCs w:val="21"/>
                <w:highlight w:val="none"/>
                <w:lang w:val="en-US" w:eastAsia="zh-CN"/>
              </w:rPr>
              <w:t>/h左右，碱雾排放速率在0.049kg/h</w:t>
            </w:r>
            <w:r>
              <w:rPr>
                <w:rFonts w:hint="eastAsia"/>
                <w:bCs/>
                <w:color w:val="auto"/>
                <w:sz w:val="21"/>
                <w:szCs w:val="21"/>
                <w:highlight w:val="none"/>
                <w:vertAlign w:val="baseline"/>
                <w:lang w:val="en-US" w:eastAsia="zh-CN"/>
              </w:rPr>
              <w:t>~</w:t>
            </w:r>
            <w:r>
              <w:rPr>
                <w:rFonts w:hint="eastAsia"/>
                <w:bCs/>
                <w:color w:val="auto"/>
                <w:sz w:val="21"/>
                <w:szCs w:val="21"/>
                <w:highlight w:val="none"/>
                <w:lang w:val="en-US" w:eastAsia="zh-CN"/>
              </w:rPr>
              <w:t>0.065kg/h，本次保守按照0.065kg/h</w:t>
            </w:r>
            <w:r>
              <w:rPr>
                <w:rFonts w:hint="eastAsia"/>
                <w:bCs/>
                <w:color w:val="auto"/>
                <w:sz w:val="21"/>
                <w:szCs w:val="21"/>
                <w:highlight w:val="none"/>
                <w:vertAlign w:val="baseline"/>
                <w:lang w:val="en-US" w:eastAsia="zh-CN"/>
              </w:rPr>
              <w:t>计算，</w:t>
            </w:r>
            <w:r>
              <w:rPr>
                <w:rFonts w:hint="eastAsia"/>
                <w:bCs/>
                <w:color w:val="auto"/>
                <w:sz w:val="21"/>
                <w:szCs w:val="21"/>
                <w:highlight w:val="none"/>
                <w:lang w:val="en-US" w:eastAsia="zh-CN"/>
              </w:rPr>
              <w:t>本项目设计风量15000m</w:t>
            </w:r>
            <w:r>
              <w:rPr>
                <w:rFonts w:hint="eastAsia"/>
                <w:bCs/>
                <w:color w:val="auto"/>
                <w:sz w:val="21"/>
                <w:szCs w:val="21"/>
                <w:highlight w:val="none"/>
                <w:vertAlign w:val="superscript"/>
                <w:lang w:val="en-US" w:eastAsia="zh-CN"/>
              </w:rPr>
              <w:t>3</w:t>
            </w:r>
            <w:r>
              <w:rPr>
                <w:rFonts w:hint="eastAsia"/>
                <w:bCs/>
                <w:color w:val="auto"/>
                <w:sz w:val="21"/>
                <w:szCs w:val="21"/>
                <w:highlight w:val="none"/>
                <w:lang w:val="en-US" w:eastAsia="zh-CN"/>
              </w:rPr>
              <w:t>/h，排放速率保守折算为按照0.088kg/h</w:t>
            </w:r>
            <w:r>
              <w:rPr>
                <w:rFonts w:hint="eastAsia"/>
                <w:bCs/>
                <w:color w:val="auto"/>
                <w:sz w:val="21"/>
                <w:szCs w:val="21"/>
                <w:highlight w:val="none"/>
                <w:vertAlign w:val="baseline"/>
                <w:lang w:val="en-US" w:eastAsia="zh-CN"/>
              </w:rPr>
              <w:t>计算，碱雾经酸喷淋塔处理后经DA006排气筒排放。</w:t>
            </w:r>
          </w:p>
          <w:p w14:paraId="7FEF914D">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snapToGrid w:val="0"/>
                <w:color w:val="auto"/>
                <w:szCs w:val="21"/>
                <w:highlight w:val="none"/>
                <w:vertAlign w:val="baseline"/>
                <w:lang w:val="en-US" w:eastAsia="zh-CN"/>
              </w:rPr>
            </w:pPr>
            <w:r>
              <w:rPr>
                <w:rFonts w:ascii="Times New Roman" w:hAnsi="Times New Roman" w:eastAsia="黑体"/>
                <w:bCs/>
                <w:color w:val="auto"/>
                <w:spacing w:val="2"/>
                <w:sz w:val="21"/>
                <w:szCs w:val="21"/>
                <w:highlight w:val="none"/>
              </w:rPr>
              <w:t>表4-</w:t>
            </w:r>
            <w:r>
              <w:rPr>
                <w:rFonts w:hint="eastAsia" w:eastAsia="黑体"/>
                <w:bCs/>
                <w:color w:val="auto"/>
                <w:spacing w:val="2"/>
                <w:sz w:val="21"/>
                <w:szCs w:val="21"/>
                <w:highlight w:val="none"/>
                <w:lang w:val="en-US" w:eastAsia="zh-CN"/>
              </w:rPr>
              <w:t xml:space="preserve">8  </w:t>
            </w:r>
            <w:r>
              <w:rPr>
                <w:rFonts w:ascii="Times New Roman" w:hAnsi="Times New Roman" w:eastAsia="黑体"/>
                <w:bCs/>
                <w:color w:val="auto"/>
                <w:spacing w:val="2"/>
                <w:sz w:val="21"/>
                <w:szCs w:val="21"/>
                <w:highlight w:val="none"/>
              </w:rPr>
              <w:t>项目</w:t>
            </w:r>
            <w:r>
              <w:rPr>
                <w:rFonts w:hint="eastAsia" w:ascii="Times New Roman" w:hAnsi="Times New Roman" w:eastAsia="黑体"/>
                <w:bCs/>
                <w:color w:val="auto"/>
                <w:spacing w:val="2"/>
                <w:sz w:val="21"/>
                <w:szCs w:val="21"/>
                <w:highlight w:val="none"/>
                <w:lang w:val="en-US" w:eastAsia="zh-CN"/>
              </w:rPr>
              <w:t>碱雾</w:t>
            </w:r>
            <w:r>
              <w:rPr>
                <w:rFonts w:ascii="Times New Roman" w:hAnsi="Times New Roman" w:eastAsia="黑体"/>
                <w:bCs/>
                <w:color w:val="auto"/>
                <w:spacing w:val="2"/>
                <w:sz w:val="21"/>
                <w:szCs w:val="21"/>
                <w:highlight w:val="none"/>
              </w:rPr>
              <w:t>废气产排情况表</w:t>
            </w:r>
          </w:p>
          <w:tbl>
            <w:tblPr>
              <w:tblStyle w:val="33"/>
              <w:tblW w:w="495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581"/>
              <w:gridCol w:w="780"/>
              <w:gridCol w:w="718"/>
              <w:gridCol w:w="808"/>
              <w:gridCol w:w="915"/>
              <w:gridCol w:w="421"/>
              <w:gridCol w:w="627"/>
              <w:gridCol w:w="718"/>
              <w:gridCol w:w="703"/>
              <w:gridCol w:w="701"/>
              <w:gridCol w:w="400"/>
            </w:tblGrid>
            <w:tr w14:paraId="266B95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517" w:type="pct"/>
                  <w:vMerge w:val="restart"/>
                  <w:noWrap w:val="0"/>
                  <w:vAlign w:val="center"/>
                </w:tcPr>
                <w:p w14:paraId="7F7121A4">
                  <w:pPr>
                    <w:jc w:val="center"/>
                    <w:rPr>
                      <w:rFonts w:ascii="Times New Roman" w:hAnsi="Times New Roman"/>
                      <w:color w:val="auto"/>
                      <w:sz w:val="18"/>
                      <w:szCs w:val="18"/>
                      <w:highlight w:val="none"/>
                    </w:rPr>
                  </w:pPr>
                  <w:r>
                    <w:rPr>
                      <w:rFonts w:ascii="Times New Roman" w:hAnsi="Times New Roman"/>
                      <w:color w:val="auto"/>
                      <w:sz w:val="18"/>
                      <w:szCs w:val="18"/>
                      <w:highlight w:val="none"/>
                    </w:rPr>
                    <w:t>污染源</w:t>
                  </w:r>
                </w:p>
              </w:tc>
              <w:tc>
                <w:tcPr>
                  <w:tcW w:w="353" w:type="pct"/>
                  <w:vMerge w:val="restart"/>
                  <w:noWrap w:val="0"/>
                  <w:vAlign w:val="center"/>
                </w:tcPr>
                <w:p w14:paraId="3AF317B6">
                  <w:pPr>
                    <w:jc w:val="center"/>
                    <w:rPr>
                      <w:rFonts w:ascii="Times New Roman" w:hAnsi="Times New Roman"/>
                      <w:color w:val="auto"/>
                      <w:sz w:val="18"/>
                      <w:szCs w:val="18"/>
                      <w:highlight w:val="none"/>
                    </w:rPr>
                  </w:pPr>
                  <w:r>
                    <w:rPr>
                      <w:rFonts w:ascii="Times New Roman" w:hAnsi="Times New Roman"/>
                      <w:color w:val="auto"/>
                      <w:sz w:val="18"/>
                      <w:szCs w:val="18"/>
                      <w:highlight w:val="none"/>
                    </w:rPr>
                    <w:t>污染物</w:t>
                  </w:r>
                </w:p>
              </w:tc>
              <w:tc>
                <w:tcPr>
                  <w:tcW w:w="474" w:type="pct"/>
                  <w:vMerge w:val="restart"/>
                  <w:noWrap w:val="0"/>
                  <w:vAlign w:val="center"/>
                </w:tcPr>
                <w:p w14:paraId="57D0899A">
                  <w:pPr>
                    <w:jc w:val="center"/>
                    <w:rPr>
                      <w:rFonts w:ascii="Times New Roman" w:hAnsi="Times New Roman"/>
                      <w:color w:val="auto"/>
                      <w:sz w:val="18"/>
                      <w:szCs w:val="18"/>
                      <w:highlight w:val="none"/>
                    </w:rPr>
                  </w:pPr>
                  <w:r>
                    <w:rPr>
                      <w:rFonts w:ascii="Times New Roman" w:hAnsi="Times New Roman"/>
                      <w:color w:val="auto"/>
                      <w:sz w:val="18"/>
                      <w:szCs w:val="18"/>
                      <w:highlight w:val="none"/>
                    </w:rPr>
                    <w:t>废气量m</w:t>
                  </w:r>
                  <w:r>
                    <w:rPr>
                      <w:rFonts w:ascii="Times New Roman" w:hAnsi="Times New Roman"/>
                      <w:color w:val="auto"/>
                      <w:sz w:val="18"/>
                      <w:szCs w:val="18"/>
                      <w:highlight w:val="none"/>
                      <w:vertAlign w:val="superscript"/>
                    </w:rPr>
                    <w:t>3</w:t>
                  </w:r>
                  <w:r>
                    <w:rPr>
                      <w:rFonts w:ascii="Times New Roman" w:hAnsi="Times New Roman"/>
                      <w:color w:val="auto"/>
                      <w:sz w:val="18"/>
                      <w:szCs w:val="18"/>
                      <w:highlight w:val="none"/>
                    </w:rPr>
                    <w:t>/h</w:t>
                  </w:r>
                </w:p>
              </w:tc>
              <w:tc>
                <w:tcPr>
                  <w:tcW w:w="927" w:type="pct"/>
                  <w:gridSpan w:val="2"/>
                  <w:noWrap w:val="0"/>
                  <w:vAlign w:val="center"/>
                </w:tcPr>
                <w:p w14:paraId="3812452E">
                  <w:pPr>
                    <w:jc w:val="center"/>
                    <w:rPr>
                      <w:rFonts w:ascii="Times New Roman" w:hAnsi="Times New Roman"/>
                      <w:color w:val="auto"/>
                      <w:sz w:val="18"/>
                      <w:szCs w:val="18"/>
                      <w:highlight w:val="none"/>
                    </w:rPr>
                  </w:pPr>
                  <w:r>
                    <w:rPr>
                      <w:rFonts w:ascii="Times New Roman" w:hAnsi="Times New Roman"/>
                      <w:color w:val="auto"/>
                      <w:sz w:val="18"/>
                      <w:szCs w:val="18"/>
                      <w:highlight w:val="none"/>
                    </w:rPr>
                    <w:t>产生情况</w:t>
                  </w:r>
                </w:p>
              </w:tc>
              <w:tc>
                <w:tcPr>
                  <w:tcW w:w="556" w:type="pct"/>
                  <w:vMerge w:val="restart"/>
                  <w:noWrap w:val="0"/>
                  <w:vAlign w:val="center"/>
                </w:tcPr>
                <w:p w14:paraId="2EA3FC85">
                  <w:pPr>
                    <w:jc w:val="center"/>
                    <w:rPr>
                      <w:rFonts w:ascii="Times New Roman" w:hAnsi="Times New Roman"/>
                      <w:color w:val="auto"/>
                      <w:sz w:val="18"/>
                      <w:szCs w:val="18"/>
                      <w:highlight w:val="none"/>
                    </w:rPr>
                  </w:pPr>
                  <w:r>
                    <w:rPr>
                      <w:rFonts w:ascii="Times New Roman" w:hAnsi="Times New Roman"/>
                      <w:color w:val="auto"/>
                      <w:sz w:val="18"/>
                      <w:szCs w:val="18"/>
                      <w:highlight w:val="none"/>
                    </w:rPr>
                    <w:t>处理措施</w:t>
                  </w:r>
                </w:p>
              </w:tc>
              <w:tc>
                <w:tcPr>
                  <w:tcW w:w="256" w:type="pct"/>
                  <w:vMerge w:val="restart"/>
                  <w:noWrap w:val="0"/>
                  <w:vAlign w:val="center"/>
                </w:tcPr>
                <w:p w14:paraId="4B87AFDF">
                  <w:pPr>
                    <w:jc w:val="center"/>
                    <w:rPr>
                      <w:rFonts w:ascii="Times New Roman" w:hAnsi="Times New Roman"/>
                      <w:color w:val="auto"/>
                      <w:sz w:val="18"/>
                      <w:szCs w:val="18"/>
                      <w:highlight w:val="none"/>
                    </w:rPr>
                  </w:pPr>
                  <w:r>
                    <w:rPr>
                      <w:rFonts w:ascii="Times New Roman" w:hAnsi="Times New Roman"/>
                      <w:color w:val="auto"/>
                      <w:sz w:val="18"/>
                      <w:szCs w:val="18"/>
                      <w:highlight w:val="none"/>
                    </w:rPr>
                    <w:t>去除效率</w:t>
                  </w:r>
                </w:p>
                <w:p w14:paraId="27A11000">
                  <w:pPr>
                    <w:jc w:val="center"/>
                    <w:rPr>
                      <w:rFonts w:ascii="Times New Roman" w:hAnsi="Times New Roman"/>
                      <w:color w:val="auto"/>
                      <w:sz w:val="18"/>
                      <w:szCs w:val="18"/>
                      <w:highlight w:val="none"/>
                    </w:rPr>
                  </w:pPr>
                  <w:r>
                    <w:rPr>
                      <w:rFonts w:ascii="Times New Roman" w:hAnsi="Times New Roman"/>
                      <w:color w:val="auto"/>
                      <w:sz w:val="18"/>
                      <w:szCs w:val="18"/>
                      <w:highlight w:val="none"/>
                    </w:rPr>
                    <w:t>%</w:t>
                  </w:r>
                </w:p>
              </w:tc>
              <w:tc>
                <w:tcPr>
                  <w:tcW w:w="1244" w:type="pct"/>
                  <w:gridSpan w:val="3"/>
                  <w:noWrap w:val="0"/>
                  <w:vAlign w:val="center"/>
                </w:tcPr>
                <w:p w14:paraId="0A96EAB4">
                  <w:pPr>
                    <w:jc w:val="center"/>
                    <w:rPr>
                      <w:rFonts w:ascii="Times New Roman" w:hAnsi="Times New Roman"/>
                      <w:color w:val="auto"/>
                      <w:sz w:val="18"/>
                      <w:szCs w:val="18"/>
                      <w:highlight w:val="none"/>
                    </w:rPr>
                  </w:pPr>
                  <w:r>
                    <w:rPr>
                      <w:rFonts w:ascii="Times New Roman" w:hAnsi="Times New Roman"/>
                      <w:color w:val="auto"/>
                      <w:sz w:val="18"/>
                      <w:szCs w:val="18"/>
                      <w:highlight w:val="none"/>
                    </w:rPr>
                    <w:t>排放情况</w:t>
                  </w:r>
                </w:p>
              </w:tc>
              <w:tc>
                <w:tcPr>
                  <w:tcW w:w="426" w:type="pct"/>
                  <w:noWrap w:val="0"/>
                  <w:vAlign w:val="center"/>
                </w:tcPr>
                <w:p w14:paraId="28CF66A4">
                  <w:pPr>
                    <w:jc w:val="center"/>
                    <w:rPr>
                      <w:rFonts w:hint="eastAsia"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排放标准</w:t>
                  </w:r>
                </w:p>
              </w:tc>
              <w:tc>
                <w:tcPr>
                  <w:tcW w:w="243" w:type="pct"/>
                  <w:vMerge w:val="restart"/>
                  <w:noWrap w:val="0"/>
                  <w:vAlign w:val="center"/>
                </w:tcPr>
                <w:p w14:paraId="1B81B5D5">
                  <w:pPr>
                    <w:jc w:val="center"/>
                    <w:rPr>
                      <w:rFonts w:ascii="Times New Roman" w:hAnsi="Times New Roman"/>
                      <w:color w:val="auto"/>
                      <w:sz w:val="18"/>
                      <w:szCs w:val="18"/>
                      <w:highlight w:val="none"/>
                    </w:rPr>
                  </w:pPr>
                  <w:r>
                    <w:rPr>
                      <w:rFonts w:ascii="Times New Roman" w:hAnsi="Times New Roman"/>
                      <w:color w:val="auto"/>
                      <w:sz w:val="18"/>
                      <w:szCs w:val="18"/>
                      <w:highlight w:val="none"/>
                    </w:rPr>
                    <w:t>达标情况</w:t>
                  </w:r>
                </w:p>
              </w:tc>
            </w:tr>
            <w:tr w14:paraId="757442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17" w:type="pct"/>
                  <w:vMerge w:val="continue"/>
                  <w:noWrap w:val="0"/>
                  <w:vAlign w:val="center"/>
                </w:tcPr>
                <w:p w14:paraId="07293260">
                  <w:pPr>
                    <w:widowControl/>
                    <w:jc w:val="center"/>
                    <w:rPr>
                      <w:rFonts w:ascii="Times New Roman" w:hAnsi="Times New Roman"/>
                      <w:color w:val="auto"/>
                      <w:sz w:val="18"/>
                      <w:szCs w:val="18"/>
                      <w:highlight w:val="none"/>
                    </w:rPr>
                  </w:pPr>
                </w:p>
              </w:tc>
              <w:tc>
                <w:tcPr>
                  <w:tcW w:w="353" w:type="pct"/>
                  <w:vMerge w:val="continue"/>
                  <w:noWrap w:val="0"/>
                  <w:vAlign w:val="center"/>
                </w:tcPr>
                <w:p w14:paraId="18D433B8">
                  <w:pPr>
                    <w:widowControl/>
                    <w:jc w:val="center"/>
                    <w:rPr>
                      <w:rFonts w:ascii="Times New Roman" w:hAnsi="Times New Roman"/>
                      <w:color w:val="auto"/>
                      <w:sz w:val="18"/>
                      <w:szCs w:val="18"/>
                      <w:highlight w:val="none"/>
                    </w:rPr>
                  </w:pPr>
                </w:p>
              </w:tc>
              <w:tc>
                <w:tcPr>
                  <w:tcW w:w="474" w:type="pct"/>
                  <w:vMerge w:val="continue"/>
                  <w:noWrap w:val="0"/>
                  <w:vAlign w:val="center"/>
                </w:tcPr>
                <w:p w14:paraId="096A5CFC">
                  <w:pPr>
                    <w:widowControl/>
                    <w:jc w:val="center"/>
                    <w:rPr>
                      <w:rFonts w:ascii="Times New Roman" w:hAnsi="Times New Roman"/>
                      <w:color w:val="auto"/>
                      <w:sz w:val="18"/>
                      <w:szCs w:val="18"/>
                      <w:highlight w:val="none"/>
                    </w:rPr>
                  </w:pPr>
                </w:p>
              </w:tc>
              <w:tc>
                <w:tcPr>
                  <w:tcW w:w="436" w:type="pct"/>
                  <w:noWrap w:val="0"/>
                  <w:vAlign w:val="center"/>
                </w:tcPr>
                <w:p w14:paraId="7883FE39">
                  <w:pPr>
                    <w:jc w:val="center"/>
                    <w:rPr>
                      <w:rFonts w:ascii="Times New Roman" w:hAnsi="Times New Roman"/>
                      <w:color w:val="auto"/>
                      <w:sz w:val="18"/>
                      <w:szCs w:val="18"/>
                      <w:highlight w:val="none"/>
                    </w:rPr>
                  </w:pPr>
                  <w:r>
                    <w:rPr>
                      <w:rFonts w:ascii="Times New Roman" w:hAnsi="Times New Roman"/>
                      <w:color w:val="auto"/>
                      <w:sz w:val="18"/>
                      <w:szCs w:val="18"/>
                      <w:highlight w:val="none"/>
                    </w:rPr>
                    <w:t>产生量t/a</w:t>
                  </w:r>
                </w:p>
              </w:tc>
              <w:tc>
                <w:tcPr>
                  <w:tcW w:w="491" w:type="pct"/>
                  <w:noWrap w:val="0"/>
                  <w:vAlign w:val="center"/>
                </w:tcPr>
                <w:p w14:paraId="213C28F4">
                  <w:pPr>
                    <w:jc w:val="center"/>
                    <w:rPr>
                      <w:rFonts w:hint="eastAsia" w:ascii="Times New Roman" w:hAnsi="Times New Roman"/>
                      <w:color w:val="auto"/>
                      <w:sz w:val="18"/>
                      <w:szCs w:val="18"/>
                      <w:highlight w:val="none"/>
                    </w:rPr>
                  </w:pPr>
                  <w:r>
                    <w:rPr>
                      <w:rFonts w:hint="eastAsia" w:ascii="Times New Roman" w:hAnsi="Times New Roman"/>
                      <w:color w:val="auto"/>
                      <w:sz w:val="18"/>
                      <w:szCs w:val="18"/>
                      <w:highlight w:val="none"/>
                    </w:rPr>
                    <w:t>产生速率</w:t>
                  </w:r>
                </w:p>
                <w:p w14:paraId="0FCBB56B">
                  <w:pPr>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kg/h</w:t>
                  </w:r>
                </w:p>
              </w:tc>
              <w:tc>
                <w:tcPr>
                  <w:tcW w:w="556" w:type="pct"/>
                  <w:vMerge w:val="continue"/>
                  <w:noWrap w:val="0"/>
                  <w:vAlign w:val="center"/>
                </w:tcPr>
                <w:p w14:paraId="584B8579">
                  <w:pPr>
                    <w:widowControl/>
                    <w:jc w:val="center"/>
                    <w:rPr>
                      <w:rFonts w:ascii="Times New Roman" w:hAnsi="Times New Roman"/>
                      <w:color w:val="auto"/>
                      <w:sz w:val="18"/>
                      <w:szCs w:val="18"/>
                      <w:highlight w:val="none"/>
                    </w:rPr>
                  </w:pPr>
                </w:p>
              </w:tc>
              <w:tc>
                <w:tcPr>
                  <w:tcW w:w="256" w:type="pct"/>
                  <w:vMerge w:val="continue"/>
                  <w:noWrap w:val="0"/>
                  <w:vAlign w:val="center"/>
                </w:tcPr>
                <w:p w14:paraId="28271789">
                  <w:pPr>
                    <w:widowControl/>
                    <w:jc w:val="center"/>
                    <w:rPr>
                      <w:rFonts w:ascii="Times New Roman" w:hAnsi="Times New Roman"/>
                      <w:color w:val="auto"/>
                      <w:sz w:val="18"/>
                      <w:szCs w:val="18"/>
                      <w:highlight w:val="none"/>
                    </w:rPr>
                  </w:pPr>
                </w:p>
              </w:tc>
              <w:tc>
                <w:tcPr>
                  <w:tcW w:w="381" w:type="pct"/>
                  <w:noWrap w:val="0"/>
                  <w:vAlign w:val="center"/>
                </w:tcPr>
                <w:p w14:paraId="371E9BAD">
                  <w:pPr>
                    <w:jc w:val="center"/>
                    <w:rPr>
                      <w:rFonts w:ascii="Times New Roman" w:hAnsi="Times New Roman"/>
                      <w:color w:val="auto"/>
                      <w:sz w:val="18"/>
                      <w:szCs w:val="18"/>
                      <w:highlight w:val="none"/>
                    </w:rPr>
                  </w:pPr>
                  <w:r>
                    <w:rPr>
                      <w:rFonts w:ascii="Times New Roman" w:hAnsi="Times New Roman"/>
                      <w:color w:val="auto"/>
                      <w:sz w:val="18"/>
                      <w:szCs w:val="18"/>
                      <w:highlight w:val="none"/>
                    </w:rPr>
                    <w:t>排放量</w:t>
                  </w:r>
                </w:p>
                <w:p w14:paraId="6783DC03">
                  <w:pPr>
                    <w:jc w:val="center"/>
                    <w:rPr>
                      <w:rFonts w:ascii="Times New Roman" w:hAnsi="Times New Roman"/>
                      <w:color w:val="auto"/>
                      <w:sz w:val="18"/>
                      <w:szCs w:val="18"/>
                      <w:highlight w:val="none"/>
                    </w:rPr>
                  </w:pPr>
                  <w:r>
                    <w:rPr>
                      <w:rFonts w:ascii="Times New Roman" w:hAnsi="Times New Roman"/>
                      <w:color w:val="auto"/>
                      <w:sz w:val="18"/>
                      <w:szCs w:val="18"/>
                      <w:highlight w:val="none"/>
                    </w:rPr>
                    <w:t>t/a</w:t>
                  </w:r>
                </w:p>
              </w:tc>
              <w:tc>
                <w:tcPr>
                  <w:tcW w:w="436" w:type="pct"/>
                  <w:noWrap w:val="0"/>
                  <w:vAlign w:val="center"/>
                </w:tcPr>
                <w:p w14:paraId="4E81EB1B">
                  <w:pPr>
                    <w:jc w:val="center"/>
                    <w:rPr>
                      <w:rFonts w:ascii="Times New Roman" w:hAnsi="Times New Roman"/>
                      <w:color w:val="auto"/>
                      <w:sz w:val="18"/>
                      <w:szCs w:val="18"/>
                      <w:highlight w:val="none"/>
                    </w:rPr>
                  </w:pPr>
                  <w:r>
                    <w:rPr>
                      <w:rFonts w:ascii="Times New Roman" w:hAnsi="Times New Roman"/>
                      <w:color w:val="auto"/>
                      <w:sz w:val="18"/>
                      <w:szCs w:val="18"/>
                      <w:highlight w:val="none"/>
                    </w:rPr>
                    <w:t>排放速率kg/h</w:t>
                  </w:r>
                </w:p>
              </w:tc>
              <w:tc>
                <w:tcPr>
                  <w:tcW w:w="427" w:type="pct"/>
                  <w:noWrap w:val="0"/>
                  <w:vAlign w:val="center"/>
                </w:tcPr>
                <w:p w14:paraId="6D3FFDBA">
                  <w:pPr>
                    <w:jc w:val="center"/>
                    <w:rPr>
                      <w:rFonts w:ascii="Times New Roman" w:hAnsi="Times New Roman"/>
                      <w:color w:val="auto"/>
                      <w:sz w:val="18"/>
                      <w:szCs w:val="18"/>
                      <w:highlight w:val="none"/>
                    </w:rPr>
                  </w:pPr>
                  <w:r>
                    <w:rPr>
                      <w:rFonts w:ascii="Times New Roman" w:hAnsi="Times New Roman"/>
                      <w:color w:val="auto"/>
                      <w:sz w:val="18"/>
                      <w:szCs w:val="18"/>
                      <w:highlight w:val="none"/>
                    </w:rPr>
                    <w:t>浓度</w:t>
                  </w:r>
                </w:p>
                <w:p w14:paraId="4CE9E58D">
                  <w:pPr>
                    <w:jc w:val="center"/>
                    <w:rPr>
                      <w:rFonts w:ascii="Times New Roman" w:hAnsi="Times New Roman"/>
                      <w:color w:val="auto"/>
                      <w:sz w:val="18"/>
                      <w:szCs w:val="18"/>
                      <w:highlight w:val="none"/>
                    </w:rPr>
                  </w:pPr>
                  <w:r>
                    <w:rPr>
                      <w:rFonts w:ascii="Times New Roman" w:hAnsi="Times New Roman"/>
                      <w:color w:val="auto"/>
                      <w:sz w:val="18"/>
                      <w:szCs w:val="18"/>
                      <w:highlight w:val="none"/>
                    </w:rPr>
                    <w:t>mg/m</w:t>
                  </w:r>
                  <w:r>
                    <w:rPr>
                      <w:rFonts w:ascii="Times New Roman" w:hAnsi="Times New Roman"/>
                      <w:color w:val="auto"/>
                      <w:sz w:val="18"/>
                      <w:szCs w:val="18"/>
                      <w:highlight w:val="none"/>
                      <w:vertAlign w:val="superscript"/>
                    </w:rPr>
                    <w:t>3</w:t>
                  </w:r>
                </w:p>
              </w:tc>
              <w:tc>
                <w:tcPr>
                  <w:tcW w:w="426" w:type="pct"/>
                  <w:noWrap w:val="0"/>
                  <w:vAlign w:val="center"/>
                </w:tcPr>
                <w:p w14:paraId="765DDDA4">
                  <w:pPr>
                    <w:jc w:val="center"/>
                    <w:rPr>
                      <w:rFonts w:ascii="Times New Roman" w:hAnsi="Times New Roman"/>
                      <w:color w:val="auto"/>
                      <w:sz w:val="18"/>
                      <w:szCs w:val="18"/>
                      <w:highlight w:val="none"/>
                    </w:rPr>
                  </w:pPr>
                  <w:r>
                    <w:rPr>
                      <w:rFonts w:ascii="Times New Roman" w:hAnsi="Times New Roman"/>
                      <w:color w:val="auto"/>
                      <w:sz w:val="18"/>
                      <w:szCs w:val="18"/>
                      <w:highlight w:val="none"/>
                    </w:rPr>
                    <w:t>浓度</w:t>
                  </w:r>
                </w:p>
                <w:p w14:paraId="007DF0EF">
                  <w:pPr>
                    <w:jc w:val="center"/>
                    <w:rPr>
                      <w:rFonts w:ascii="Times New Roman" w:hAnsi="Times New Roman"/>
                      <w:color w:val="auto"/>
                      <w:sz w:val="18"/>
                      <w:szCs w:val="18"/>
                      <w:highlight w:val="none"/>
                    </w:rPr>
                  </w:pPr>
                  <w:r>
                    <w:rPr>
                      <w:rFonts w:ascii="Times New Roman" w:hAnsi="Times New Roman"/>
                      <w:color w:val="auto"/>
                      <w:sz w:val="18"/>
                      <w:szCs w:val="18"/>
                      <w:highlight w:val="none"/>
                    </w:rPr>
                    <w:t>mg/m</w:t>
                  </w:r>
                  <w:r>
                    <w:rPr>
                      <w:rFonts w:ascii="Times New Roman" w:hAnsi="Times New Roman"/>
                      <w:color w:val="auto"/>
                      <w:sz w:val="18"/>
                      <w:szCs w:val="18"/>
                      <w:highlight w:val="none"/>
                      <w:vertAlign w:val="superscript"/>
                    </w:rPr>
                    <w:t>3</w:t>
                  </w:r>
                </w:p>
              </w:tc>
              <w:tc>
                <w:tcPr>
                  <w:tcW w:w="243" w:type="pct"/>
                  <w:vMerge w:val="continue"/>
                  <w:noWrap w:val="0"/>
                  <w:vAlign w:val="center"/>
                </w:tcPr>
                <w:p w14:paraId="49E802E8">
                  <w:pPr>
                    <w:widowControl/>
                    <w:jc w:val="center"/>
                    <w:rPr>
                      <w:rFonts w:ascii="Times New Roman" w:hAnsi="Times New Roman"/>
                      <w:color w:val="auto"/>
                      <w:sz w:val="18"/>
                      <w:szCs w:val="18"/>
                      <w:highlight w:val="none"/>
                    </w:rPr>
                  </w:pPr>
                </w:p>
              </w:tc>
            </w:tr>
            <w:tr w14:paraId="6C695A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17" w:type="pct"/>
                  <w:noWrap w:val="0"/>
                  <w:vAlign w:val="center"/>
                </w:tcPr>
                <w:p w14:paraId="2BD3F875">
                  <w:pPr>
                    <w:jc w:val="center"/>
                    <w:rPr>
                      <w:rFonts w:hint="default" w:ascii="Times New Roman" w:hAnsi="Times New Roman" w:eastAsia="宋体"/>
                      <w:color w:val="auto"/>
                      <w:sz w:val="18"/>
                      <w:szCs w:val="18"/>
                      <w:highlight w:val="none"/>
                      <w:lang w:val="en-US" w:eastAsia="zh-CN"/>
                    </w:rPr>
                  </w:pPr>
                  <w:r>
                    <w:rPr>
                      <w:rFonts w:hint="eastAsia" w:ascii="Times New Roman" w:hAnsi="Times New Roman" w:eastAsia="宋体"/>
                      <w:color w:val="auto"/>
                      <w:sz w:val="18"/>
                      <w:szCs w:val="18"/>
                      <w:highlight w:val="none"/>
                      <w:lang w:val="en-US" w:eastAsia="zh-CN"/>
                    </w:rPr>
                    <w:t>DA006</w:t>
                  </w:r>
                </w:p>
              </w:tc>
              <w:tc>
                <w:tcPr>
                  <w:tcW w:w="353" w:type="pct"/>
                  <w:noWrap w:val="0"/>
                  <w:vAlign w:val="center"/>
                </w:tcPr>
                <w:p w14:paraId="052FE82E">
                  <w:pPr>
                    <w:jc w:val="center"/>
                    <w:rPr>
                      <w:rFonts w:hint="default" w:ascii="Times New Roman" w:hAnsi="Times New Roman" w:eastAsia="宋体"/>
                      <w:color w:val="auto"/>
                      <w:sz w:val="18"/>
                      <w:szCs w:val="18"/>
                      <w:highlight w:val="none"/>
                      <w:lang w:val="en-US" w:eastAsia="zh-CN"/>
                    </w:rPr>
                  </w:pPr>
                  <w:r>
                    <w:rPr>
                      <w:rFonts w:hint="eastAsia" w:ascii="Times New Roman" w:hAnsi="Times New Roman"/>
                      <w:color w:val="auto"/>
                      <w:sz w:val="18"/>
                      <w:szCs w:val="18"/>
                      <w:highlight w:val="none"/>
                      <w:lang w:val="en-US" w:eastAsia="zh-CN"/>
                    </w:rPr>
                    <w:t>碱雾</w:t>
                  </w:r>
                </w:p>
              </w:tc>
              <w:tc>
                <w:tcPr>
                  <w:tcW w:w="474" w:type="pct"/>
                  <w:noWrap w:val="0"/>
                  <w:vAlign w:val="center"/>
                </w:tcPr>
                <w:p w14:paraId="5BA6FF46">
                  <w:pPr>
                    <w:jc w:val="center"/>
                    <w:rPr>
                      <w:rFonts w:hint="default" w:ascii="Times New Roman" w:hAnsi="Times New Roman" w:eastAsia="宋体"/>
                      <w:color w:val="auto"/>
                      <w:sz w:val="18"/>
                      <w:szCs w:val="18"/>
                      <w:highlight w:val="none"/>
                      <w:lang w:val="en-US" w:eastAsia="zh-CN"/>
                    </w:rPr>
                  </w:pPr>
                  <w:r>
                    <w:rPr>
                      <w:rFonts w:hint="eastAsia" w:ascii="Times New Roman" w:hAnsi="Times New Roman" w:eastAsia="宋体"/>
                      <w:color w:val="auto"/>
                      <w:sz w:val="18"/>
                      <w:szCs w:val="18"/>
                      <w:highlight w:val="none"/>
                      <w:lang w:val="en-US" w:eastAsia="zh-CN"/>
                    </w:rPr>
                    <w:t>15000</w:t>
                  </w:r>
                </w:p>
              </w:tc>
              <w:tc>
                <w:tcPr>
                  <w:tcW w:w="436" w:type="pct"/>
                  <w:noWrap w:val="0"/>
                  <w:vAlign w:val="center"/>
                </w:tcPr>
                <w:p w14:paraId="12973065">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13.05</w:t>
                  </w:r>
                </w:p>
              </w:tc>
              <w:tc>
                <w:tcPr>
                  <w:tcW w:w="491" w:type="pct"/>
                  <w:noWrap w:val="0"/>
                  <w:vAlign w:val="center"/>
                </w:tcPr>
                <w:p w14:paraId="58669D4A">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1.86</w:t>
                  </w:r>
                </w:p>
              </w:tc>
              <w:tc>
                <w:tcPr>
                  <w:tcW w:w="556" w:type="pct"/>
                  <w:noWrap w:val="0"/>
                  <w:vAlign w:val="center"/>
                </w:tcPr>
                <w:p w14:paraId="79CA34DA">
                  <w:pPr>
                    <w:jc w:val="center"/>
                    <w:rPr>
                      <w:rFonts w:hint="eastAsia" w:ascii="Times New Roman" w:hAnsi="Times New Roman" w:eastAsia="宋体"/>
                      <w:color w:val="auto"/>
                      <w:sz w:val="18"/>
                      <w:szCs w:val="18"/>
                      <w:highlight w:val="none"/>
                      <w:lang w:eastAsia="zh-CN"/>
                    </w:rPr>
                  </w:pPr>
                  <w:r>
                    <w:rPr>
                      <w:rFonts w:hint="eastAsia"/>
                      <w:color w:val="auto"/>
                      <w:sz w:val="18"/>
                      <w:szCs w:val="18"/>
                      <w:highlight w:val="none"/>
                      <w:lang w:val="en-US" w:eastAsia="zh-CN"/>
                    </w:rPr>
                    <w:t>集气罩（95%）+</w:t>
                  </w:r>
                  <w:r>
                    <w:rPr>
                      <w:rFonts w:hint="eastAsia" w:ascii="Times New Roman" w:hAnsi="Times New Roman"/>
                      <w:color w:val="auto"/>
                      <w:sz w:val="18"/>
                      <w:szCs w:val="18"/>
                      <w:highlight w:val="none"/>
                      <w:lang w:val="en-US" w:eastAsia="zh-CN"/>
                    </w:rPr>
                    <w:t>酸喷淋塔</w:t>
                  </w:r>
                </w:p>
              </w:tc>
              <w:tc>
                <w:tcPr>
                  <w:tcW w:w="256" w:type="pct"/>
                  <w:noWrap w:val="0"/>
                  <w:vAlign w:val="center"/>
                </w:tcPr>
                <w:p w14:paraId="387D0B46">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95</w:t>
                  </w:r>
                </w:p>
              </w:tc>
              <w:tc>
                <w:tcPr>
                  <w:tcW w:w="381" w:type="pct"/>
                  <w:noWrap w:val="0"/>
                  <w:vAlign w:val="center"/>
                </w:tcPr>
                <w:p w14:paraId="3D6C293F">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0.62</w:t>
                  </w:r>
                </w:p>
              </w:tc>
              <w:tc>
                <w:tcPr>
                  <w:tcW w:w="436" w:type="pct"/>
                  <w:noWrap w:val="0"/>
                  <w:vAlign w:val="center"/>
                </w:tcPr>
                <w:p w14:paraId="44B12DF7">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eastAsia" w:ascii="Times New Roman" w:hAnsi="Times New Roman" w:eastAsia="宋体"/>
                      <w:color w:val="auto"/>
                      <w:sz w:val="18"/>
                      <w:szCs w:val="18"/>
                      <w:highlight w:val="none"/>
                      <w:lang w:val="en-US" w:eastAsia="zh-CN"/>
                    </w:rPr>
                    <w:t>0.0</w:t>
                  </w:r>
                  <w:r>
                    <w:rPr>
                      <w:rFonts w:hint="eastAsia"/>
                      <w:color w:val="auto"/>
                      <w:sz w:val="18"/>
                      <w:szCs w:val="18"/>
                      <w:highlight w:val="none"/>
                      <w:lang w:val="en-US" w:eastAsia="zh-CN"/>
                    </w:rPr>
                    <w:t>88</w:t>
                  </w:r>
                </w:p>
              </w:tc>
              <w:tc>
                <w:tcPr>
                  <w:tcW w:w="427" w:type="pct"/>
                  <w:noWrap w:val="0"/>
                  <w:vAlign w:val="center"/>
                </w:tcPr>
                <w:p w14:paraId="204559C0">
                  <w:pPr>
                    <w:keepNext w:val="0"/>
                    <w:keepLines w:val="0"/>
                    <w:widowControl/>
                    <w:suppressLineNumbers w:val="0"/>
                    <w:jc w:val="center"/>
                    <w:textAlignment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5.87</w:t>
                  </w:r>
                </w:p>
              </w:tc>
              <w:tc>
                <w:tcPr>
                  <w:tcW w:w="426" w:type="pct"/>
                  <w:noWrap w:val="0"/>
                  <w:vAlign w:val="center"/>
                </w:tcPr>
                <w:p w14:paraId="715A90C3">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10</w:t>
                  </w:r>
                </w:p>
              </w:tc>
              <w:tc>
                <w:tcPr>
                  <w:tcW w:w="243" w:type="pct"/>
                  <w:noWrap w:val="0"/>
                  <w:vAlign w:val="center"/>
                </w:tcPr>
                <w:p w14:paraId="7998B10F">
                  <w:pPr>
                    <w:jc w:val="center"/>
                    <w:rPr>
                      <w:rFonts w:ascii="Times New Roman" w:hAnsi="Times New Roman"/>
                      <w:color w:val="auto"/>
                      <w:sz w:val="18"/>
                      <w:szCs w:val="18"/>
                      <w:highlight w:val="none"/>
                    </w:rPr>
                  </w:pPr>
                  <w:r>
                    <w:rPr>
                      <w:rFonts w:ascii="Times New Roman" w:hAnsi="Times New Roman"/>
                      <w:color w:val="auto"/>
                      <w:sz w:val="18"/>
                      <w:szCs w:val="18"/>
                      <w:highlight w:val="none"/>
                    </w:rPr>
                    <w:t>达标</w:t>
                  </w:r>
                </w:p>
              </w:tc>
            </w:tr>
          </w:tbl>
          <w:p w14:paraId="3E71DE0F">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default"/>
                <w:bCs/>
                <w:color w:val="auto"/>
                <w:sz w:val="21"/>
                <w:szCs w:val="21"/>
                <w:highlight w:val="none"/>
                <w:vertAlign w:val="baseline"/>
                <w:lang w:val="en-US" w:eastAsia="zh-CN"/>
              </w:rPr>
            </w:pPr>
            <w:r>
              <w:rPr>
                <w:rFonts w:hint="eastAsia"/>
                <w:color w:val="auto"/>
                <w:sz w:val="21"/>
                <w:szCs w:val="21"/>
                <w:highlight w:val="none"/>
                <w:lang w:val="en-US" w:eastAsia="zh-CN"/>
              </w:rPr>
              <w:t>由上表可知，DA006排放的碱雾可以满足《轧钢工业大气污染物排放标准》（GB28665-2012）及其修改单表3标准限值要求。</w:t>
            </w:r>
          </w:p>
          <w:p w14:paraId="6F17906C">
            <w:pPr>
              <w:adjustRightInd w:val="0"/>
              <w:snapToGrid w:val="0"/>
              <w:spacing w:line="360" w:lineRule="auto"/>
              <w:ind w:firstLine="420" w:firstLineChars="200"/>
              <w:jc w:val="both"/>
              <w:rPr>
                <w:rFonts w:ascii="Times New Roman" w:hAnsi="Times New Roman"/>
                <w:color w:val="auto"/>
                <w:sz w:val="21"/>
                <w:szCs w:val="21"/>
                <w:highlight w:val="none"/>
              </w:rPr>
            </w:pPr>
            <w:r>
              <w:rPr>
                <w:rFonts w:hint="eastAsia" w:ascii="Times New Roman" w:hAnsi="Times New Roman"/>
                <w:color w:val="auto"/>
                <w:sz w:val="21"/>
                <w:szCs w:val="21"/>
                <w:highlight w:val="none"/>
              </w:rPr>
              <w:t>（</w:t>
            </w:r>
            <w:r>
              <w:rPr>
                <w:rFonts w:ascii="Times New Roman" w:hAnsi="Times New Roman"/>
                <w:color w:val="auto"/>
                <w:sz w:val="21"/>
                <w:szCs w:val="21"/>
                <w:highlight w:val="none"/>
              </w:rPr>
              <w:t>2</w:t>
            </w:r>
            <w:r>
              <w:rPr>
                <w:rFonts w:hint="eastAsia" w:ascii="Times New Roman" w:hAnsi="Times New Roman"/>
                <w:color w:val="auto"/>
                <w:sz w:val="21"/>
                <w:szCs w:val="21"/>
                <w:highlight w:val="none"/>
              </w:rPr>
              <w:t>）</w:t>
            </w:r>
            <w:r>
              <w:rPr>
                <w:rFonts w:ascii="Times New Roman" w:hAnsi="Times New Roman"/>
                <w:color w:val="auto"/>
                <w:sz w:val="21"/>
                <w:szCs w:val="21"/>
                <w:highlight w:val="none"/>
              </w:rPr>
              <w:t>无组织废气</w:t>
            </w:r>
          </w:p>
          <w:p w14:paraId="348D3263">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eastAsia"/>
                <w:color w:val="auto"/>
                <w:sz w:val="21"/>
                <w:szCs w:val="21"/>
                <w:highlight w:val="none"/>
                <w:lang w:val="en-US" w:eastAsia="zh-CN"/>
              </w:rPr>
            </w:pPr>
            <w:r>
              <w:rPr>
                <w:rFonts w:hint="eastAsia"/>
                <w:color w:val="auto"/>
                <w:sz w:val="21"/>
                <w:szCs w:val="21"/>
                <w:highlight w:val="none"/>
                <w:lang w:val="en-US" w:eastAsia="zh-CN"/>
              </w:rPr>
              <w:t>拟建项目无组织废气包括未被收集的激光焊接、电阻焊焊接烟尘、车间内未被收集的颗粒物、氯化氢、硫酸雾、脱碳渗氮过程少量挥发的氨气。</w:t>
            </w:r>
          </w:p>
          <w:p w14:paraId="35054D9C">
            <w:pPr>
              <w:spacing w:line="360" w:lineRule="auto"/>
              <w:ind w:firstLine="420" w:firstLineChars="200"/>
              <w:jc w:val="both"/>
              <w:rPr>
                <w:rFonts w:hint="default" w:ascii="Times New Roman" w:hAnsi="Times New Roman"/>
                <w:color w:val="auto"/>
                <w:sz w:val="21"/>
                <w:szCs w:val="21"/>
                <w:highlight w:val="none"/>
                <w:vertAlign w:val="baseline"/>
                <w:lang w:val="en-US" w:eastAsia="zh-CN"/>
              </w:rPr>
            </w:pPr>
            <w:r>
              <w:rPr>
                <w:rFonts w:hint="eastAsia"/>
                <w:color w:val="auto"/>
                <w:sz w:val="21"/>
                <w:szCs w:val="21"/>
                <w:highlight w:val="none"/>
                <w:vertAlign w:val="baseline"/>
                <w:lang w:val="en-US" w:eastAsia="zh-CN"/>
              </w:rPr>
              <w:t>①焊接烟尘</w:t>
            </w:r>
          </w:p>
          <w:p w14:paraId="0349998F">
            <w:pPr>
              <w:spacing w:line="360" w:lineRule="auto"/>
              <w:ind w:firstLine="420" w:firstLineChars="200"/>
              <w:rPr>
                <w:rFonts w:hint="default" w:ascii="宋体" w:hAnsi="宋体" w:eastAsia="宋体"/>
                <w:color w:val="auto"/>
                <w:sz w:val="24"/>
                <w:lang w:val="en-US" w:eastAsia="zh-CN"/>
              </w:rPr>
            </w:pPr>
            <w:r>
              <w:rPr>
                <w:rFonts w:hint="default" w:ascii="Times New Roman" w:hAnsi="Times New Roman" w:cs="Times New Roman"/>
                <w:color w:val="auto"/>
                <w:sz w:val="21"/>
                <w:szCs w:val="21"/>
                <w:highlight w:val="none"/>
                <w:lang w:val="en-US" w:eastAsia="zh-CN"/>
              </w:rPr>
              <w:t>本项目焊接使用激光焊接和电阻焊焊接。</w:t>
            </w:r>
            <w:r>
              <w:rPr>
                <w:rFonts w:hint="default" w:ascii="Times New Roman" w:hAnsi="Times New Roman" w:cs="Times New Roman"/>
                <w:color w:val="auto"/>
                <w:sz w:val="21"/>
                <w:szCs w:val="21"/>
              </w:rPr>
              <w:t>激光焊接为点焊，将激光聚焦到焊件，焦点处功率密度为104～106W/cm</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，激光能转化为热能，局部熔化焊接，不使用焊剂或焊丝；电阻焊是压力焊的一种重要焊接方法，也是工业生产中应用极为广泛的焊接工艺，其核心原理是利用电流通过焊件接触点产生的电阻热，</w:t>
            </w:r>
            <w:r>
              <w:rPr>
                <w:rFonts w:hint="eastAsia" w:ascii="宋体" w:hAnsi="宋体"/>
                <w:color w:val="auto"/>
                <w:sz w:val="21"/>
                <w:szCs w:val="21"/>
              </w:rPr>
              <w:t>将金属局部加热至塑性或熔化状态，同时施加机械压力，使焊件实现原子间冶金结合的连接方式。该工艺无需填充金属、焊剂，</w:t>
            </w:r>
            <w:r>
              <w:rPr>
                <w:rFonts w:hint="eastAsia" w:ascii="宋体" w:hAnsi="宋体"/>
                <w:color w:val="auto"/>
                <w:sz w:val="21"/>
                <w:szCs w:val="21"/>
                <w:lang w:val="en-US" w:eastAsia="zh-CN"/>
              </w:rPr>
              <w:t>综上，激光焊接和电阻焊焊接产尘量均较小。本次</w:t>
            </w:r>
            <w:r>
              <w:rPr>
                <w:rFonts w:hint="eastAsia"/>
                <w:color w:val="auto"/>
                <w:sz w:val="21"/>
                <w:szCs w:val="21"/>
                <w:highlight w:val="none"/>
                <w:lang w:val="en-US" w:eastAsia="zh-CN"/>
              </w:rPr>
              <w:t>颗粒物产污系数为0.5千克/吨-原料，本项目焊接目的是将带钢首尾相接，总焊接量按照1000吨/年，则生产线焊接烟尘产生量为0.5吨/年，配套可移动式烟尘净化器，粉尘经处理后，车间内无组织排放，收集效率90%，除尘效率为95%，计算可知，本项目焊接过程经配套移动式烟尘净化器处理后，排放量为0.0225t/a，未收集的无组织粉尘为0.05t/a，合计0.0725t/a。</w:t>
            </w:r>
          </w:p>
          <w:p w14:paraId="61C96741">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default"/>
                <w:color w:val="auto"/>
                <w:sz w:val="21"/>
                <w:szCs w:val="21"/>
                <w:highlight w:val="none"/>
                <w:lang w:val="en-US" w:eastAsia="zh-CN"/>
              </w:rPr>
            </w:pPr>
            <w:r>
              <w:rPr>
                <w:rFonts w:hint="eastAsia"/>
                <w:color w:val="auto"/>
                <w:sz w:val="21"/>
                <w:szCs w:val="21"/>
                <w:highlight w:val="none"/>
                <w:lang w:val="en-US" w:eastAsia="zh-CN"/>
              </w:rPr>
              <w:t>②未被收集的颗粒物、氯化氢、硫酸等</w:t>
            </w:r>
          </w:p>
          <w:p w14:paraId="77B513A7">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default"/>
                <w:color w:val="auto"/>
                <w:sz w:val="21"/>
                <w:szCs w:val="21"/>
                <w:highlight w:val="none"/>
                <w:lang w:val="en-US" w:eastAsia="zh-CN"/>
              </w:rPr>
            </w:pPr>
            <w:r>
              <w:rPr>
                <w:rFonts w:hint="eastAsia"/>
                <w:color w:val="auto"/>
                <w:sz w:val="21"/>
                <w:szCs w:val="21"/>
                <w:highlight w:val="none"/>
                <w:lang w:val="en-US" w:eastAsia="zh-CN"/>
              </w:rPr>
              <w:t>经计算，未被收集的颗粒物量为2.8t/a。盐酸酸洗未被收集的氯化氢1.96t/a。硫酸酸洗未被收集的硫酸雾0.0425t/a。</w:t>
            </w:r>
          </w:p>
          <w:p w14:paraId="50D16A0B">
            <w:pPr>
              <w:spacing w:line="360" w:lineRule="auto"/>
              <w:ind w:firstLine="420" w:firstLineChars="200"/>
              <w:jc w:val="both"/>
              <w:rPr>
                <w:rFonts w:hint="eastAsia"/>
                <w:color w:val="auto"/>
                <w:sz w:val="21"/>
                <w:szCs w:val="21"/>
                <w:highlight w:val="none"/>
                <w:lang w:val="en-US" w:eastAsia="zh-CN"/>
              </w:rPr>
            </w:pPr>
            <w:r>
              <w:rPr>
                <w:rFonts w:hint="eastAsia"/>
                <w:color w:val="auto"/>
                <w:sz w:val="21"/>
                <w:szCs w:val="21"/>
                <w:highlight w:val="none"/>
                <w:lang w:val="en-US" w:eastAsia="zh-CN"/>
              </w:rPr>
              <w:t>③脱碳渗氮过程少量挥发的氨气</w:t>
            </w:r>
          </w:p>
          <w:p w14:paraId="110D744B">
            <w:pPr>
              <w:spacing w:line="360" w:lineRule="auto"/>
              <w:ind w:firstLine="420" w:firstLineChars="200"/>
              <w:jc w:val="both"/>
              <w:rPr>
                <w:rFonts w:hint="default"/>
                <w:color w:val="auto"/>
                <w:sz w:val="21"/>
                <w:szCs w:val="21"/>
                <w:highlight w:val="none"/>
                <w:lang w:val="en-US" w:eastAsia="zh-CN"/>
              </w:rPr>
            </w:pPr>
            <w:r>
              <w:rPr>
                <w:rFonts w:hint="eastAsia"/>
                <w:color w:val="auto"/>
                <w:sz w:val="21"/>
                <w:szCs w:val="21"/>
                <w:highlight w:val="none"/>
                <w:lang w:val="en-US" w:eastAsia="zh-CN"/>
              </w:rPr>
              <w:t>本项目脱氮渗氮过程使用液氨，液氨在液氨罐内正压存储，不考虑储罐呼吸废气；液氨年用量65t/a，在炉内分解率99.8%，则挥发量为0.13t/a。</w:t>
            </w:r>
          </w:p>
          <w:p w14:paraId="4A7A276E">
            <w:pPr>
              <w:spacing w:line="360" w:lineRule="auto"/>
              <w:ind w:firstLine="420" w:firstLineChars="200"/>
              <w:jc w:val="both"/>
              <w:rPr>
                <w:rFonts w:ascii="Times New Roman" w:hAnsi="Times New Roman"/>
                <w:color w:val="auto"/>
                <w:sz w:val="21"/>
                <w:szCs w:val="21"/>
                <w:highlight w:val="none"/>
              </w:rPr>
            </w:pPr>
            <w:r>
              <w:rPr>
                <w:rFonts w:ascii="Times New Roman" w:hAnsi="Times New Roman"/>
                <w:color w:val="auto"/>
                <w:sz w:val="21"/>
                <w:szCs w:val="21"/>
                <w:highlight w:val="none"/>
              </w:rPr>
              <w:t>为进一步减缓</w:t>
            </w:r>
            <w:r>
              <w:rPr>
                <w:rFonts w:hint="eastAsia" w:ascii="Times New Roman" w:hAnsi="Times New Roman"/>
                <w:color w:val="auto"/>
                <w:sz w:val="21"/>
                <w:szCs w:val="21"/>
                <w:highlight w:val="none"/>
              </w:rPr>
              <w:t>无组织废气</w:t>
            </w:r>
            <w:r>
              <w:rPr>
                <w:rFonts w:ascii="Times New Roman" w:hAnsi="Times New Roman"/>
                <w:color w:val="auto"/>
                <w:sz w:val="21"/>
                <w:szCs w:val="21"/>
                <w:highlight w:val="none"/>
              </w:rPr>
              <w:t>排放对周围环境的影响，建议企业做好以下防治措施：</w:t>
            </w:r>
          </w:p>
          <w:p w14:paraId="48BD5B37">
            <w:pPr>
              <w:spacing w:line="360" w:lineRule="auto"/>
              <w:ind w:firstLine="420" w:firstLineChars="200"/>
              <w:jc w:val="both"/>
              <w:rPr>
                <w:rFonts w:ascii="Times New Roman" w:hAnsi="Times New Roman"/>
                <w:color w:val="auto"/>
                <w:sz w:val="21"/>
                <w:szCs w:val="21"/>
                <w:highlight w:val="none"/>
              </w:rPr>
            </w:pPr>
            <w:r>
              <w:rPr>
                <w:rFonts w:ascii="Times New Roman" w:hAnsi="Times New Roman"/>
                <w:color w:val="auto"/>
                <w:sz w:val="21"/>
                <w:szCs w:val="21"/>
                <w:highlight w:val="none"/>
              </w:rPr>
              <w:t>a.正常生产时</w:t>
            </w:r>
            <w:r>
              <w:rPr>
                <w:rFonts w:hint="eastAsia" w:ascii="Times New Roman" w:hAnsi="Times New Roman"/>
                <w:color w:val="auto"/>
                <w:sz w:val="21"/>
                <w:szCs w:val="21"/>
                <w:highlight w:val="none"/>
              </w:rPr>
              <w:t>在车间内</w:t>
            </w:r>
            <w:r>
              <w:rPr>
                <w:rFonts w:ascii="Times New Roman" w:hAnsi="Times New Roman"/>
                <w:color w:val="auto"/>
                <w:sz w:val="21"/>
                <w:szCs w:val="21"/>
                <w:highlight w:val="none"/>
              </w:rPr>
              <w:t>，有效减少废气排放。</w:t>
            </w:r>
          </w:p>
          <w:p w14:paraId="73F6019C">
            <w:pPr>
              <w:spacing w:line="360" w:lineRule="auto"/>
              <w:ind w:firstLine="420" w:firstLineChars="200"/>
              <w:jc w:val="both"/>
              <w:rPr>
                <w:rFonts w:ascii="Times New Roman" w:hAnsi="Times New Roman"/>
                <w:color w:val="auto"/>
                <w:sz w:val="21"/>
                <w:szCs w:val="21"/>
                <w:highlight w:val="none"/>
              </w:rPr>
            </w:pPr>
            <w:r>
              <w:rPr>
                <w:rFonts w:ascii="Times New Roman" w:hAnsi="Times New Roman"/>
                <w:color w:val="auto"/>
                <w:sz w:val="21"/>
                <w:szCs w:val="21"/>
                <w:highlight w:val="none"/>
              </w:rPr>
              <w:t>b.废气收集处理系统应满足相关设计要求。</w:t>
            </w:r>
          </w:p>
          <w:p w14:paraId="6DF8157E">
            <w:pPr>
              <w:spacing w:line="360" w:lineRule="auto"/>
              <w:ind w:firstLine="420" w:firstLineChars="200"/>
              <w:jc w:val="both"/>
              <w:rPr>
                <w:rFonts w:ascii="Times New Roman" w:hAnsi="Times New Roman"/>
                <w:color w:val="auto"/>
                <w:sz w:val="21"/>
                <w:szCs w:val="21"/>
                <w:highlight w:val="none"/>
              </w:rPr>
            </w:pPr>
            <w:r>
              <w:rPr>
                <w:rFonts w:ascii="Times New Roman" w:hAnsi="Times New Roman"/>
                <w:color w:val="auto"/>
                <w:sz w:val="21"/>
                <w:szCs w:val="21"/>
                <w:highlight w:val="none"/>
              </w:rPr>
              <w:t>c.废气收集处理系统应与生产工艺同步运行。废气收集处理系统发生故障或检修时，对应的工艺应停止运行，待检修完毕后同步投入使用。</w:t>
            </w:r>
          </w:p>
          <w:p w14:paraId="2825228D">
            <w:pPr>
              <w:spacing w:line="360" w:lineRule="auto"/>
              <w:ind w:firstLine="420" w:firstLineChars="200"/>
              <w:jc w:val="both"/>
              <w:rPr>
                <w:rFonts w:ascii="Times New Roman" w:hAnsi="Times New Roman"/>
                <w:color w:val="auto"/>
                <w:sz w:val="21"/>
                <w:szCs w:val="21"/>
                <w:highlight w:val="none"/>
              </w:rPr>
            </w:pPr>
            <w:r>
              <w:rPr>
                <w:rFonts w:ascii="Times New Roman" w:hAnsi="Times New Roman"/>
                <w:color w:val="auto"/>
                <w:sz w:val="21"/>
                <w:szCs w:val="21"/>
                <w:highlight w:val="none"/>
              </w:rPr>
              <w:t>d.废气收集系统管道密闭，在负压下运行。</w:t>
            </w:r>
          </w:p>
          <w:p w14:paraId="275B5FF9">
            <w:pPr>
              <w:spacing w:line="360" w:lineRule="auto"/>
              <w:ind w:firstLine="420" w:firstLineChars="200"/>
              <w:jc w:val="both"/>
              <w:rPr>
                <w:rFonts w:ascii="Times New Roman" w:hAnsi="Times New Roman"/>
                <w:color w:val="auto"/>
                <w:sz w:val="21"/>
                <w:szCs w:val="21"/>
                <w:highlight w:val="none"/>
              </w:rPr>
            </w:pPr>
            <w:r>
              <w:rPr>
                <w:rFonts w:ascii="Times New Roman" w:hAnsi="Times New Roman"/>
                <w:color w:val="auto"/>
                <w:sz w:val="21"/>
                <w:szCs w:val="21"/>
                <w:highlight w:val="none"/>
              </w:rPr>
              <w:t>e.对废气收集处理设施定期检修，过滤器等按规定要求及时更换，保证稳定运行，确保废气污染物稳定达标排放。</w:t>
            </w:r>
          </w:p>
          <w:p w14:paraId="38EE1CB6">
            <w:pPr>
              <w:spacing w:line="360" w:lineRule="auto"/>
              <w:ind w:firstLine="420" w:firstLineChars="200"/>
              <w:jc w:val="both"/>
              <w:rPr>
                <w:rFonts w:ascii="Times New Roman" w:hAnsi="Times New Roman"/>
                <w:color w:val="auto"/>
                <w:sz w:val="21"/>
                <w:szCs w:val="21"/>
                <w:highlight w:val="none"/>
              </w:rPr>
            </w:pPr>
            <w:r>
              <w:rPr>
                <w:rFonts w:ascii="Times New Roman" w:hAnsi="Times New Roman"/>
                <w:color w:val="auto"/>
                <w:sz w:val="21"/>
                <w:szCs w:val="21"/>
                <w:highlight w:val="none"/>
              </w:rPr>
              <w:t>f.合理安排工作时间，加强员工培训，严格按照规定操作工具及设备。</w:t>
            </w:r>
          </w:p>
          <w:p w14:paraId="46BBBAB8">
            <w:pPr>
              <w:spacing w:line="360" w:lineRule="auto"/>
              <w:ind w:firstLine="420" w:firstLineChars="200"/>
              <w:jc w:val="both"/>
              <w:rPr>
                <w:rFonts w:ascii="Times New Roman" w:hAnsi="Times New Roman"/>
                <w:color w:val="auto"/>
                <w:sz w:val="21"/>
                <w:szCs w:val="21"/>
                <w:highlight w:val="none"/>
              </w:rPr>
            </w:pPr>
            <w:r>
              <w:rPr>
                <w:rFonts w:ascii="Times New Roman" w:hAnsi="Times New Roman"/>
                <w:color w:val="auto"/>
                <w:sz w:val="21"/>
                <w:szCs w:val="21"/>
                <w:highlight w:val="none"/>
              </w:rPr>
              <w:t>经采取措施后，</w:t>
            </w:r>
            <w:r>
              <w:rPr>
                <w:rFonts w:hint="eastAsia"/>
                <w:color w:val="auto"/>
                <w:sz w:val="21"/>
                <w:szCs w:val="21"/>
                <w:highlight w:val="none"/>
                <w:lang w:val="en-US" w:eastAsia="zh-CN"/>
              </w:rPr>
              <w:t>车间无组织颗粒物、氯化氢、硫酸雾浓度满足</w:t>
            </w:r>
            <w:r>
              <w:rPr>
                <w:rFonts w:hint="eastAsia" w:ascii="Times New Roman" w:hAnsi="Times New Roman"/>
                <w:color w:val="auto"/>
                <w:sz w:val="21"/>
                <w:szCs w:val="21"/>
                <w:highlight w:val="none"/>
              </w:rPr>
              <w:t>《轧钢工业大气污染物排放标准》（GB28665-2012）及其修改单表4</w:t>
            </w:r>
            <w:r>
              <w:rPr>
                <w:rFonts w:hint="eastAsia"/>
                <w:color w:val="auto"/>
                <w:sz w:val="21"/>
                <w:szCs w:val="21"/>
                <w:highlight w:val="none"/>
                <w:lang w:val="en-US" w:eastAsia="zh-CN"/>
              </w:rPr>
              <w:t>标准限值要求</w:t>
            </w:r>
            <w:r>
              <w:rPr>
                <w:rFonts w:hint="eastAsia"/>
                <w:color w:val="auto"/>
                <w:sz w:val="21"/>
                <w:szCs w:val="21"/>
                <w:highlight w:val="none"/>
                <w:lang w:eastAsia="zh-CN"/>
              </w:rPr>
              <w:t>，</w:t>
            </w:r>
            <w:r>
              <w:rPr>
                <w:rFonts w:hint="eastAsia"/>
                <w:color w:val="auto"/>
                <w:sz w:val="21"/>
                <w:szCs w:val="21"/>
                <w:highlight w:val="none"/>
                <w:lang w:val="en-US" w:eastAsia="zh-CN"/>
              </w:rPr>
              <w:t>氨浓度满足《恶臭污染物排放标准》（GB14554-93）表2标准要求</w:t>
            </w:r>
            <w:r>
              <w:rPr>
                <w:rFonts w:hint="eastAsia"/>
                <w:color w:val="auto"/>
                <w:sz w:val="21"/>
                <w:szCs w:val="21"/>
                <w:highlight w:val="none"/>
                <w:lang w:eastAsia="zh-CN"/>
              </w:rPr>
              <w:t>。</w:t>
            </w:r>
          </w:p>
          <w:p w14:paraId="4F4B2800">
            <w:pPr>
              <w:spacing w:line="360" w:lineRule="auto"/>
              <w:ind w:firstLine="422" w:firstLineChars="200"/>
              <w:jc w:val="left"/>
              <w:rPr>
                <w:rFonts w:ascii="Times New Roman" w:hAnsi="Times New Roman"/>
                <w:color w:val="auto"/>
                <w:sz w:val="21"/>
                <w:szCs w:val="21"/>
                <w:highlight w:val="none"/>
              </w:rPr>
            </w:pPr>
            <w:r>
              <w:rPr>
                <w:rFonts w:ascii="Times New Roman" w:hAnsi="Times New Roman"/>
                <w:b/>
                <w:bCs/>
                <w:color w:val="auto"/>
                <w:sz w:val="21"/>
                <w:szCs w:val="21"/>
                <w:highlight w:val="none"/>
              </w:rPr>
              <w:t>3、废气排放口情况</w:t>
            </w:r>
          </w:p>
          <w:p w14:paraId="49B7DDF9">
            <w:pPr>
              <w:spacing w:line="360" w:lineRule="auto"/>
              <w:ind w:firstLine="420" w:firstLineChars="200"/>
              <w:jc w:val="left"/>
              <w:rPr>
                <w:rFonts w:ascii="Times New Roman" w:hAnsi="Times New Roman"/>
                <w:color w:val="auto"/>
                <w:sz w:val="21"/>
                <w:szCs w:val="21"/>
                <w:highlight w:val="none"/>
              </w:rPr>
            </w:pPr>
            <w:r>
              <w:rPr>
                <w:rFonts w:ascii="Times New Roman" w:hAnsi="Times New Roman"/>
                <w:color w:val="auto"/>
                <w:sz w:val="21"/>
                <w:szCs w:val="21"/>
                <w:highlight w:val="none"/>
              </w:rPr>
              <w:t>项目有组织废气排放口情况见下表。</w:t>
            </w:r>
          </w:p>
          <w:p w14:paraId="4C249C77">
            <w:pPr>
              <w:spacing w:line="360" w:lineRule="auto"/>
              <w:jc w:val="center"/>
              <w:rPr>
                <w:rFonts w:ascii="Times New Roman" w:hAnsi="Times New Roman" w:eastAsia="黑体"/>
                <w:bCs/>
                <w:color w:val="auto"/>
                <w:spacing w:val="2"/>
                <w:sz w:val="21"/>
                <w:szCs w:val="21"/>
                <w:highlight w:val="none"/>
              </w:rPr>
            </w:pPr>
            <w:r>
              <w:rPr>
                <w:rFonts w:ascii="Times New Roman" w:hAnsi="Times New Roman" w:eastAsia="黑体"/>
                <w:bCs/>
                <w:color w:val="auto"/>
                <w:spacing w:val="2"/>
                <w:sz w:val="21"/>
                <w:szCs w:val="21"/>
                <w:highlight w:val="none"/>
              </w:rPr>
              <w:t>表4-</w:t>
            </w:r>
            <w:r>
              <w:rPr>
                <w:rFonts w:hint="eastAsia" w:eastAsia="黑体"/>
                <w:bCs/>
                <w:color w:val="auto"/>
                <w:spacing w:val="2"/>
                <w:sz w:val="21"/>
                <w:szCs w:val="21"/>
                <w:highlight w:val="none"/>
                <w:lang w:val="en-US" w:eastAsia="zh-CN"/>
              </w:rPr>
              <w:t xml:space="preserve">9  </w:t>
            </w:r>
            <w:r>
              <w:rPr>
                <w:rFonts w:ascii="Times New Roman" w:hAnsi="Times New Roman" w:eastAsia="黑体"/>
                <w:bCs/>
                <w:color w:val="auto"/>
                <w:spacing w:val="2"/>
                <w:sz w:val="21"/>
                <w:szCs w:val="21"/>
                <w:highlight w:val="none"/>
              </w:rPr>
              <w:t>废气排放口情况表</w:t>
            </w:r>
          </w:p>
          <w:tbl>
            <w:tblPr>
              <w:tblStyle w:val="33"/>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296"/>
              <w:gridCol w:w="1299"/>
              <w:gridCol w:w="1133"/>
              <w:gridCol w:w="1248"/>
              <w:gridCol w:w="1248"/>
              <w:gridCol w:w="1319"/>
              <w:gridCol w:w="756"/>
            </w:tblGrid>
            <w:tr w14:paraId="1BDC8F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781" w:type="pct"/>
                  <w:vMerge w:val="restart"/>
                  <w:tcBorders>
                    <w:tl2br w:val="nil"/>
                    <w:tr2bl w:val="nil"/>
                  </w:tcBorders>
                  <w:noWrap w:val="0"/>
                  <w:vAlign w:val="center"/>
                </w:tcPr>
                <w:p w14:paraId="334AD3B7">
                  <w:pPr>
                    <w:jc w:val="center"/>
                    <w:rPr>
                      <w:rFonts w:ascii="Times New Roman" w:hAnsi="Times New Roman"/>
                      <w:color w:val="auto"/>
                      <w:sz w:val="18"/>
                      <w:szCs w:val="18"/>
                      <w:highlight w:val="none"/>
                    </w:rPr>
                  </w:pPr>
                  <w:r>
                    <w:rPr>
                      <w:rFonts w:ascii="Times New Roman" w:hAnsi="Times New Roman"/>
                      <w:color w:val="auto"/>
                      <w:sz w:val="18"/>
                      <w:szCs w:val="18"/>
                      <w:highlight w:val="none"/>
                    </w:rPr>
                    <w:t>排放口编号</w:t>
                  </w:r>
                </w:p>
              </w:tc>
              <w:tc>
                <w:tcPr>
                  <w:tcW w:w="782" w:type="pct"/>
                  <w:vMerge w:val="restart"/>
                  <w:tcBorders>
                    <w:tl2br w:val="nil"/>
                    <w:tr2bl w:val="nil"/>
                  </w:tcBorders>
                  <w:noWrap w:val="0"/>
                  <w:vAlign w:val="center"/>
                </w:tcPr>
                <w:p w14:paraId="7E0BF07B">
                  <w:pPr>
                    <w:jc w:val="center"/>
                    <w:rPr>
                      <w:rFonts w:ascii="Times New Roman" w:hAnsi="Times New Roman"/>
                      <w:color w:val="auto"/>
                      <w:sz w:val="18"/>
                      <w:szCs w:val="18"/>
                      <w:highlight w:val="none"/>
                    </w:rPr>
                  </w:pPr>
                  <w:r>
                    <w:rPr>
                      <w:rFonts w:ascii="Times New Roman" w:hAnsi="Times New Roman"/>
                      <w:color w:val="auto"/>
                      <w:sz w:val="18"/>
                      <w:szCs w:val="18"/>
                      <w:highlight w:val="none"/>
                    </w:rPr>
                    <w:t>排放口名称</w:t>
                  </w:r>
                </w:p>
              </w:tc>
              <w:tc>
                <w:tcPr>
                  <w:tcW w:w="682" w:type="pct"/>
                  <w:vMerge w:val="restart"/>
                  <w:tcBorders>
                    <w:tl2br w:val="nil"/>
                    <w:tr2bl w:val="nil"/>
                  </w:tcBorders>
                  <w:noWrap w:val="0"/>
                  <w:vAlign w:val="center"/>
                </w:tcPr>
                <w:p w14:paraId="37F792DD">
                  <w:pPr>
                    <w:jc w:val="center"/>
                    <w:rPr>
                      <w:rFonts w:ascii="Times New Roman" w:hAnsi="Times New Roman"/>
                      <w:color w:val="auto"/>
                      <w:sz w:val="18"/>
                      <w:szCs w:val="18"/>
                      <w:highlight w:val="none"/>
                    </w:rPr>
                  </w:pPr>
                  <w:r>
                    <w:rPr>
                      <w:rFonts w:ascii="Times New Roman" w:hAnsi="Times New Roman"/>
                      <w:color w:val="auto"/>
                      <w:sz w:val="18"/>
                      <w:szCs w:val="18"/>
                      <w:highlight w:val="none"/>
                    </w:rPr>
                    <w:t>污染物种类</w:t>
                  </w:r>
                </w:p>
              </w:tc>
              <w:tc>
                <w:tcPr>
                  <w:tcW w:w="751" w:type="pct"/>
                  <w:vMerge w:val="restart"/>
                  <w:tcBorders>
                    <w:tl2br w:val="nil"/>
                    <w:tr2bl w:val="nil"/>
                  </w:tcBorders>
                  <w:noWrap w:val="0"/>
                  <w:vAlign w:val="center"/>
                </w:tcPr>
                <w:p w14:paraId="76A0BF09">
                  <w:pPr>
                    <w:jc w:val="center"/>
                    <w:rPr>
                      <w:rFonts w:ascii="Times New Roman" w:hAnsi="Times New Roman"/>
                      <w:color w:val="auto"/>
                      <w:sz w:val="18"/>
                      <w:szCs w:val="18"/>
                      <w:highlight w:val="none"/>
                    </w:rPr>
                  </w:pPr>
                  <w:r>
                    <w:rPr>
                      <w:rFonts w:ascii="Times New Roman" w:hAnsi="Times New Roman"/>
                      <w:color w:val="auto"/>
                      <w:sz w:val="18"/>
                      <w:szCs w:val="18"/>
                      <w:highlight w:val="none"/>
                    </w:rPr>
                    <w:t>排气筒高度（m）</w:t>
                  </w:r>
                </w:p>
              </w:tc>
              <w:tc>
                <w:tcPr>
                  <w:tcW w:w="751" w:type="pct"/>
                  <w:vMerge w:val="restart"/>
                  <w:tcBorders>
                    <w:tl2br w:val="nil"/>
                    <w:tr2bl w:val="nil"/>
                  </w:tcBorders>
                  <w:noWrap w:val="0"/>
                  <w:vAlign w:val="center"/>
                </w:tcPr>
                <w:p w14:paraId="556C33EE">
                  <w:pPr>
                    <w:jc w:val="center"/>
                    <w:rPr>
                      <w:rFonts w:ascii="Times New Roman" w:hAnsi="Times New Roman"/>
                      <w:color w:val="auto"/>
                      <w:sz w:val="18"/>
                      <w:szCs w:val="18"/>
                      <w:highlight w:val="none"/>
                    </w:rPr>
                  </w:pPr>
                  <w:r>
                    <w:rPr>
                      <w:rFonts w:ascii="Times New Roman" w:hAnsi="Times New Roman"/>
                      <w:color w:val="auto"/>
                      <w:sz w:val="18"/>
                      <w:szCs w:val="18"/>
                      <w:highlight w:val="none"/>
                    </w:rPr>
                    <w:t>排气筒出口内径（m）</w:t>
                  </w:r>
                </w:p>
              </w:tc>
              <w:tc>
                <w:tcPr>
                  <w:tcW w:w="794" w:type="pct"/>
                  <w:vMerge w:val="restart"/>
                  <w:tcBorders>
                    <w:tl2br w:val="nil"/>
                    <w:tr2bl w:val="nil"/>
                  </w:tcBorders>
                  <w:noWrap w:val="0"/>
                  <w:vAlign w:val="center"/>
                </w:tcPr>
                <w:p w14:paraId="4915E1C9">
                  <w:pPr>
                    <w:jc w:val="center"/>
                    <w:rPr>
                      <w:rFonts w:ascii="Times New Roman" w:hAnsi="Times New Roman"/>
                      <w:color w:val="auto"/>
                      <w:sz w:val="18"/>
                      <w:szCs w:val="18"/>
                      <w:highlight w:val="none"/>
                    </w:rPr>
                  </w:pPr>
                  <w:r>
                    <w:rPr>
                      <w:rFonts w:ascii="Times New Roman" w:hAnsi="Times New Roman"/>
                      <w:color w:val="auto"/>
                      <w:sz w:val="18"/>
                      <w:szCs w:val="18"/>
                      <w:highlight w:val="none"/>
                    </w:rPr>
                    <w:t>排气温度（</w:t>
                  </w:r>
                  <w:r>
                    <w:rPr>
                      <w:rFonts w:hint="eastAsia" w:ascii="宋体" w:hAnsi="宋体" w:cs="宋体"/>
                      <w:color w:val="auto"/>
                      <w:sz w:val="18"/>
                      <w:szCs w:val="18"/>
                      <w:highlight w:val="none"/>
                    </w:rPr>
                    <w:t>℃</w:t>
                  </w:r>
                  <w:r>
                    <w:rPr>
                      <w:rFonts w:ascii="Times New Roman" w:hAnsi="Times New Roman"/>
                      <w:color w:val="auto"/>
                      <w:sz w:val="18"/>
                      <w:szCs w:val="18"/>
                      <w:highlight w:val="none"/>
                    </w:rPr>
                    <w:t>）</w:t>
                  </w:r>
                </w:p>
              </w:tc>
              <w:tc>
                <w:tcPr>
                  <w:tcW w:w="455" w:type="pct"/>
                  <w:vMerge w:val="restart"/>
                  <w:tcBorders>
                    <w:tl2br w:val="nil"/>
                    <w:tr2bl w:val="nil"/>
                  </w:tcBorders>
                  <w:noWrap w:val="0"/>
                  <w:vAlign w:val="center"/>
                </w:tcPr>
                <w:p w14:paraId="35AE99A9">
                  <w:pPr>
                    <w:jc w:val="center"/>
                    <w:rPr>
                      <w:rFonts w:ascii="Times New Roman" w:hAnsi="Times New Roman"/>
                      <w:color w:val="auto"/>
                      <w:sz w:val="18"/>
                      <w:szCs w:val="18"/>
                      <w:highlight w:val="none"/>
                    </w:rPr>
                  </w:pPr>
                  <w:r>
                    <w:rPr>
                      <w:rFonts w:ascii="Times New Roman" w:hAnsi="Times New Roman"/>
                      <w:color w:val="auto"/>
                      <w:sz w:val="18"/>
                      <w:szCs w:val="18"/>
                      <w:highlight w:val="none"/>
                    </w:rPr>
                    <w:t>排放口类型</w:t>
                  </w:r>
                </w:p>
              </w:tc>
            </w:tr>
            <w:tr w14:paraId="093FAB2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781" w:type="pct"/>
                  <w:vMerge w:val="continue"/>
                  <w:tcBorders>
                    <w:tl2br w:val="nil"/>
                    <w:tr2bl w:val="nil"/>
                  </w:tcBorders>
                  <w:noWrap w:val="0"/>
                  <w:vAlign w:val="center"/>
                </w:tcPr>
                <w:p w14:paraId="5B8B0034">
                  <w:pPr>
                    <w:widowControl/>
                    <w:jc w:val="center"/>
                    <w:rPr>
                      <w:rFonts w:ascii="Times New Roman" w:hAnsi="Times New Roman"/>
                      <w:color w:val="auto"/>
                      <w:sz w:val="18"/>
                      <w:szCs w:val="18"/>
                      <w:highlight w:val="none"/>
                    </w:rPr>
                  </w:pPr>
                </w:p>
              </w:tc>
              <w:tc>
                <w:tcPr>
                  <w:tcW w:w="782" w:type="pct"/>
                  <w:vMerge w:val="continue"/>
                  <w:tcBorders>
                    <w:tl2br w:val="nil"/>
                    <w:tr2bl w:val="nil"/>
                  </w:tcBorders>
                  <w:noWrap w:val="0"/>
                  <w:vAlign w:val="center"/>
                </w:tcPr>
                <w:p w14:paraId="26D7F0C3">
                  <w:pPr>
                    <w:widowControl/>
                    <w:jc w:val="center"/>
                    <w:rPr>
                      <w:rFonts w:ascii="Times New Roman" w:hAnsi="Times New Roman"/>
                      <w:color w:val="auto"/>
                      <w:sz w:val="18"/>
                      <w:szCs w:val="18"/>
                      <w:highlight w:val="none"/>
                    </w:rPr>
                  </w:pPr>
                </w:p>
              </w:tc>
              <w:tc>
                <w:tcPr>
                  <w:tcW w:w="682" w:type="pct"/>
                  <w:vMerge w:val="continue"/>
                  <w:tcBorders>
                    <w:tl2br w:val="nil"/>
                    <w:tr2bl w:val="nil"/>
                  </w:tcBorders>
                  <w:noWrap w:val="0"/>
                  <w:vAlign w:val="center"/>
                </w:tcPr>
                <w:p w14:paraId="0CE05902">
                  <w:pPr>
                    <w:widowControl/>
                    <w:jc w:val="center"/>
                    <w:rPr>
                      <w:rFonts w:ascii="Times New Roman" w:hAnsi="Times New Roman"/>
                      <w:color w:val="auto"/>
                      <w:sz w:val="18"/>
                      <w:szCs w:val="18"/>
                      <w:highlight w:val="none"/>
                    </w:rPr>
                  </w:pPr>
                </w:p>
              </w:tc>
              <w:tc>
                <w:tcPr>
                  <w:tcW w:w="751" w:type="pct"/>
                  <w:vMerge w:val="continue"/>
                  <w:tcBorders>
                    <w:tl2br w:val="nil"/>
                    <w:tr2bl w:val="nil"/>
                  </w:tcBorders>
                  <w:noWrap w:val="0"/>
                  <w:vAlign w:val="center"/>
                </w:tcPr>
                <w:p w14:paraId="09F64479">
                  <w:pPr>
                    <w:widowControl/>
                    <w:jc w:val="center"/>
                    <w:rPr>
                      <w:rFonts w:ascii="Times New Roman" w:hAnsi="Times New Roman"/>
                      <w:color w:val="auto"/>
                      <w:sz w:val="18"/>
                      <w:szCs w:val="18"/>
                      <w:highlight w:val="none"/>
                    </w:rPr>
                  </w:pPr>
                </w:p>
              </w:tc>
              <w:tc>
                <w:tcPr>
                  <w:tcW w:w="751" w:type="pct"/>
                  <w:vMerge w:val="continue"/>
                  <w:tcBorders>
                    <w:tl2br w:val="nil"/>
                    <w:tr2bl w:val="nil"/>
                  </w:tcBorders>
                  <w:noWrap w:val="0"/>
                  <w:vAlign w:val="center"/>
                </w:tcPr>
                <w:p w14:paraId="6511628E">
                  <w:pPr>
                    <w:widowControl/>
                    <w:jc w:val="center"/>
                    <w:rPr>
                      <w:rFonts w:ascii="Times New Roman" w:hAnsi="Times New Roman"/>
                      <w:color w:val="auto"/>
                      <w:sz w:val="18"/>
                      <w:szCs w:val="18"/>
                      <w:highlight w:val="none"/>
                    </w:rPr>
                  </w:pPr>
                </w:p>
              </w:tc>
              <w:tc>
                <w:tcPr>
                  <w:tcW w:w="794" w:type="pct"/>
                  <w:vMerge w:val="continue"/>
                  <w:tcBorders>
                    <w:tl2br w:val="nil"/>
                    <w:tr2bl w:val="nil"/>
                  </w:tcBorders>
                  <w:noWrap w:val="0"/>
                  <w:vAlign w:val="center"/>
                </w:tcPr>
                <w:p w14:paraId="5BBAAAC3">
                  <w:pPr>
                    <w:widowControl/>
                    <w:jc w:val="center"/>
                    <w:rPr>
                      <w:rFonts w:ascii="Times New Roman" w:hAnsi="Times New Roman"/>
                      <w:color w:val="auto"/>
                      <w:sz w:val="18"/>
                      <w:szCs w:val="18"/>
                      <w:highlight w:val="none"/>
                    </w:rPr>
                  </w:pPr>
                </w:p>
              </w:tc>
              <w:tc>
                <w:tcPr>
                  <w:tcW w:w="455" w:type="pct"/>
                  <w:vMerge w:val="continue"/>
                  <w:tcBorders>
                    <w:tl2br w:val="nil"/>
                    <w:tr2bl w:val="nil"/>
                  </w:tcBorders>
                  <w:noWrap w:val="0"/>
                  <w:vAlign w:val="center"/>
                </w:tcPr>
                <w:p w14:paraId="0DA75A08">
                  <w:pPr>
                    <w:widowControl/>
                    <w:jc w:val="center"/>
                    <w:rPr>
                      <w:rFonts w:ascii="Times New Roman" w:hAnsi="Times New Roman"/>
                      <w:color w:val="auto"/>
                      <w:sz w:val="18"/>
                      <w:szCs w:val="18"/>
                      <w:highlight w:val="none"/>
                    </w:rPr>
                  </w:pPr>
                </w:p>
              </w:tc>
            </w:tr>
            <w:tr w14:paraId="7B64DA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81" w:type="pct"/>
                  <w:tcBorders>
                    <w:tl2br w:val="nil"/>
                    <w:tr2bl w:val="nil"/>
                  </w:tcBorders>
                  <w:noWrap w:val="0"/>
                  <w:vAlign w:val="center"/>
                </w:tcPr>
                <w:p w14:paraId="3737577D">
                  <w:pPr>
                    <w:jc w:val="center"/>
                    <w:rPr>
                      <w:rFonts w:hint="eastAsia"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DA001</w:t>
                  </w:r>
                </w:p>
              </w:tc>
              <w:tc>
                <w:tcPr>
                  <w:tcW w:w="782" w:type="pct"/>
                  <w:tcBorders>
                    <w:tl2br w:val="nil"/>
                    <w:tr2bl w:val="nil"/>
                  </w:tcBorders>
                  <w:shd w:val="clear" w:color="auto" w:fill="auto"/>
                  <w:noWrap w:val="0"/>
                  <w:vAlign w:val="center"/>
                </w:tcPr>
                <w:p w14:paraId="7DDA223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退火工序无氧化加热炉燃烧废气</w:t>
                  </w:r>
                </w:p>
              </w:tc>
              <w:tc>
                <w:tcPr>
                  <w:tcW w:w="682" w:type="pct"/>
                  <w:tcBorders>
                    <w:tl2br w:val="nil"/>
                    <w:tr2bl w:val="nil"/>
                  </w:tcBorders>
                  <w:noWrap w:val="0"/>
                  <w:vAlign w:val="center"/>
                </w:tcPr>
                <w:p w14:paraId="3E2211CB">
                  <w:pPr>
                    <w:ind w:left="2"/>
                    <w:jc w:val="center"/>
                    <w:rPr>
                      <w:rFonts w:ascii="Times New Roman" w:hAnsi="Times New Roman"/>
                      <w:color w:val="auto"/>
                      <w:sz w:val="18"/>
                      <w:szCs w:val="18"/>
                      <w:highlight w:val="none"/>
                    </w:rPr>
                  </w:pPr>
                  <w:r>
                    <w:rPr>
                      <w:rFonts w:hint="eastAsia" w:cs="Times New Roman"/>
                      <w:snapToGrid w:val="0"/>
                      <w:color w:val="auto"/>
                      <w:sz w:val="18"/>
                      <w:szCs w:val="18"/>
                      <w:highlight w:val="none"/>
                      <w:vertAlign w:val="baseline"/>
                      <w:lang w:val="en-US" w:eastAsia="zh-CN"/>
                    </w:rPr>
                    <w:t>颗粒物、SO</w:t>
                  </w:r>
                  <w:r>
                    <w:rPr>
                      <w:rFonts w:hint="eastAsia" w:cs="Times New Roman"/>
                      <w:snapToGrid w:val="0"/>
                      <w:color w:val="auto"/>
                      <w:sz w:val="18"/>
                      <w:szCs w:val="18"/>
                      <w:highlight w:val="none"/>
                      <w:vertAlign w:val="subscript"/>
                      <w:lang w:val="en-US" w:eastAsia="zh-CN"/>
                    </w:rPr>
                    <w:t>2</w:t>
                  </w:r>
                  <w:r>
                    <w:rPr>
                      <w:rFonts w:hint="eastAsia" w:cs="Times New Roman"/>
                      <w:snapToGrid w:val="0"/>
                      <w:color w:val="auto"/>
                      <w:sz w:val="18"/>
                      <w:szCs w:val="18"/>
                      <w:highlight w:val="none"/>
                      <w:vertAlign w:val="baseline"/>
                      <w:lang w:val="en-US" w:eastAsia="zh-CN"/>
                    </w:rPr>
                    <w:t>、NO</w:t>
                  </w:r>
                  <w:r>
                    <w:rPr>
                      <w:rFonts w:hint="eastAsia" w:cs="Times New Roman"/>
                      <w:snapToGrid w:val="0"/>
                      <w:color w:val="auto"/>
                      <w:sz w:val="18"/>
                      <w:szCs w:val="18"/>
                      <w:highlight w:val="none"/>
                      <w:vertAlign w:val="subscript"/>
                      <w:lang w:val="en-US" w:eastAsia="zh-CN"/>
                    </w:rPr>
                    <w:t>X</w:t>
                  </w:r>
                </w:p>
              </w:tc>
              <w:tc>
                <w:tcPr>
                  <w:tcW w:w="751" w:type="pct"/>
                  <w:tcBorders>
                    <w:tl2br w:val="nil"/>
                    <w:tr2bl w:val="nil"/>
                  </w:tcBorders>
                  <w:noWrap w:val="0"/>
                  <w:vAlign w:val="center"/>
                </w:tcPr>
                <w:p w14:paraId="668142A1">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24</w:t>
                  </w:r>
                </w:p>
              </w:tc>
              <w:tc>
                <w:tcPr>
                  <w:tcW w:w="751" w:type="pct"/>
                  <w:tcBorders>
                    <w:tl2br w:val="nil"/>
                    <w:tr2bl w:val="nil"/>
                  </w:tcBorders>
                  <w:noWrap w:val="0"/>
                  <w:vAlign w:val="center"/>
                </w:tcPr>
                <w:p w14:paraId="6DDE6CDB">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1</w:t>
                  </w:r>
                </w:p>
              </w:tc>
              <w:tc>
                <w:tcPr>
                  <w:tcW w:w="794" w:type="pct"/>
                  <w:tcBorders>
                    <w:tl2br w:val="nil"/>
                    <w:tr2bl w:val="nil"/>
                  </w:tcBorders>
                  <w:noWrap w:val="0"/>
                  <w:vAlign w:val="center"/>
                </w:tcPr>
                <w:p w14:paraId="1EA2A6CE">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60</w:t>
                  </w:r>
                </w:p>
              </w:tc>
              <w:tc>
                <w:tcPr>
                  <w:tcW w:w="455" w:type="pct"/>
                  <w:tcBorders>
                    <w:tl2br w:val="nil"/>
                    <w:tr2bl w:val="nil"/>
                  </w:tcBorders>
                  <w:noWrap w:val="0"/>
                  <w:vAlign w:val="center"/>
                </w:tcPr>
                <w:p w14:paraId="6B22E7D3">
                  <w:pPr>
                    <w:jc w:val="center"/>
                    <w:rPr>
                      <w:rFonts w:ascii="Times New Roman" w:hAnsi="Times New Roman"/>
                      <w:color w:val="auto"/>
                      <w:sz w:val="18"/>
                      <w:szCs w:val="18"/>
                      <w:highlight w:val="none"/>
                    </w:rPr>
                  </w:pPr>
                  <w:r>
                    <w:rPr>
                      <w:rFonts w:hint="eastAsia"/>
                      <w:color w:val="auto"/>
                      <w:sz w:val="18"/>
                      <w:szCs w:val="18"/>
                      <w:highlight w:val="none"/>
                      <w:lang w:val="en-US" w:eastAsia="zh-CN"/>
                    </w:rPr>
                    <w:t>一般排放口</w:t>
                  </w:r>
                </w:p>
              </w:tc>
            </w:tr>
            <w:tr w14:paraId="7C6E7E2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81" w:type="pct"/>
                  <w:tcBorders>
                    <w:tl2br w:val="nil"/>
                    <w:tr2bl w:val="nil"/>
                  </w:tcBorders>
                  <w:noWrap w:val="0"/>
                  <w:vAlign w:val="center"/>
                </w:tcPr>
                <w:p w14:paraId="4FBE4F92">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DA002</w:t>
                  </w:r>
                </w:p>
              </w:tc>
              <w:tc>
                <w:tcPr>
                  <w:tcW w:w="782" w:type="pct"/>
                  <w:tcBorders>
                    <w:tl2br w:val="nil"/>
                    <w:tr2bl w:val="nil"/>
                  </w:tcBorders>
                  <w:shd w:val="clear" w:color="auto" w:fill="auto"/>
                  <w:noWrap w:val="0"/>
                  <w:vAlign w:val="center"/>
                </w:tcPr>
                <w:p w14:paraId="562F891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退火工序辐射管加热炉燃烧废气</w:t>
                  </w:r>
                </w:p>
              </w:tc>
              <w:tc>
                <w:tcPr>
                  <w:tcW w:w="682" w:type="pct"/>
                  <w:tcBorders>
                    <w:tl2br w:val="nil"/>
                    <w:tr2bl w:val="nil"/>
                  </w:tcBorders>
                  <w:noWrap w:val="0"/>
                  <w:vAlign w:val="center"/>
                </w:tcPr>
                <w:p w14:paraId="30C2168B">
                  <w:pPr>
                    <w:ind w:left="2"/>
                    <w:jc w:val="center"/>
                    <w:rPr>
                      <w:rFonts w:hint="eastAsia" w:ascii="Times New Roman" w:hAnsi="Times New Roman" w:eastAsia="宋体"/>
                      <w:color w:val="auto"/>
                      <w:sz w:val="18"/>
                      <w:szCs w:val="18"/>
                      <w:highlight w:val="none"/>
                      <w:lang w:val="en-US" w:eastAsia="zh-CN"/>
                    </w:rPr>
                  </w:pPr>
                  <w:r>
                    <w:rPr>
                      <w:rFonts w:hint="eastAsia" w:cs="Times New Roman"/>
                      <w:snapToGrid w:val="0"/>
                      <w:color w:val="auto"/>
                      <w:sz w:val="18"/>
                      <w:szCs w:val="18"/>
                      <w:highlight w:val="none"/>
                      <w:vertAlign w:val="baseline"/>
                      <w:lang w:val="en-US" w:eastAsia="zh-CN"/>
                    </w:rPr>
                    <w:t>颗粒物、SO</w:t>
                  </w:r>
                  <w:r>
                    <w:rPr>
                      <w:rFonts w:hint="eastAsia" w:cs="Times New Roman"/>
                      <w:snapToGrid w:val="0"/>
                      <w:color w:val="auto"/>
                      <w:sz w:val="18"/>
                      <w:szCs w:val="18"/>
                      <w:highlight w:val="none"/>
                      <w:vertAlign w:val="subscript"/>
                      <w:lang w:val="en-US" w:eastAsia="zh-CN"/>
                    </w:rPr>
                    <w:t>2</w:t>
                  </w:r>
                  <w:r>
                    <w:rPr>
                      <w:rFonts w:hint="eastAsia" w:cs="Times New Roman"/>
                      <w:snapToGrid w:val="0"/>
                      <w:color w:val="auto"/>
                      <w:sz w:val="18"/>
                      <w:szCs w:val="18"/>
                      <w:highlight w:val="none"/>
                      <w:vertAlign w:val="baseline"/>
                      <w:lang w:val="en-US" w:eastAsia="zh-CN"/>
                    </w:rPr>
                    <w:t>、NO</w:t>
                  </w:r>
                  <w:r>
                    <w:rPr>
                      <w:rFonts w:hint="eastAsia" w:cs="Times New Roman"/>
                      <w:snapToGrid w:val="0"/>
                      <w:color w:val="auto"/>
                      <w:sz w:val="18"/>
                      <w:szCs w:val="18"/>
                      <w:highlight w:val="none"/>
                      <w:vertAlign w:val="subscript"/>
                      <w:lang w:val="en-US" w:eastAsia="zh-CN"/>
                    </w:rPr>
                    <w:t>X</w:t>
                  </w:r>
                </w:p>
              </w:tc>
              <w:tc>
                <w:tcPr>
                  <w:tcW w:w="751" w:type="pct"/>
                  <w:tcBorders>
                    <w:tl2br w:val="nil"/>
                    <w:tr2bl w:val="nil"/>
                  </w:tcBorders>
                  <w:noWrap w:val="0"/>
                  <w:vAlign w:val="center"/>
                </w:tcPr>
                <w:p w14:paraId="710CE8F6">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24</w:t>
                  </w:r>
                </w:p>
              </w:tc>
              <w:tc>
                <w:tcPr>
                  <w:tcW w:w="751" w:type="pct"/>
                  <w:tcBorders>
                    <w:tl2br w:val="nil"/>
                    <w:tr2bl w:val="nil"/>
                  </w:tcBorders>
                  <w:noWrap w:val="0"/>
                  <w:vAlign w:val="center"/>
                </w:tcPr>
                <w:p w14:paraId="248C38D1">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0.4</w:t>
                  </w:r>
                </w:p>
              </w:tc>
              <w:tc>
                <w:tcPr>
                  <w:tcW w:w="794" w:type="pct"/>
                  <w:tcBorders>
                    <w:tl2br w:val="nil"/>
                    <w:tr2bl w:val="nil"/>
                  </w:tcBorders>
                  <w:noWrap w:val="0"/>
                  <w:vAlign w:val="center"/>
                </w:tcPr>
                <w:p w14:paraId="60615D4C">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60</w:t>
                  </w:r>
                </w:p>
              </w:tc>
              <w:tc>
                <w:tcPr>
                  <w:tcW w:w="455" w:type="pct"/>
                  <w:tcBorders>
                    <w:tl2br w:val="nil"/>
                    <w:tr2bl w:val="nil"/>
                  </w:tcBorders>
                  <w:shd w:val="clear" w:color="auto" w:fill="auto"/>
                  <w:noWrap w:val="0"/>
                  <w:vAlign w:val="center"/>
                </w:tcPr>
                <w:p w14:paraId="04820E87">
                  <w:pPr>
                    <w:jc w:val="center"/>
                    <w:rPr>
                      <w:rFonts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一般排放口</w:t>
                  </w:r>
                </w:p>
              </w:tc>
            </w:tr>
            <w:tr w14:paraId="5EC989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81" w:type="pct"/>
                  <w:tcBorders>
                    <w:tl2br w:val="nil"/>
                    <w:tr2bl w:val="nil"/>
                  </w:tcBorders>
                  <w:noWrap w:val="0"/>
                  <w:vAlign w:val="center"/>
                </w:tcPr>
                <w:p w14:paraId="4FD09E31">
                  <w:pPr>
                    <w:jc w:val="center"/>
                    <w:rPr>
                      <w:rFonts w:hint="default"/>
                      <w:color w:val="auto"/>
                      <w:sz w:val="18"/>
                      <w:szCs w:val="18"/>
                      <w:highlight w:val="none"/>
                      <w:lang w:val="en-US" w:eastAsia="zh-CN"/>
                    </w:rPr>
                  </w:pPr>
                  <w:r>
                    <w:rPr>
                      <w:rFonts w:hint="eastAsia"/>
                      <w:color w:val="auto"/>
                      <w:sz w:val="18"/>
                      <w:szCs w:val="18"/>
                      <w:highlight w:val="none"/>
                      <w:lang w:val="en-US" w:eastAsia="zh-CN"/>
                    </w:rPr>
                    <w:t>DA003</w:t>
                  </w:r>
                </w:p>
              </w:tc>
              <w:tc>
                <w:tcPr>
                  <w:tcW w:w="782" w:type="pct"/>
                  <w:tcBorders>
                    <w:tl2br w:val="nil"/>
                    <w:tr2bl w:val="nil"/>
                  </w:tcBorders>
                  <w:shd w:val="clear" w:color="auto" w:fill="auto"/>
                  <w:noWrap w:val="0"/>
                  <w:vAlign w:val="center"/>
                </w:tcPr>
                <w:p w14:paraId="7C65B6B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抛丸废气</w:t>
                  </w:r>
                </w:p>
              </w:tc>
              <w:tc>
                <w:tcPr>
                  <w:tcW w:w="682" w:type="pct"/>
                  <w:tcBorders>
                    <w:tl2br w:val="nil"/>
                    <w:tr2bl w:val="nil"/>
                  </w:tcBorders>
                  <w:noWrap w:val="0"/>
                  <w:vAlign w:val="center"/>
                </w:tcPr>
                <w:p w14:paraId="27D08C76">
                  <w:pPr>
                    <w:ind w:left="2"/>
                    <w:jc w:val="center"/>
                    <w:rPr>
                      <w:rFonts w:hint="default"/>
                      <w:color w:val="auto"/>
                      <w:sz w:val="18"/>
                      <w:szCs w:val="18"/>
                      <w:highlight w:val="none"/>
                      <w:lang w:val="en-US" w:eastAsia="zh-CN"/>
                    </w:rPr>
                  </w:pPr>
                  <w:r>
                    <w:rPr>
                      <w:rFonts w:hint="eastAsia" w:cs="Times New Roman"/>
                      <w:snapToGrid w:val="0"/>
                      <w:color w:val="auto"/>
                      <w:sz w:val="18"/>
                      <w:szCs w:val="18"/>
                      <w:highlight w:val="none"/>
                      <w:vertAlign w:val="baseline"/>
                      <w:lang w:val="en-US" w:eastAsia="zh-CN"/>
                    </w:rPr>
                    <w:t>颗粒物</w:t>
                  </w:r>
                </w:p>
              </w:tc>
              <w:tc>
                <w:tcPr>
                  <w:tcW w:w="751" w:type="pct"/>
                  <w:tcBorders>
                    <w:tl2br w:val="nil"/>
                    <w:tr2bl w:val="nil"/>
                  </w:tcBorders>
                  <w:noWrap w:val="0"/>
                  <w:vAlign w:val="center"/>
                </w:tcPr>
                <w:p w14:paraId="15C6E3CF">
                  <w:pPr>
                    <w:jc w:val="center"/>
                    <w:rPr>
                      <w:rFonts w:hint="default"/>
                      <w:color w:val="auto"/>
                      <w:sz w:val="18"/>
                      <w:szCs w:val="18"/>
                      <w:highlight w:val="none"/>
                      <w:lang w:val="en-US" w:eastAsia="zh-CN"/>
                    </w:rPr>
                  </w:pPr>
                  <w:r>
                    <w:rPr>
                      <w:rFonts w:hint="eastAsia"/>
                      <w:color w:val="auto"/>
                      <w:sz w:val="18"/>
                      <w:szCs w:val="18"/>
                      <w:highlight w:val="none"/>
                      <w:lang w:val="en-US" w:eastAsia="zh-CN"/>
                    </w:rPr>
                    <w:t>24</w:t>
                  </w:r>
                </w:p>
              </w:tc>
              <w:tc>
                <w:tcPr>
                  <w:tcW w:w="751" w:type="pct"/>
                  <w:tcBorders>
                    <w:tl2br w:val="nil"/>
                    <w:tr2bl w:val="nil"/>
                  </w:tcBorders>
                  <w:noWrap w:val="0"/>
                  <w:vAlign w:val="center"/>
                </w:tcPr>
                <w:p w14:paraId="059881A8">
                  <w:pPr>
                    <w:jc w:val="center"/>
                    <w:rPr>
                      <w:rFonts w:hint="default"/>
                      <w:color w:val="auto"/>
                      <w:sz w:val="18"/>
                      <w:szCs w:val="18"/>
                      <w:highlight w:val="none"/>
                      <w:lang w:val="en-US" w:eastAsia="zh-CN"/>
                    </w:rPr>
                  </w:pPr>
                  <w:r>
                    <w:rPr>
                      <w:rFonts w:hint="eastAsia"/>
                      <w:color w:val="auto"/>
                      <w:sz w:val="18"/>
                      <w:szCs w:val="18"/>
                      <w:highlight w:val="none"/>
                      <w:lang w:val="en-US" w:eastAsia="zh-CN"/>
                    </w:rPr>
                    <w:t>1.2</w:t>
                  </w:r>
                </w:p>
              </w:tc>
              <w:tc>
                <w:tcPr>
                  <w:tcW w:w="794" w:type="pct"/>
                  <w:tcBorders>
                    <w:tl2br w:val="nil"/>
                    <w:tr2bl w:val="nil"/>
                  </w:tcBorders>
                  <w:noWrap w:val="0"/>
                  <w:vAlign w:val="center"/>
                </w:tcPr>
                <w:p w14:paraId="467AB432">
                  <w:pPr>
                    <w:jc w:val="center"/>
                    <w:rPr>
                      <w:rFonts w:hint="default"/>
                      <w:color w:val="auto"/>
                      <w:sz w:val="18"/>
                      <w:szCs w:val="18"/>
                      <w:highlight w:val="none"/>
                      <w:lang w:val="en-US" w:eastAsia="zh-CN"/>
                    </w:rPr>
                  </w:pPr>
                  <w:r>
                    <w:rPr>
                      <w:rFonts w:hint="eastAsia"/>
                      <w:color w:val="auto"/>
                      <w:sz w:val="18"/>
                      <w:szCs w:val="18"/>
                      <w:highlight w:val="none"/>
                      <w:lang w:val="en-US" w:eastAsia="zh-CN"/>
                    </w:rPr>
                    <w:t>常温</w:t>
                  </w:r>
                </w:p>
              </w:tc>
              <w:tc>
                <w:tcPr>
                  <w:tcW w:w="455" w:type="pct"/>
                  <w:tcBorders>
                    <w:tl2br w:val="nil"/>
                    <w:tr2bl w:val="nil"/>
                  </w:tcBorders>
                  <w:shd w:val="clear" w:color="auto" w:fill="auto"/>
                  <w:noWrap w:val="0"/>
                  <w:vAlign w:val="center"/>
                </w:tcPr>
                <w:p w14:paraId="3513A05A">
                  <w:pPr>
                    <w:jc w:val="center"/>
                    <w:rPr>
                      <w:rFonts w:hint="default"/>
                      <w:color w:val="auto"/>
                      <w:sz w:val="18"/>
                      <w:szCs w:val="18"/>
                      <w:highlight w:val="none"/>
                      <w:lang w:val="en-US" w:eastAsia="zh-CN"/>
                    </w:rPr>
                  </w:pPr>
                  <w:r>
                    <w:rPr>
                      <w:rFonts w:hint="eastAsia"/>
                      <w:color w:val="auto"/>
                      <w:sz w:val="18"/>
                      <w:szCs w:val="18"/>
                      <w:highlight w:val="none"/>
                      <w:lang w:val="en-US" w:eastAsia="zh-CN"/>
                    </w:rPr>
                    <w:t>一般排放口</w:t>
                  </w:r>
                </w:p>
              </w:tc>
            </w:tr>
            <w:tr w14:paraId="630609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81" w:type="pct"/>
                  <w:tcBorders>
                    <w:tl2br w:val="nil"/>
                    <w:tr2bl w:val="nil"/>
                  </w:tcBorders>
                  <w:noWrap w:val="0"/>
                  <w:vAlign w:val="center"/>
                </w:tcPr>
                <w:p w14:paraId="127AEE03">
                  <w:pPr>
                    <w:jc w:val="center"/>
                    <w:rPr>
                      <w:rFonts w:hint="default"/>
                      <w:color w:val="auto"/>
                      <w:sz w:val="18"/>
                      <w:szCs w:val="18"/>
                      <w:highlight w:val="none"/>
                      <w:lang w:val="en-US" w:eastAsia="zh-CN"/>
                    </w:rPr>
                  </w:pPr>
                  <w:r>
                    <w:rPr>
                      <w:rFonts w:hint="eastAsia"/>
                      <w:color w:val="auto"/>
                      <w:sz w:val="18"/>
                      <w:szCs w:val="18"/>
                      <w:highlight w:val="none"/>
                      <w:lang w:val="en-US" w:eastAsia="zh-CN"/>
                    </w:rPr>
                    <w:t>DA004</w:t>
                  </w:r>
                </w:p>
              </w:tc>
              <w:tc>
                <w:tcPr>
                  <w:tcW w:w="782" w:type="pct"/>
                  <w:tcBorders>
                    <w:tl2br w:val="nil"/>
                    <w:tr2bl w:val="nil"/>
                  </w:tcBorders>
                  <w:noWrap w:val="0"/>
                  <w:vAlign w:val="center"/>
                </w:tcPr>
                <w:p w14:paraId="4515CD73">
                  <w:pPr>
                    <w:jc w:val="center"/>
                    <w:rPr>
                      <w:rFonts w:hint="default"/>
                      <w:color w:val="auto"/>
                      <w:sz w:val="18"/>
                      <w:szCs w:val="18"/>
                      <w:highlight w:val="none"/>
                      <w:lang w:val="en-US" w:eastAsia="zh-CN"/>
                    </w:rPr>
                  </w:pPr>
                  <w:r>
                    <w:rPr>
                      <w:rFonts w:hint="eastAsia" w:cs="Times New Roman"/>
                      <w:snapToGrid w:val="0"/>
                      <w:color w:val="auto"/>
                      <w:sz w:val="18"/>
                      <w:szCs w:val="18"/>
                      <w:highlight w:val="none"/>
                      <w:vertAlign w:val="baseline"/>
                      <w:lang w:val="en-US" w:eastAsia="zh-CN"/>
                    </w:rPr>
                    <w:t>盐酸酸洗及酸洗后水洗废气盐酸储罐呼吸废气</w:t>
                  </w:r>
                </w:p>
              </w:tc>
              <w:tc>
                <w:tcPr>
                  <w:tcW w:w="682" w:type="pct"/>
                  <w:tcBorders>
                    <w:tl2br w:val="nil"/>
                    <w:tr2bl w:val="nil"/>
                  </w:tcBorders>
                  <w:noWrap w:val="0"/>
                  <w:vAlign w:val="center"/>
                </w:tcPr>
                <w:p w14:paraId="4D0D0E54">
                  <w:pPr>
                    <w:ind w:left="2"/>
                    <w:jc w:val="center"/>
                    <w:rPr>
                      <w:rFonts w:hint="default"/>
                      <w:color w:val="auto"/>
                      <w:sz w:val="18"/>
                      <w:szCs w:val="18"/>
                      <w:highlight w:val="none"/>
                      <w:lang w:val="en-US" w:eastAsia="zh-CN"/>
                    </w:rPr>
                  </w:pPr>
                  <w:r>
                    <w:rPr>
                      <w:rFonts w:hint="eastAsia"/>
                      <w:color w:val="auto"/>
                      <w:sz w:val="18"/>
                      <w:szCs w:val="18"/>
                      <w:highlight w:val="none"/>
                      <w:lang w:val="en-US" w:eastAsia="zh-CN"/>
                    </w:rPr>
                    <w:t>氯化氢</w:t>
                  </w:r>
                </w:p>
              </w:tc>
              <w:tc>
                <w:tcPr>
                  <w:tcW w:w="751" w:type="pct"/>
                  <w:tcBorders>
                    <w:tl2br w:val="nil"/>
                    <w:tr2bl w:val="nil"/>
                  </w:tcBorders>
                  <w:noWrap w:val="0"/>
                  <w:vAlign w:val="center"/>
                </w:tcPr>
                <w:p w14:paraId="6C54984C">
                  <w:pPr>
                    <w:jc w:val="center"/>
                    <w:rPr>
                      <w:rFonts w:hint="default"/>
                      <w:color w:val="auto"/>
                      <w:sz w:val="18"/>
                      <w:szCs w:val="18"/>
                      <w:highlight w:val="none"/>
                      <w:lang w:val="en-US" w:eastAsia="zh-CN"/>
                    </w:rPr>
                  </w:pPr>
                  <w:r>
                    <w:rPr>
                      <w:rFonts w:hint="eastAsia"/>
                      <w:color w:val="auto"/>
                      <w:sz w:val="18"/>
                      <w:szCs w:val="18"/>
                      <w:highlight w:val="none"/>
                      <w:lang w:val="en-US" w:eastAsia="zh-CN"/>
                    </w:rPr>
                    <w:t>24</w:t>
                  </w:r>
                </w:p>
              </w:tc>
              <w:tc>
                <w:tcPr>
                  <w:tcW w:w="751" w:type="pct"/>
                  <w:tcBorders>
                    <w:tl2br w:val="nil"/>
                    <w:tr2bl w:val="nil"/>
                  </w:tcBorders>
                  <w:noWrap w:val="0"/>
                  <w:vAlign w:val="center"/>
                </w:tcPr>
                <w:p w14:paraId="55B7A890">
                  <w:pPr>
                    <w:jc w:val="center"/>
                    <w:rPr>
                      <w:rFonts w:hint="default"/>
                      <w:color w:val="auto"/>
                      <w:sz w:val="18"/>
                      <w:szCs w:val="18"/>
                      <w:highlight w:val="none"/>
                      <w:lang w:val="en-US" w:eastAsia="zh-CN"/>
                    </w:rPr>
                  </w:pPr>
                  <w:r>
                    <w:rPr>
                      <w:rFonts w:hint="eastAsia"/>
                      <w:color w:val="auto"/>
                      <w:sz w:val="18"/>
                      <w:szCs w:val="18"/>
                      <w:highlight w:val="none"/>
                      <w:lang w:val="en-US" w:eastAsia="zh-CN"/>
                    </w:rPr>
                    <w:t>1</w:t>
                  </w:r>
                </w:p>
              </w:tc>
              <w:tc>
                <w:tcPr>
                  <w:tcW w:w="794" w:type="pct"/>
                  <w:tcBorders>
                    <w:tl2br w:val="nil"/>
                    <w:tr2bl w:val="nil"/>
                  </w:tcBorders>
                  <w:noWrap w:val="0"/>
                  <w:vAlign w:val="center"/>
                </w:tcPr>
                <w:p w14:paraId="1315647C">
                  <w:pPr>
                    <w:jc w:val="center"/>
                    <w:rPr>
                      <w:rFonts w:hint="default"/>
                      <w:color w:val="auto"/>
                      <w:sz w:val="18"/>
                      <w:szCs w:val="18"/>
                      <w:highlight w:val="none"/>
                      <w:lang w:val="en-US" w:eastAsia="zh-CN"/>
                    </w:rPr>
                  </w:pPr>
                  <w:r>
                    <w:rPr>
                      <w:rFonts w:hint="eastAsia"/>
                      <w:color w:val="auto"/>
                      <w:sz w:val="18"/>
                      <w:szCs w:val="18"/>
                      <w:highlight w:val="none"/>
                      <w:lang w:val="en-US" w:eastAsia="zh-CN"/>
                    </w:rPr>
                    <w:t>常温</w:t>
                  </w:r>
                </w:p>
              </w:tc>
              <w:tc>
                <w:tcPr>
                  <w:tcW w:w="455" w:type="pct"/>
                  <w:tcBorders>
                    <w:tl2br w:val="nil"/>
                    <w:tr2bl w:val="nil"/>
                  </w:tcBorders>
                  <w:shd w:val="clear" w:color="auto" w:fill="auto"/>
                  <w:noWrap w:val="0"/>
                  <w:vAlign w:val="center"/>
                </w:tcPr>
                <w:p w14:paraId="66692D52">
                  <w:pPr>
                    <w:jc w:val="center"/>
                    <w:rPr>
                      <w:rFonts w:hint="default"/>
                      <w:color w:val="auto"/>
                      <w:sz w:val="18"/>
                      <w:szCs w:val="18"/>
                      <w:highlight w:val="none"/>
                      <w:lang w:val="en-US" w:eastAsia="zh-CN"/>
                    </w:rPr>
                  </w:pPr>
                  <w:r>
                    <w:rPr>
                      <w:rFonts w:hint="eastAsia"/>
                      <w:color w:val="auto"/>
                      <w:sz w:val="18"/>
                      <w:szCs w:val="18"/>
                      <w:highlight w:val="none"/>
                      <w:lang w:val="en-US" w:eastAsia="zh-CN"/>
                    </w:rPr>
                    <w:t>一般排放口</w:t>
                  </w:r>
                </w:p>
              </w:tc>
            </w:tr>
            <w:tr w14:paraId="0C1BD6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81" w:type="pct"/>
                  <w:tcBorders>
                    <w:tl2br w:val="nil"/>
                    <w:tr2bl w:val="nil"/>
                  </w:tcBorders>
                  <w:noWrap w:val="0"/>
                  <w:vAlign w:val="center"/>
                </w:tcPr>
                <w:p w14:paraId="1380FFDB">
                  <w:pPr>
                    <w:jc w:val="center"/>
                    <w:rPr>
                      <w:rFonts w:hint="default"/>
                      <w:color w:val="auto"/>
                      <w:sz w:val="18"/>
                      <w:szCs w:val="18"/>
                      <w:highlight w:val="none"/>
                      <w:lang w:val="en-US" w:eastAsia="zh-CN"/>
                    </w:rPr>
                  </w:pPr>
                  <w:r>
                    <w:rPr>
                      <w:rFonts w:hint="eastAsia"/>
                      <w:color w:val="auto"/>
                      <w:sz w:val="18"/>
                      <w:szCs w:val="18"/>
                      <w:highlight w:val="none"/>
                      <w:lang w:val="en-US" w:eastAsia="zh-CN"/>
                    </w:rPr>
                    <w:t>DA005</w:t>
                  </w:r>
                </w:p>
              </w:tc>
              <w:tc>
                <w:tcPr>
                  <w:tcW w:w="782" w:type="pct"/>
                  <w:tcBorders>
                    <w:tl2br w:val="nil"/>
                    <w:tr2bl w:val="nil"/>
                  </w:tcBorders>
                  <w:noWrap w:val="0"/>
                  <w:vAlign w:val="center"/>
                </w:tcPr>
                <w:p w14:paraId="44E23FE0">
                  <w:pPr>
                    <w:jc w:val="center"/>
                    <w:rPr>
                      <w:rFonts w:hint="default"/>
                      <w:color w:val="auto"/>
                      <w:sz w:val="18"/>
                      <w:szCs w:val="18"/>
                      <w:highlight w:val="none"/>
                      <w:lang w:val="en-US" w:eastAsia="zh-CN"/>
                    </w:rPr>
                  </w:pPr>
                  <w:r>
                    <w:rPr>
                      <w:rFonts w:hint="eastAsia" w:cs="Times New Roman"/>
                      <w:snapToGrid w:val="0"/>
                      <w:color w:val="auto"/>
                      <w:sz w:val="18"/>
                      <w:szCs w:val="18"/>
                      <w:highlight w:val="none"/>
                      <w:vertAlign w:val="baseline"/>
                      <w:lang w:val="en-US" w:eastAsia="zh-CN"/>
                    </w:rPr>
                    <w:t>冷轧废气</w:t>
                  </w:r>
                </w:p>
              </w:tc>
              <w:tc>
                <w:tcPr>
                  <w:tcW w:w="682" w:type="pct"/>
                  <w:tcBorders>
                    <w:tl2br w:val="nil"/>
                    <w:tr2bl w:val="nil"/>
                  </w:tcBorders>
                  <w:noWrap w:val="0"/>
                  <w:vAlign w:val="center"/>
                </w:tcPr>
                <w:p w14:paraId="725BD0FC">
                  <w:pPr>
                    <w:ind w:left="2"/>
                    <w:jc w:val="center"/>
                    <w:rPr>
                      <w:rFonts w:hint="default"/>
                      <w:color w:val="auto"/>
                      <w:sz w:val="18"/>
                      <w:szCs w:val="18"/>
                      <w:highlight w:val="none"/>
                      <w:lang w:val="en-US" w:eastAsia="zh-CN"/>
                    </w:rPr>
                  </w:pPr>
                  <w:r>
                    <w:rPr>
                      <w:rFonts w:hint="eastAsia"/>
                      <w:color w:val="auto"/>
                      <w:sz w:val="18"/>
                      <w:szCs w:val="18"/>
                      <w:highlight w:val="none"/>
                      <w:lang w:val="en-US" w:eastAsia="zh-CN"/>
                    </w:rPr>
                    <w:t>油雾</w:t>
                  </w:r>
                </w:p>
              </w:tc>
              <w:tc>
                <w:tcPr>
                  <w:tcW w:w="751" w:type="pct"/>
                  <w:tcBorders>
                    <w:tl2br w:val="nil"/>
                    <w:tr2bl w:val="nil"/>
                  </w:tcBorders>
                  <w:noWrap w:val="0"/>
                  <w:vAlign w:val="center"/>
                </w:tcPr>
                <w:p w14:paraId="22453F6A">
                  <w:pPr>
                    <w:jc w:val="center"/>
                    <w:rPr>
                      <w:rFonts w:hint="default"/>
                      <w:color w:val="auto"/>
                      <w:sz w:val="18"/>
                      <w:szCs w:val="18"/>
                      <w:highlight w:val="none"/>
                      <w:lang w:val="en-US" w:eastAsia="zh-CN"/>
                    </w:rPr>
                  </w:pPr>
                  <w:r>
                    <w:rPr>
                      <w:rFonts w:hint="eastAsia"/>
                      <w:color w:val="auto"/>
                      <w:sz w:val="18"/>
                      <w:szCs w:val="18"/>
                      <w:highlight w:val="none"/>
                      <w:lang w:val="en-US" w:eastAsia="zh-CN"/>
                    </w:rPr>
                    <w:t>24</w:t>
                  </w:r>
                </w:p>
              </w:tc>
              <w:tc>
                <w:tcPr>
                  <w:tcW w:w="751" w:type="pct"/>
                  <w:tcBorders>
                    <w:tl2br w:val="nil"/>
                    <w:tr2bl w:val="nil"/>
                  </w:tcBorders>
                  <w:noWrap w:val="0"/>
                  <w:vAlign w:val="center"/>
                </w:tcPr>
                <w:p w14:paraId="257E9D84">
                  <w:pPr>
                    <w:jc w:val="center"/>
                    <w:rPr>
                      <w:rFonts w:hint="default"/>
                      <w:color w:val="auto"/>
                      <w:sz w:val="18"/>
                      <w:szCs w:val="18"/>
                      <w:highlight w:val="none"/>
                      <w:lang w:val="en-US" w:eastAsia="zh-CN"/>
                    </w:rPr>
                  </w:pPr>
                  <w:r>
                    <w:rPr>
                      <w:rFonts w:hint="eastAsia"/>
                      <w:color w:val="auto"/>
                      <w:sz w:val="18"/>
                      <w:szCs w:val="18"/>
                      <w:highlight w:val="none"/>
                      <w:lang w:val="en-US" w:eastAsia="zh-CN"/>
                    </w:rPr>
                    <w:t>2.2</w:t>
                  </w:r>
                </w:p>
              </w:tc>
              <w:tc>
                <w:tcPr>
                  <w:tcW w:w="794" w:type="pct"/>
                  <w:tcBorders>
                    <w:tl2br w:val="nil"/>
                    <w:tr2bl w:val="nil"/>
                  </w:tcBorders>
                  <w:noWrap w:val="0"/>
                  <w:vAlign w:val="center"/>
                </w:tcPr>
                <w:p w14:paraId="29EEE6DF">
                  <w:pPr>
                    <w:jc w:val="center"/>
                    <w:rPr>
                      <w:rFonts w:hint="eastAsia"/>
                      <w:color w:val="auto"/>
                      <w:sz w:val="18"/>
                      <w:szCs w:val="18"/>
                      <w:highlight w:val="none"/>
                      <w:lang w:val="en-US" w:eastAsia="zh-CN"/>
                    </w:rPr>
                  </w:pPr>
                  <w:r>
                    <w:rPr>
                      <w:rFonts w:hint="eastAsia"/>
                      <w:color w:val="auto"/>
                      <w:sz w:val="18"/>
                      <w:szCs w:val="18"/>
                      <w:highlight w:val="none"/>
                      <w:lang w:val="en-US" w:eastAsia="zh-CN"/>
                    </w:rPr>
                    <w:t>常温</w:t>
                  </w:r>
                </w:p>
              </w:tc>
              <w:tc>
                <w:tcPr>
                  <w:tcW w:w="455" w:type="pct"/>
                  <w:tcBorders>
                    <w:tl2br w:val="nil"/>
                    <w:tr2bl w:val="nil"/>
                  </w:tcBorders>
                  <w:shd w:val="clear" w:color="auto" w:fill="auto"/>
                  <w:noWrap w:val="0"/>
                  <w:vAlign w:val="center"/>
                </w:tcPr>
                <w:p w14:paraId="4F2F9FB4">
                  <w:pPr>
                    <w:jc w:val="center"/>
                    <w:rPr>
                      <w:rFonts w:hint="eastAsia"/>
                      <w:color w:val="auto"/>
                      <w:sz w:val="18"/>
                      <w:szCs w:val="18"/>
                      <w:highlight w:val="none"/>
                      <w:lang w:val="en-US" w:eastAsia="zh-CN"/>
                    </w:rPr>
                  </w:pPr>
                  <w:r>
                    <w:rPr>
                      <w:rFonts w:hint="eastAsia"/>
                      <w:color w:val="auto"/>
                      <w:sz w:val="18"/>
                      <w:szCs w:val="18"/>
                      <w:highlight w:val="none"/>
                      <w:lang w:val="en-US" w:eastAsia="zh-CN"/>
                    </w:rPr>
                    <w:t>一般排放口</w:t>
                  </w:r>
                </w:p>
              </w:tc>
            </w:tr>
            <w:tr w14:paraId="12ACADC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81" w:type="pct"/>
                  <w:tcBorders>
                    <w:tl2br w:val="nil"/>
                    <w:tr2bl w:val="nil"/>
                  </w:tcBorders>
                  <w:noWrap w:val="0"/>
                  <w:vAlign w:val="center"/>
                </w:tcPr>
                <w:p w14:paraId="35B2DD36">
                  <w:pPr>
                    <w:jc w:val="center"/>
                    <w:rPr>
                      <w:rFonts w:hint="default"/>
                      <w:color w:val="auto"/>
                      <w:sz w:val="18"/>
                      <w:szCs w:val="18"/>
                      <w:highlight w:val="none"/>
                      <w:lang w:val="en-US" w:eastAsia="zh-CN"/>
                    </w:rPr>
                  </w:pPr>
                  <w:r>
                    <w:rPr>
                      <w:rFonts w:hint="eastAsia"/>
                      <w:color w:val="auto"/>
                      <w:sz w:val="18"/>
                      <w:szCs w:val="18"/>
                      <w:highlight w:val="none"/>
                      <w:lang w:val="en-US" w:eastAsia="zh-CN"/>
                    </w:rPr>
                    <w:t>DA006</w:t>
                  </w:r>
                </w:p>
              </w:tc>
              <w:tc>
                <w:tcPr>
                  <w:tcW w:w="782" w:type="pct"/>
                  <w:tcBorders>
                    <w:tl2br w:val="nil"/>
                    <w:tr2bl w:val="nil"/>
                  </w:tcBorders>
                  <w:noWrap w:val="0"/>
                  <w:vAlign w:val="center"/>
                </w:tcPr>
                <w:p w14:paraId="54E1CA27">
                  <w:pPr>
                    <w:jc w:val="center"/>
                    <w:rPr>
                      <w:rFonts w:hint="default"/>
                      <w:color w:val="auto"/>
                      <w:sz w:val="18"/>
                      <w:szCs w:val="18"/>
                      <w:highlight w:val="none"/>
                      <w:lang w:val="en-US" w:eastAsia="zh-CN"/>
                    </w:rPr>
                  </w:pPr>
                  <w:r>
                    <w:rPr>
                      <w:rFonts w:hint="eastAsia" w:cs="Times New Roman"/>
                      <w:snapToGrid w:val="0"/>
                      <w:color w:val="auto"/>
                      <w:sz w:val="18"/>
                      <w:szCs w:val="18"/>
                      <w:highlight w:val="none"/>
                      <w:vertAlign w:val="baseline"/>
                      <w:lang w:val="en-US" w:eastAsia="zh-CN"/>
                    </w:rPr>
                    <w:t>碱洗废气</w:t>
                  </w:r>
                </w:p>
              </w:tc>
              <w:tc>
                <w:tcPr>
                  <w:tcW w:w="682" w:type="pct"/>
                  <w:tcBorders>
                    <w:tl2br w:val="nil"/>
                    <w:tr2bl w:val="nil"/>
                  </w:tcBorders>
                  <w:noWrap w:val="0"/>
                  <w:vAlign w:val="center"/>
                </w:tcPr>
                <w:p w14:paraId="38C553DA">
                  <w:pPr>
                    <w:ind w:left="2"/>
                    <w:jc w:val="center"/>
                    <w:rPr>
                      <w:rFonts w:hint="default"/>
                      <w:color w:val="auto"/>
                      <w:sz w:val="18"/>
                      <w:szCs w:val="18"/>
                      <w:highlight w:val="none"/>
                      <w:lang w:val="en-US" w:eastAsia="zh-CN"/>
                    </w:rPr>
                  </w:pPr>
                  <w:r>
                    <w:rPr>
                      <w:rFonts w:hint="eastAsia"/>
                      <w:color w:val="auto"/>
                      <w:sz w:val="18"/>
                      <w:szCs w:val="18"/>
                      <w:highlight w:val="none"/>
                      <w:lang w:val="en-US" w:eastAsia="zh-CN"/>
                    </w:rPr>
                    <w:t>碱雾</w:t>
                  </w:r>
                </w:p>
              </w:tc>
              <w:tc>
                <w:tcPr>
                  <w:tcW w:w="751" w:type="pct"/>
                  <w:tcBorders>
                    <w:tl2br w:val="nil"/>
                    <w:tr2bl w:val="nil"/>
                  </w:tcBorders>
                  <w:noWrap w:val="0"/>
                  <w:vAlign w:val="center"/>
                </w:tcPr>
                <w:p w14:paraId="160EC54E">
                  <w:pPr>
                    <w:jc w:val="center"/>
                    <w:rPr>
                      <w:rFonts w:hint="default"/>
                      <w:color w:val="auto"/>
                      <w:sz w:val="18"/>
                      <w:szCs w:val="18"/>
                      <w:highlight w:val="none"/>
                      <w:lang w:val="en-US" w:eastAsia="zh-CN"/>
                    </w:rPr>
                  </w:pPr>
                  <w:r>
                    <w:rPr>
                      <w:rFonts w:hint="eastAsia"/>
                      <w:color w:val="auto"/>
                      <w:sz w:val="18"/>
                      <w:szCs w:val="18"/>
                      <w:highlight w:val="none"/>
                      <w:lang w:val="en-US" w:eastAsia="zh-CN"/>
                    </w:rPr>
                    <w:t>24</w:t>
                  </w:r>
                </w:p>
              </w:tc>
              <w:tc>
                <w:tcPr>
                  <w:tcW w:w="751" w:type="pct"/>
                  <w:tcBorders>
                    <w:tl2br w:val="nil"/>
                    <w:tr2bl w:val="nil"/>
                  </w:tcBorders>
                  <w:noWrap w:val="0"/>
                  <w:vAlign w:val="center"/>
                </w:tcPr>
                <w:p w14:paraId="25452869">
                  <w:pPr>
                    <w:jc w:val="center"/>
                    <w:rPr>
                      <w:rFonts w:hint="default"/>
                      <w:color w:val="auto"/>
                      <w:sz w:val="18"/>
                      <w:szCs w:val="18"/>
                      <w:highlight w:val="none"/>
                      <w:lang w:val="en-US" w:eastAsia="zh-CN"/>
                    </w:rPr>
                  </w:pPr>
                  <w:r>
                    <w:rPr>
                      <w:rFonts w:hint="eastAsia"/>
                      <w:color w:val="auto"/>
                      <w:sz w:val="18"/>
                      <w:szCs w:val="18"/>
                      <w:highlight w:val="none"/>
                      <w:lang w:val="en-US" w:eastAsia="zh-CN"/>
                    </w:rPr>
                    <w:t>0.7</w:t>
                  </w:r>
                </w:p>
              </w:tc>
              <w:tc>
                <w:tcPr>
                  <w:tcW w:w="794" w:type="pct"/>
                  <w:tcBorders>
                    <w:tl2br w:val="nil"/>
                    <w:tr2bl w:val="nil"/>
                  </w:tcBorders>
                  <w:noWrap w:val="0"/>
                  <w:vAlign w:val="center"/>
                </w:tcPr>
                <w:p w14:paraId="37D4CA64">
                  <w:pPr>
                    <w:jc w:val="center"/>
                    <w:rPr>
                      <w:rFonts w:hint="eastAsia"/>
                      <w:color w:val="auto"/>
                      <w:sz w:val="18"/>
                      <w:szCs w:val="18"/>
                      <w:highlight w:val="none"/>
                      <w:lang w:val="en-US" w:eastAsia="zh-CN"/>
                    </w:rPr>
                  </w:pPr>
                  <w:r>
                    <w:rPr>
                      <w:rFonts w:hint="eastAsia"/>
                      <w:color w:val="auto"/>
                      <w:sz w:val="18"/>
                      <w:szCs w:val="18"/>
                      <w:highlight w:val="none"/>
                      <w:lang w:val="en-US" w:eastAsia="zh-CN"/>
                    </w:rPr>
                    <w:t>常温</w:t>
                  </w:r>
                </w:p>
              </w:tc>
              <w:tc>
                <w:tcPr>
                  <w:tcW w:w="455" w:type="pct"/>
                  <w:tcBorders>
                    <w:tl2br w:val="nil"/>
                    <w:tr2bl w:val="nil"/>
                  </w:tcBorders>
                  <w:shd w:val="clear" w:color="auto" w:fill="auto"/>
                  <w:noWrap w:val="0"/>
                  <w:vAlign w:val="center"/>
                </w:tcPr>
                <w:p w14:paraId="00E231E9">
                  <w:pPr>
                    <w:jc w:val="center"/>
                    <w:rPr>
                      <w:rFonts w:hint="eastAsia"/>
                      <w:color w:val="auto"/>
                      <w:sz w:val="18"/>
                      <w:szCs w:val="18"/>
                      <w:highlight w:val="none"/>
                      <w:lang w:val="en-US" w:eastAsia="zh-CN"/>
                    </w:rPr>
                  </w:pPr>
                  <w:r>
                    <w:rPr>
                      <w:rFonts w:hint="eastAsia"/>
                      <w:color w:val="auto"/>
                      <w:sz w:val="18"/>
                      <w:szCs w:val="18"/>
                      <w:highlight w:val="none"/>
                      <w:lang w:val="en-US" w:eastAsia="zh-CN"/>
                    </w:rPr>
                    <w:t>一般排放口</w:t>
                  </w:r>
                </w:p>
              </w:tc>
            </w:tr>
            <w:tr w14:paraId="490443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81" w:type="pct"/>
                  <w:tcBorders>
                    <w:tl2br w:val="nil"/>
                    <w:tr2bl w:val="nil"/>
                  </w:tcBorders>
                  <w:noWrap w:val="0"/>
                  <w:vAlign w:val="center"/>
                </w:tcPr>
                <w:p w14:paraId="0D14C34E">
                  <w:pPr>
                    <w:jc w:val="center"/>
                    <w:rPr>
                      <w:rFonts w:hint="default"/>
                      <w:color w:val="auto"/>
                      <w:sz w:val="18"/>
                      <w:szCs w:val="18"/>
                      <w:highlight w:val="none"/>
                      <w:lang w:val="en-US" w:eastAsia="zh-CN"/>
                    </w:rPr>
                  </w:pPr>
                  <w:r>
                    <w:rPr>
                      <w:rFonts w:hint="eastAsia"/>
                      <w:color w:val="auto"/>
                      <w:sz w:val="18"/>
                      <w:szCs w:val="18"/>
                      <w:highlight w:val="none"/>
                      <w:lang w:val="en-US" w:eastAsia="zh-CN"/>
                    </w:rPr>
                    <w:t>DA007</w:t>
                  </w:r>
                </w:p>
              </w:tc>
              <w:tc>
                <w:tcPr>
                  <w:tcW w:w="782" w:type="pct"/>
                  <w:tcBorders>
                    <w:tl2br w:val="nil"/>
                    <w:tr2bl w:val="nil"/>
                  </w:tcBorders>
                  <w:shd w:val="clear" w:color="auto" w:fill="auto"/>
                  <w:noWrap w:val="0"/>
                  <w:vAlign w:val="center"/>
                </w:tcPr>
                <w:p w14:paraId="04F712D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退火炉燃烧废气</w:t>
                  </w:r>
                </w:p>
              </w:tc>
              <w:tc>
                <w:tcPr>
                  <w:tcW w:w="682" w:type="pct"/>
                  <w:tcBorders>
                    <w:tl2br w:val="nil"/>
                    <w:tr2bl w:val="nil"/>
                  </w:tcBorders>
                  <w:noWrap w:val="0"/>
                  <w:vAlign w:val="center"/>
                </w:tcPr>
                <w:p w14:paraId="320C21EC">
                  <w:pPr>
                    <w:ind w:left="2"/>
                    <w:jc w:val="center"/>
                    <w:rPr>
                      <w:rFonts w:hint="default"/>
                      <w:color w:val="auto"/>
                      <w:sz w:val="18"/>
                      <w:szCs w:val="18"/>
                      <w:highlight w:val="none"/>
                      <w:lang w:val="en-US" w:eastAsia="zh-CN"/>
                    </w:rPr>
                  </w:pPr>
                  <w:r>
                    <w:rPr>
                      <w:rFonts w:hint="eastAsia" w:cs="Times New Roman"/>
                      <w:snapToGrid w:val="0"/>
                      <w:color w:val="auto"/>
                      <w:sz w:val="18"/>
                      <w:szCs w:val="18"/>
                      <w:highlight w:val="none"/>
                      <w:vertAlign w:val="baseline"/>
                      <w:lang w:val="en-US" w:eastAsia="zh-CN"/>
                    </w:rPr>
                    <w:t>颗粒物、SO</w:t>
                  </w:r>
                  <w:r>
                    <w:rPr>
                      <w:rFonts w:hint="eastAsia" w:cs="Times New Roman"/>
                      <w:snapToGrid w:val="0"/>
                      <w:color w:val="auto"/>
                      <w:sz w:val="18"/>
                      <w:szCs w:val="18"/>
                      <w:highlight w:val="none"/>
                      <w:vertAlign w:val="subscript"/>
                      <w:lang w:val="en-US" w:eastAsia="zh-CN"/>
                    </w:rPr>
                    <w:t>2</w:t>
                  </w:r>
                  <w:r>
                    <w:rPr>
                      <w:rFonts w:hint="eastAsia" w:cs="Times New Roman"/>
                      <w:snapToGrid w:val="0"/>
                      <w:color w:val="auto"/>
                      <w:sz w:val="18"/>
                      <w:szCs w:val="18"/>
                      <w:highlight w:val="none"/>
                      <w:vertAlign w:val="baseline"/>
                      <w:lang w:val="en-US" w:eastAsia="zh-CN"/>
                    </w:rPr>
                    <w:t>、NO</w:t>
                  </w:r>
                  <w:r>
                    <w:rPr>
                      <w:rFonts w:hint="eastAsia" w:cs="Times New Roman"/>
                      <w:snapToGrid w:val="0"/>
                      <w:color w:val="auto"/>
                      <w:sz w:val="18"/>
                      <w:szCs w:val="18"/>
                      <w:highlight w:val="none"/>
                      <w:vertAlign w:val="subscript"/>
                      <w:lang w:val="en-US" w:eastAsia="zh-CN"/>
                    </w:rPr>
                    <w:t>X</w:t>
                  </w:r>
                </w:p>
              </w:tc>
              <w:tc>
                <w:tcPr>
                  <w:tcW w:w="751" w:type="pct"/>
                  <w:tcBorders>
                    <w:tl2br w:val="nil"/>
                    <w:tr2bl w:val="nil"/>
                  </w:tcBorders>
                  <w:noWrap w:val="0"/>
                  <w:vAlign w:val="center"/>
                </w:tcPr>
                <w:p w14:paraId="15BC4343">
                  <w:pPr>
                    <w:jc w:val="center"/>
                    <w:rPr>
                      <w:rFonts w:hint="default"/>
                      <w:color w:val="auto"/>
                      <w:sz w:val="18"/>
                      <w:szCs w:val="18"/>
                      <w:highlight w:val="none"/>
                      <w:lang w:val="en-US" w:eastAsia="zh-CN"/>
                    </w:rPr>
                  </w:pPr>
                  <w:r>
                    <w:rPr>
                      <w:rFonts w:hint="eastAsia"/>
                      <w:color w:val="auto"/>
                      <w:sz w:val="18"/>
                      <w:szCs w:val="18"/>
                      <w:highlight w:val="none"/>
                      <w:lang w:val="en-US" w:eastAsia="zh-CN"/>
                    </w:rPr>
                    <w:t>24</w:t>
                  </w:r>
                </w:p>
              </w:tc>
              <w:tc>
                <w:tcPr>
                  <w:tcW w:w="751" w:type="pct"/>
                  <w:tcBorders>
                    <w:tl2br w:val="nil"/>
                    <w:tr2bl w:val="nil"/>
                  </w:tcBorders>
                  <w:noWrap w:val="0"/>
                  <w:vAlign w:val="center"/>
                </w:tcPr>
                <w:p w14:paraId="0DEB78B1">
                  <w:pPr>
                    <w:jc w:val="center"/>
                    <w:rPr>
                      <w:rFonts w:hint="default"/>
                      <w:color w:val="auto"/>
                      <w:sz w:val="18"/>
                      <w:szCs w:val="18"/>
                      <w:highlight w:val="none"/>
                      <w:lang w:val="en-US" w:eastAsia="zh-CN"/>
                    </w:rPr>
                  </w:pPr>
                  <w:r>
                    <w:rPr>
                      <w:rFonts w:hint="eastAsia"/>
                      <w:color w:val="auto"/>
                      <w:sz w:val="18"/>
                      <w:szCs w:val="18"/>
                      <w:highlight w:val="none"/>
                      <w:lang w:val="en-US" w:eastAsia="zh-CN"/>
                    </w:rPr>
                    <w:t>0.9</w:t>
                  </w:r>
                </w:p>
              </w:tc>
              <w:tc>
                <w:tcPr>
                  <w:tcW w:w="794" w:type="pct"/>
                  <w:tcBorders>
                    <w:tl2br w:val="nil"/>
                    <w:tr2bl w:val="nil"/>
                  </w:tcBorders>
                  <w:noWrap w:val="0"/>
                  <w:vAlign w:val="center"/>
                </w:tcPr>
                <w:p w14:paraId="244293FC">
                  <w:pPr>
                    <w:jc w:val="center"/>
                    <w:rPr>
                      <w:rFonts w:hint="default"/>
                      <w:color w:val="auto"/>
                      <w:sz w:val="18"/>
                      <w:szCs w:val="18"/>
                      <w:highlight w:val="none"/>
                      <w:lang w:val="en-US" w:eastAsia="zh-CN"/>
                    </w:rPr>
                  </w:pPr>
                  <w:r>
                    <w:rPr>
                      <w:rFonts w:hint="eastAsia"/>
                      <w:color w:val="auto"/>
                      <w:sz w:val="18"/>
                      <w:szCs w:val="18"/>
                      <w:highlight w:val="none"/>
                      <w:lang w:val="en-US" w:eastAsia="zh-CN"/>
                    </w:rPr>
                    <w:t>60</w:t>
                  </w:r>
                </w:p>
              </w:tc>
              <w:tc>
                <w:tcPr>
                  <w:tcW w:w="455" w:type="pct"/>
                  <w:tcBorders>
                    <w:tl2br w:val="nil"/>
                    <w:tr2bl w:val="nil"/>
                  </w:tcBorders>
                  <w:shd w:val="clear" w:color="auto" w:fill="auto"/>
                  <w:noWrap w:val="0"/>
                  <w:vAlign w:val="center"/>
                </w:tcPr>
                <w:p w14:paraId="398E9013">
                  <w:pPr>
                    <w:jc w:val="center"/>
                    <w:rPr>
                      <w:rFonts w:hint="eastAsia"/>
                      <w:color w:val="auto"/>
                      <w:sz w:val="18"/>
                      <w:szCs w:val="18"/>
                      <w:highlight w:val="none"/>
                      <w:lang w:val="en-US" w:eastAsia="zh-CN"/>
                    </w:rPr>
                  </w:pPr>
                  <w:r>
                    <w:rPr>
                      <w:rFonts w:hint="eastAsia"/>
                      <w:color w:val="auto"/>
                      <w:sz w:val="18"/>
                      <w:szCs w:val="18"/>
                      <w:highlight w:val="none"/>
                      <w:lang w:val="en-US" w:eastAsia="zh-CN"/>
                    </w:rPr>
                    <w:t>一般排放口</w:t>
                  </w:r>
                </w:p>
              </w:tc>
            </w:tr>
            <w:tr w14:paraId="5E8286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81" w:type="pct"/>
                  <w:tcBorders>
                    <w:tl2br w:val="nil"/>
                    <w:tr2bl w:val="nil"/>
                  </w:tcBorders>
                  <w:noWrap w:val="0"/>
                  <w:vAlign w:val="center"/>
                </w:tcPr>
                <w:p w14:paraId="5C8C3DDC">
                  <w:pPr>
                    <w:jc w:val="center"/>
                    <w:rPr>
                      <w:rFonts w:hint="default"/>
                      <w:color w:val="auto"/>
                      <w:sz w:val="18"/>
                      <w:szCs w:val="18"/>
                      <w:highlight w:val="none"/>
                      <w:lang w:val="en-US" w:eastAsia="zh-CN"/>
                    </w:rPr>
                  </w:pPr>
                  <w:r>
                    <w:rPr>
                      <w:rFonts w:hint="eastAsia"/>
                      <w:color w:val="auto"/>
                      <w:sz w:val="18"/>
                      <w:szCs w:val="18"/>
                      <w:highlight w:val="none"/>
                      <w:lang w:val="en-US" w:eastAsia="zh-CN"/>
                    </w:rPr>
                    <w:t>DA008</w:t>
                  </w:r>
                </w:p>
              </w:tc>
              <w:tc>
                <w:tcPr>
                  <w:tcW w:w="782" w:type="pct"/>
                  <w:tcBorders>
                    <w:tl2br w:val="nil"/>
                    <w:tr2bl w:val="nil"/>
                  </w:tcBorders>
                  <w:shd w:val="clear" w:color="auto" w:fill="auto"/>
                  <w:noWrap w:val="0"/>
                  <w:vAlign w:val="center"/>
                </w:tcPr>
                <w:p w14:paraId="002DA91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烘干烧结炉燃烧废气</w:t>
                  </w:r>
                </w:p>
              </w:tc>
              <w:tc>
                <w:tcPr>
                  <w:tcW w:w="682" w:type="pct"/>
                  <w:tcBorders>
                    <w:tl2br w:val="nil"/>
                    <w:tr2bl w:val="nil"/>
                  </w:tcBorders>
                  <w:noWrap w:val="0"/>
                  <w:vAlign w:val="center"/>
                </w:tcPr>
                <w:p w14:paraId="44EF5FF1">
                  <w:pPr>
                    <w:ind w:left="2"/>
                    <w:jc w:val="center"/>
                    <w:rPr>
                      <w:rFonts w:hint="default"/>
                      <w:color w:val="auto"/>
                      <w:sz w:val="18"/>
                      <w:szCs w:val="18"/>
                      <w:highlight w:val="none"/>
                      <w:lang w:val="en-US" w:eastAsia="zh-CN"/>
                    </w:rPr>
                  </w:pPr>
                  <w:r>
                    <w:rPr>
                      <w:rFonts w:hint="eastAsia" w:cs="Times New Roman"/>
                      <w:snapToGrid w:val="0"/>
                      <w:color w:val="auto"/>
                      <w:sz w:val="18"/>
                      <w:szCs w:val="18"/>
                      <w:highlight w:val="none"/>
                      <w:vertAlign w:val="baseline"/>
                      <w:lang w:val="en-US" w:eastAsia="zh-CN"/>
                    </w:rPr>
                    <w:t>颗粒物、SO</w:t>
                  </w:r>
                  <w:r>
                    <w:rPr>
                      <w:rFonts w:hint="eastAsia" w:cs="Times New Roman"/>
                      <w:snapToGrid w:val="0"/>
                      <w:color w:val="auto"/>
                      <w:sz w:val="18"/>
                      <w:szCs w:val="18"/>
                      <w:highlight w:val="none"/>
                      <w:vertAlign w:val="subscript"/>
                      <w:lang w:val="en-US" w:eastAsia="zh-CN"/>
                    </w:rPr>
                    <w:t>2</w:t>
                  </w:r>
                  <w:r>
                    <w:rPr>
                      <w:rFonts w:hint="eastAsia" w:cs="Times New Roman"/>
                      <w:snapToGrid w:val="0"/>
                      <w:color w:val="auto"/>
                      <w:sz w:val="18"/>
                      <w:szCs w:val="18"/>
                      <w:highlight w:val="none"/>
                      <w:vertAlign w:val="baseline"/>
                      <w:lang w:val="en-US" w:eastAsia="zh-CN"/>
                    </w:rPr>
                    <w:t>、NO</w:t>
                  </w:r>
                  <w:r>
                    <w:rPr>
                      <w:rFonts w:hint="eastAsia" w:cs="Times New Roman"/>
                      <w:snapToGrid w:val="0"/>
                      <w:color w:val="auto"/>
                      <w:sz w:val="18"/>
                      <w:szCs w:val="18"/>
                      <w:highlight w:val="none"/>
                      <w:vertAlign w:val="subscript"/>
                      <w:lang w:val="en-US" w:eastAsia="zh-CN"/>
                    </w:rPr>
                    <w:t>X</w:t>
                  </w:r>
                </w:p>
              </w:tc>
              <w:tc>
                <w:tcPr>
                  <w:tcW w:w="751" w:type="pct"/>
                  <w:tcBorders>
                    <w:tl2br w:val="nil"/>
                    <w:tr2bl w:val="nil"/>
                  </w:tcBorders>
                  <w:noWrap w:val="0"/>
                  <w:vAlign w:val="center"/>
                </w:tcPr>
                <w:p w14:paraId="0702203A">
                  <w:pPr>
                    <w:jc w:val="center"/>
                    <w:rPr>
                      <w:rFonts w:hint="default"/>
                      <w:color w:val="auto"/>
                      <w:sz w:val="18"/>
                      <w:szCs w:val="18"/>
                      <w:highlight w:val="none"/>
                      <w:lang w:val="en-US" w:eastAsia="zh-CN"/>
                    </w:rPr>
                  </w:pPr>
                  <w:r>
                    <w:rPr>
                      <w:rFonts w:hint="eastAsia"/>
                      <w:color w:val="auto"/>
                      <w:sz w:val="18"/>
                      <w:szCs w:val="18"/>
                      <w:highlight w:val="none"/>
                      <w:lang w:val="en-US" w:eastAsia="zh-CN"/>
                    </w:rPr>
                    <w:t>24</w:t>
                  </w:r>
                </w:p>
              </w:tc>
              <w:tc>
                <w:tcPr>
                  <w:tcW w:w="751" w:type="pct"/>
                  <w:tcBorders>
                    <w:tl2br w:val="nil"/>
                    <w:tr2bl w:val="nil"/>
                  </w:tcBorders>
                  <w:noWrap w:val="0"/>
                  <w:vAlign w:val="center"/>
                </w:tcPr>
                <w:p w14:paraId="0110AC53">
                  <w:pPr>
                    <w:jc w:val="center"/>
                    <w:rPr>
                      <w:rFonts w:hint="default"/>
                      <w:color w:val="auto"/>
                      <w:sz w:val="18"/>
                      <w:szCs w:val="18"/>
                      <w:highlight w:val="none"/>
                      <w:lang w:val="en-US" w:eastAsia="zh-CN"/>
                    </w:rPr>
                  </w:pPr>
                  <w:r>
                    <w:rPr>
                      <w:rFonts w:hint="eastAsia"/>
                      <w:color w:val="auto"/>
                      <w:sz w:val="18"/>
                      <w:szCs w:val="18"/>
                      <w:highlight w:val="none"/>
                      <w:lang w:val="en-US" w:eastAsia="zh-CN"/>
                    </w:rPr>
                    <w:t>0.8</w:t>
                  </w:r>
                </w:p>
              </w:tc>
              <w:tc>
                <w:tcPr>
                  <w:tcW w:w="794" w:type="pct"/>
                  <w:tcBorders>
                    <w:tl2br w:val="nil"/>
                    <w:tr2bl w:val="nil"/>
                  </w:tcBorders>
                  <w:noWrap w:val="0"/>
                  <w:vAlign w:val="center"/>
                </w:tcPr>
                <w:p w14:paraId="2E5B978F">
                  <w:pPr>
                    <w:jc w:val="center"/>
                    <w:rPr>
                      <w:rFonts w:hint="default"/>
                      <w:color w:val="auto"/>
                      <w:sz w:val="18"/>
                      <w:szCs w:val="18"/>
                      <w:highlight w:val="none"/>
                      <w:lang w:val="en-US" w:eastAsia="zh-CN"/>
                    </w:rPr>
                  </w:pPr>
                  <w:r>
                    <w:rPr>
                      <w:rFonts w:hint="eastAsia"/>
                      <w:color w:val="auto"/>
                      <w:sz w:val="18"/>
                      <w:szCs w:val="18"/>
                      <w:highlight w:val="none"/>
                      <w:lang w:val="en-US" w:eastAsia="zh-CN"/>
                    </w:rPr>
                    <w:t>60</w:t>
                  </w:r>
                </w:p>
              </w:tc>
              <w:tc>
                <w:tcPr>
                  <w:tcW w:w="455" w:type="pct"/>
                  <w:tcBorders>
                    <w:tl2br w:val="nil"/>
                    <w:tr2bl w:val="nil"/>
                  </w:tcBorders>
                  <w:shd w:val="clear" w:color="auto" w:fill="auto"/>
                  <w:noWrap w:val="0"/>
                  <w:vAlign w:val="center"/>
                </w:tcPr>
                <w:p w14:paraId="2A00276A">
                  <w:pPr>
                    <w:jc w:val="center"/>
                    <w:rPr>
                      <w:rFonts w:hint="eastAsia"/>
                      <w:color w:val="auto"/>
                      <w:sz w:val="18"/>
                      <w:szCs w:val="18"/>
                      <w:highlight w:val="none"/>
                      <w:lang w:val="en-US" w:eastAsia="zh-CN"/>
                    </w:rPr>
                  </w:pPr>
                  <w:r>
                    <w:rPr>
                      <w:rFonts w:hint="eastAsia"/>
                      <w:color w:val="auto"/>
                      <w:sz w:val="18"/>
                      <w:szCs w:val="18"/>
                      <w:highlight w:val="none"/>
                      <w:lang w:val="en-US" w:eastAsia="zh-CN"/>
                    </w:rPr>
                    <w:t>一般排放口</w:t>
                  </w:r>
                </w:p>
              </w:tc>
            </w:tr>
            <w:tr w14:paraId="103E9E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81" w:type="pct"/>
                  <w:tcBorders>
                    <w:tl2br w:val="nil"/>
                    <w:tr2bl w:val="nil"/>
                  </w:tcBorders>
                  <w:noWrap w:val="0"/>
                  <w:vAlign w:val="center"/>
                </w:tcPr>
                <w:p w14:paraId="14AE19C4">
                  <w:pPr>
                    <w:jc w:val="center"/>
                    <w:rPr>
                      <w:rFonts w:hint="default"/>
                      <w:color w:val="auto"/>
                      <w:sz w:val="18"/>
                      <w:szCs w:val="18"/>
                      <w:highlight w:val="none"/>
                      <w:lang w:val="en-US" w:eastAsia="zh-CN"/>
                    </w:rPr>
                  </w:pPr>
                  <w:r>
                    <w:rPr>
                      <w:rFonts w:hint="eastAsia"/>
                      <w:color w:val="auto"/>
                      <w:sz w:val="18"/>
                      <w:szCs w:val="18"/>
                      <w:highlight w:val="none"/>
                      <w:lang w:val="en-US" w:eastAsia="zh-CN"/>
                    </w:rPr>
                    <w:t>DA009</w:t>
                  </w:r>
                </w:p>
              </w:tc>
              <w:tc>
                <w:tcPr>
                  <w:tcW w:w="782" w:type="pct"/>
                  <w:tcBorders>
                    <w:tl2br w:val="nil"/>
                    <w:tr2bl w:val="nil"/>
                  </w:tcBorders>
                  <w:shd w:val="clear" w:color="auto" w:fill="auto"/>
                  <w:noWrap w:val="0"/>
                  <w:vAlign w:val="center"/>
                </w:tcPr>
                <w:p w14:paraId="21720DD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硫酸酸洗及水洗废气</w:t>
                  </w:r>
                </w:p>
                <w:p w14:paraId="53394B1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硫酸储罐呼吸废气</w:t>
                  </w:r>
                </w:p>
              </w:tc>
              <w:tc>
                <w:tcPr>
                  <w:tcW w:w="682" w:type="pct"/>
                  <w:tcBorders>
                    <w:tl2br w:val="nil"/>
                    <w:tr2bl w:val="nil"/>
                  </w:tcBorders>
                  <w:noWrap w:val="0"/>
                  <w:vAlign w:val="center"/>
                </w:tcPr>
                <w:p w14:paraId="563C0A20">
                  <w:pPr>
                    <w:ind w:left="2"/>
                    <w:jc w:val="center"/>
                    <w:rPr>
                      <w:rFonts w:hint="default"/>
                      <w:color w:val="auto"/>
                      <w:sz w:val="18"/>
                      <w:szCs w:val="18"/>
                      <w:highlight w:val="none"/>
                      <w:lang w:val="en-US" w:eastAsia="zh-CN"/>
                    </w:rPr>
                  </w:pPr>
                  <w:r>
                    <w:rPr>
                      <w:rFonts w:hint="eastAsia"/>
                      <w:color w:val="auto"/>
                      <w:sz w:val="18"/>
                      <w:szCs w:val="18"/>
                      <w:highlight w:val="none"/>
                      <w:lang w:val="en-US" w:eastAsia="zh-CN"/>
                    </w:rPr>
                    <w:t>硫酸雾</w:t>
                  </w:r>
                </w:p>
              </w:tc>
              <w:tc>
                <w:tcPr>
                  <w:tcW w:w="751" w:type="pct"/>
                  <w:tcBorders>
                    <w:tl2br w:val="nil"/>
                    <w:tr2bl w:val="nil"/>
                  </w:tcBorders>
                  <w:noWrap w:val="0"/>
                  <w:vAlign w:val="center"/>
                </w:tcPr>
                <w:p w14:paraId="20943391">
                  <w:pPr>
                    <w:jc w:val="center"/>
                    <w:rPr>
                      <w:rFonts w:hint="default"/>
                      <w:color w:val="auto"/>
                      <w:sz w:val="18"/>
                      <w:szCs w:val="18"/>
                      <w:highlight w:val="none"/>
                      <w:lang w:val="en-US" w:eastAsia="zh-CN"/>
                    </w:rPr>
                  </w:pPr>
                  <w:r>
                    <w:rPr>
                      <w:rFonts w:hint="eastAsia"/>
                      <w:color w:val="auto"/>
                      <w:sz w:val="18"/>
                      <w:szCs w:val="18"/>
                      <w:highlight w:val="none"/>
                      <w:lang w:val="en-US" w:eastAsia="zh-CN"/>
                    </w:rPr>
                    <w:t>24</w:t>
                  </w:r>
                </w:p>
              </w:tc>
              <w:tc>
                <w:tcPr>
                  <w:tcW w:w="751" w:type="pct"/>
                  <w:tcBorders>
                    <w:tl2br w:val="nil"/>
                    <w:tr2bl w:val="nil"/>
                  </w:tcBorders>
                  <w:noWrap w:val="0"/>
                  <w:vAlign w:val="center"/>
                </w:tcPr>
                <w:p w14:paraId="1A886ADC">
                  <w:pPr>
                    <w:jc w:val="center"/>
                    <w:rPr>
                      <w:rFonts w:hint="default"/>
                      <w:color w:val="auto"/>
                      <w:sz w:val="18"/>
                      <w:szCs w:val="18"/>
                      <w:highlight w:val="none"/>
                      <w:lang w:val="en-US" w:eastAsia="zh-CN"/>
                    </w:rPr>
                  </w:pPr>
                  <w:r>
                    <w:rPr>
                      <w:rFonts w:hint="eastAsia"/>
                      <w:color w:val="auto"/>
                      <w:sz w:val="18"/>
                      <w:szCs w:val="18"/>
                      <w:highlight w:val="none"/>
                      <w:lang w:val="en-US" w:eastAsia="zh-CN"/>
                    </w:rPr>
                    <w:t>0.85</w:t>
                  </w:r>
                </w:p>
              </w:tc>
              <w:tc>
                <w:tcPr>
                  <w:tcW w:w="794" w:type="pct"/>
                  <w:tcBorders>
                    <w:tl2br w:val="nil"/>
                    <w:tr2bl w:val="nil"/>
                  </w:tcBorders>
                  <w:noWrap w:val="0"/>
                  <w:vAlign w:val="center"/>
                </w:tcPr>
                <w:p w14:paraId="0A868283">
                  <w:pPr>
                    <w:jc w:val="center"/>
                    <w:rPr>
                      <w:rFonts w:hint="default"/>
                      <w:color w:val="auto"/>
                      <w:sz w:val="18"/>
                      <w:szCs w:val="18"/>
                      <w:highlight w:val="none"/>
                      <w:lang w:val="en-US" w:eastAsia="zh-CN"/>
                    </w:rPr>
                  </w:pPr>
                  <w:r>
                    <w:rPr>
                      <w:rFonts w:hint="eastAsia"/>
                      <w:color w:val="auto"/>
                      <w:sz w:val="18"/>
                      <w:szCs w:val="18"/>
                      <w:highlight w:val="none"/>
                      <w:lang w:val="en-US" w:eastAsia="zh-CN"/>
                    </w:rPr>
                    <w:t>常温</w:t>
                  </w:r>
                </w:p>
              </w:tc>
              <w:tc>
                <w:tcPr>
                  <w:tcW w:w="455" w:type="pct"/>
                  <w:tcBorders>
                    <w:tl2br w:val="nil"/>
                    <w:tr2bl w:val="nil"/>
                  </w:tcBorders>
                  <w:shd w:val="clear" w:color="auto" w:fill="auto"/>
                  <w:noWrap w:val="0"/>
                  <w:vAlign w:val="center"/>
                </w:tcPr>
                <w:p w14:paraId="7AA19F8B">
                  <w:pPr>
                    <w:jc w:val="center"/>
                    <w:rPr>
                      <w:rFonts w:hint="eastAsia"/>
                      <w:color w:val="auto"/>
                      <w:sz w:val="18"/>
                      <w:szCs w:val="18"/>
                      <w:highlight w:val="none"/>
                      <w:lang w:val="en-US" w:eastAsia="zh-CN"/>
                    </w:rPr>
                  </w:pPr>
                  <w:r>
                    <w:rPr>
                      <w:rFonts w:hint="eastAsia"/>
                      <w:color w:val="auto"/>
                      <w:sz w:val="18"/>
                      <w:szCs w:val="18"/>
                      <w:highlight w:val="none"/>
                      <w:lang w:val="en-US" w:eastAsia="zh-CN"/>
                    </w:rPr>
                    <w:t>一般排放口</w:t>
                  </w:r>
                </w:p>
              </w:tc>
            </w:tr>
            <w:tr w14:paraId="71CA15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81" w:type="pct"/>
                  <w:tcBorders>
                    <w:tl2br w:val="nil"/>
                    <w:tr2bl w:val="nil"/>
                  </w:tcBorders>
                  <w:noWrap w:val="0"/>
                  <w:vAlign w:val="center"/>
                </w:tcPr>
                <w:p w14:paraId="700CC70A">
                  <w:pPr>
                    <w:jc w:val="center"/>
                    <w:rPr>
                      <w:rFonts w:hint="default"/>
                      <w:color w:val="auto"/>
                      <w:sz w:val="18"/>
                      <w:szCs w:val="18"/>
                      <w:highlight w:val="none"/>
                      <w:lang w:val="en-US" w:eastAsia="zh-CN"/>
                    </w:rPr>
                  </w:pPr>
                  <w:r>
                    <w:rPr>
                      <w:rFonts w:hint="eastAsia"/>
                      <w:color w:val="auto"/>
                      <w:sz w:val="18"/>
                      <w:szCs w:val="18"/>
                      <w:highlight w:val="none"/>
                      <w:lang w:val="en-US" w:eastAsia="zh-CN"/>
                    </w:rPr>
                    <w:t>DA010</w:t>
                  </w:r>
                </w:p>
              </w:tc>
              <w:tc>
                <w:tcPr>
                  <w:tcW w:w="782" w:type="pct"/>
                  <w:tcBorders>
                    <w:tl2br w:val="nil"/>
                    <w:tr2bl w:val="nil"/>
                  </w:tcBorders>
                  <w:shd w:val="clear" w:color="auto" w:fill="auto"/>
                  <w:noWrap w:val="0"/>
                  <w:vAlign w:val="center"/>
                </w:tcPr>
                <w:p w14:paraId="7B696EA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热拉伸入口氧化镁粉尘</w:t>
                  </w:r>
                </w:p>
              </w:tc>
              <w:tc>
                <w:tcPr>
                  <w:tcW w:w="682" w:type="pct"/>
                  <w:tcBorders>
                    <w:tl2br w:val="nil"/>
                    <w:tr2bl w:val="nil"/>
                  </w:tcBorders>
                  <w:noWrap w:val="0"/>
                  <w:vAlign w:val="center"/>
                </w:tcPr>
                <w:p w14:paraId="5E4D1629">
                  <w:pPr>
                    <w:ind w:left="2"/>
                    <w:jc w:val="center"/>
                    <w:rPr>
                      <w:rFonts w:hint="default"/>
                      <w:color w:val="auto"/>
                      <w:sz w:val="18"/>
                      <w:szCs w:val="18"/>
                      <w:highlight w:val="none"/>
                      <w:lang w:val="en-US" w:eastAsia="zh-CN"/>
                    </w:rPr>
                  </w:pPr>
                  <w:r>
                    <w:rPr>
                      <w:rFonts w:hint="eastAsia"/>
                      <w:color w:val="auto"/>
                      <w:sz w:val="18"/>
                      <w:szCs w:val="18"/>
                      <w:highlight w:val="none"/>
                      <w:lang w:val="en-US" w:eastAsia="zh-CN"/>
                    </w:rPr>
                    <w:t>颗粒物</w:t>
                  </w:r>
                </w:p>
              </w:tc>
              <w:tc>
                <w:tcPr>
                  <w:tcW w:w="751" w:type="pct"/>
                  <w:tcBorders>
                    <w:tl2br w:val="nil"/>
                    <w:tr2bl w:val="nil"/>
                  </w:tcBorders>
                  <w:noWrap w:val="0"/>
                  <w:vAlign w:val="center"/>
                </w:tcPr>
                <w:p w14:paraId="6D15A01B">
                  <w:pPr>
                    <w:jc w:val="center"/>
                    <w:rPr>
                      <w:rFonts w:hint="eastAsia"/>
                      <w:color w:val="auto"/>
                      <w:sz w:val="18"/>
                      <w:szCs w:val="18"/>
                      <w:highlight w:val="none"/>
                      <w:lang w:val="en-US" w:eastAsia="zh-CN"/>
                    </w:rPr>
                  </w:pPr>
                  <w:r>
                    <w:rPr>
                      <w:rFonts w:hint="eastAsia"/>
                      <w:color w:val="auto"/>
                      <w:sz w:val="18"/>
                      <w:szCs w:val="18"/>
                      <w:highlight w:val="none"/>
                      <w:lang w:val="en-US" w:eastAsia="zh-CN"/>
                    </w:rPr>
                    <w:t>24</w:t>
                  </w:r>
                </w:p>
              </w:tc>
              <w:tc>
                <w:tcPr>
                  <w:tcW w:w="751" w:type="pct"/>
                  <w:tcBorders>
                    <w:tl2br w:val="nil"/>
                    <w:tr2bl w:val="nil"/>
                  </w:tcBorders>
                  <w:noWrap w:val="0"/>
                  <w:vAlign w:val="center"/>
                </w:tcPr>
                <w:p w14:paraId="032634B0">
                  <w:pPr>
                    <w:jc w:val="center"/>
                    <w:rPr>
                      <w:rFonts w:hint="default"/>
                      <w:color w:val="auto"/>
                      <w:sz w:val="18"/>
                      <w:szCs w:val="18"/>
                      <w:highlight w:val="none"/>
                      <w:lang w:val="en-US" w:eastAsia="zh-CN"/>
                    </w:rPr>
                  </w:pPr>
                  <w:r>
                    <w:rPr>
                      <w:rFonts w:hint="eastAsia"/>
                      <w:color w:val="auto"/>
                      <w:sz w:val="18"/>
                      <w:szCs w:val="18"/>
                      <w:highlight w:val="none"/>
                      <w:lang w:val="en-US" w:eastAsia="zh-CN"/>
                    </w:rPr>
                    <w:t>1.3</w:t>
                  </w:r>
                </w:p>
              </w:tc>
              <w:tc>
                <w:tcPr>
                  <w:tcW w:w="794" w:type="pct"/>
                  <w:tcBorders>
                    <w:tl2br w:val="nil"/>
                    <w:tr2bl w:val="nil"/>
                  </w:tcBorders>
                  <w:noWrap w:val="0"/>
                  <w:vAlign w:val="center"/>
                </w:tcPr>
                <w:p w14:paraId="1BDDB8E0">
                  <w:pPr>
                    <w:jc w:val="center"/>
                    <w:rPr>
                      <w:rFonts w:hint="default"/>
                      <w:color w:val="auto"/>
                      <w:sz w:val="18"/>
                      <w:szCs w:val="18"/>
                      <w:highlight w:val="none"/>
                      <w:lang w:val="en-US" w:eastAsia="zh-CN"/>
                    </w:rPr>
                  </w:pPr>
                  <w:r>
                    <w:rPr>
                      <w:rFonts w:hint="eastAsia"/>
                      <w:color w:val="auto"/>
                      <w:sz w:val="18"/>
                      <w:szCs w:val="18"/>
                      <w:highlight w:val="none"/>
                      <w:lang w:val="en-US" w:eastAsia="zh-CN"/>
                    </w:rPr>
                    <w:t>常温</w:t>
                  </w:r>
                </w:p>
              </w:tc>
              <w:tc>
                <w:tcPr>
                  <w:tcW w:w="455" w:type="pct"/>
                  <w:tcBorders>
                    <w:tl2br w:val="nil"/>
                    <w:tr2bl w:val="nil"/>
                  </w:tcBorders>
                  <w:shd w:val="clear" w:color="auto" w:fill="auto"/>
                  <w:noWrap w:val="0"/>
                  <w:vAlign w:val="center"/>
                </w:tcPr>
                <w:p w14:paraId="12A93657">
                  <w:pPr>
                    <w:jc w:val="center"/>
                    <w:rPr>
                      <w:rFonts w:hint="eastAsia"/>
                      <w:color w:val="auto"/>
                      <w:sz w:val="18"/>
                      <w:szCs w:val="18"/>
                      <w:highlight w:val="none"/>
                      <w:lang w:val="en-US" w:eastAsia="zh-CN"/>
                    </w:rPr>
                  </w:pPr>
                  <w:r>
                    <w:rPr>
                      <w:rFonts w:hint="eastAsia"/>
                      <w:color w:val="auto"/>
                      <w:sz w:val="18"/>
                      <w:szCs w:val="18"/>
                      <w:highlight w:val="none"/>
                      <w:lang w:val="en-US" w:eastAsia="zh-CN"/>
                    </w:rPr>
                    <w:t>一般排放口</w:t>
                  </w:r>
                </w:p>
              </w:tc>
            </w:tr>
            <w:tr w14:paraId="30D489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81" w:type="pct"/>
                  <w:tcBorders>
                    <w:tl2br w:val="nil"/>
                    <w:tr2bl w:val="nil"/>
                  </w:tcBorders>
                  <w:noWrap w:val="0"/>
                  <w:vAlign w:val="center"/>
                </w:tcPr>
                <w:p w14:paraId="04B80F83">
                  <w:pPr>
                    <w:jc w:val="center"/>
                    <w:rPr>
                      <w:rFonts w:hint="default"/>
                      <w:color w:val="auto"/>
                      <w:sz w:val="18"/>
                      <w:szCs w:val="18"/>
                      <w:highlight w:val="none"/>
                      <w:lang w:val="en-US" w:eastAsia="zh-CN"/>
                    </w:rPr>
                  </w:pPr>
                  <w:r>
                    <w:rPr>
                      <w:rFonts w:hint="eastAsia"/>
                      <w:color w:val="auto"/>
                      <w:sz w:val="18"/>
                      <w:szCs w:val="18"/>
                      <w:highlight w:val="none"/>
                      <w:lang w:val="en-US" w:eastAsia="zh-CN"/>
                    </w:rPr>
                    <w:t>DA011</w:t>
                  </w:r>
                </w:p>
              </w:tc>
              <w:tc>
                <w:tcPr>
                  <w:tcW w:w="782" w:type="pct"/>
                  <w:tcBorders>
                    <w:tl2br w:val="nil"/>
                    <w:tr2bl w:val="nil"/>
                  </w:tcBorders>
                  <w:shd w:val="clear" w:color="auto" w:fill="auto"/>
                  <w:noWrap w:val="0"/>
                  <w:vAlign w:val="center"/>
                </w:tcPr>
                <w:p w14:paraId="366201B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卧式连续炉燃烧废气</w:t>
                  </w:r>
                </w:p>
              </w:tc>
              <w:tc>
                <w:tcPr>
                  <w:tcW w:w="682" w:type="pct"/>
                  <w:tcBorders>
                    <w:tl2br w:val="nil"/>
                    <w:tr2bl w:val="nil"/>
                  </w:tcBorders>
                  <w:noWrap w:val="0"/>
                  <w:vAlign w:val="center"/>
                </w:tcPr>
                <w:p w14:paraId="46DE16D4">
                  <w:pPr>
                    <w:ind w:left="2"/>
                    <w:jc w:val="center"/>
                    <w:rPr>
                      <w:rFonts w:hint="default"/>
                      <w:color w:val="auto"/>
                      <w:sz w:val="18"/>
                      <w:szCs w:val="18"/>
                      <w:highlight w:val="none"/>
                      <w:lang w:val="en-US" w:eastAsia="zh-CN"/>
                    </w:rPr>
                  </w:pPr>
                  <w:r>
                    <w:rPr>
                      <w:rFonts w:hint="eastAsia" w:cs="Times New Roman"/>
                      <w:snapToGrid w:val="0"/>
                      <w:color w:val="auto"/>
                      <w:sz w:val="18"/>
                      <w:szCs w:val="18"/>
                      <w:highlight w:val="none"/>
                      <w:vertAlign w:val="baseline"/>
                      <w:lang w:val="en-US" w:eastAsia="zh-CN"/>
                    </w:rPr>
                    <w:t>颗粒物、SO</w:t>
                  </w:r>
                  <w:r>
                    <w:rPr>
                      <w:rFonts w:hint="eastAsia" w:cs="Times New Roman"/>
                      <w:snapToGrid w:val="0"/>
                      <w:color w:val="auto"/>
                      <w:sz w:val="18"/>
                      <w:szCs w:val="18"/>
                      <w:highlight w:val="none"/>
                      <w:vertAlign w:val="subscript"/>
                      <w:lang w:val="en-US" w:eastAsia="zh-CN"/>
                    </w:rPr>
                    <w:t>2</w:t>
                  </w:r>
                  <w:r>
                    <w:rPr>
                      <w:rFonts w:hint="eastAsia" w:cs="Times New Roman"/>
                      <w:snapToGrid w:val="0"/>
                      <w:color w:val="auto"/>
                      <w:sz w:val="18"/>
                      <w:szCs w:val="18"/>
                      <w:highlight w:val="none"/>
                      <w:vertAlign w:val="baseline"/>
                      <w:lang w:val="en-US" w:eastAsia="zh-CN"/>
                    </w:rPr>
                    <w:t>、NO</w:t>
                  </w:r>
                  <w:r>
                    <w:rPr>
                      <w:rFonts w:hint="eastAsia" w:cs="Times New Roman"/>
                      <w:snapToGrid w:val="0"/>
                      <w:color w:val="auto"/>
                      <w:sz w:val="18"/>
                      <w:szCs w:val="18"/>
                      <w:highlight w:val="none"/>
                      <w:vertAlign w:val="subscript"/>
                      <w:lang w:val="en-US" w:eastAsia="zh-CN"/>
                    </w:rPr>
                    <w:t>X</w:t>
                  </w:r>
                </w:p>
              </w:tc>
              <w:tc>
                <w:tcPr>
                  <w:tcW w:w="751" w:type="pct"/>
                  <w:tcBorders>
                    <w:tl2br w:val="nil"/>
                    <w:tr2bl w:val="nil"/>
                  </w:tcBorders>
                  <w:noWrap w:val="0"/>
                  <w:vAlign w:val="center"/>
                </w:tcPr>
                <w:p w14:paraId="2321B9E2">
                  <w:pPr>
                    <w:jc w:val="center"/>
                    <w:rPr>
                      <w:rFonts w:hint="eastAsia"/>
                      <w:color w:val="auto"/>
                      <w:sz w:val="18"/>
                      <w:szCs w:val="18"/>
                      <w:highlight w:val="none"/>
                      <w:lang w:val="en-US" w:eastAsia="zh-CN"/>
                    </w:rPr>
                  </w:pPr>
                  <w:r>
                    <w:rPr>
                      <w:rFonts w:hint="eastAsia"/>
                      <w:color w:val="auto"/>
                      <w:sz w:val="18"/>
                      <w:szCs w:val="18"/>
                      <w:highlight w:val="none"/>
                      <w:lang w:val="en-US" w:eastAsia="zh-CN"/>
                    </w:rPr>
                    <w:t>24</w:t>
                  </w:r>
                </w:p>
              </w:tc>
              <w:tc>
                <w:tcPr>
                  <w:tcW w:w="751" w:type="pct"/>
                  <w:tcBorders>
                    <w:tl2br w:val="nil"/>
                    <w:tr2bl w:val="nil"/>
                  </w:tcBorders>
                  <w:noWrap w:val="0"/>
                  <w:vAlign w:val="center"/>
                </w:tcPr>
                <w:p w14:paraId="7EB21360">
                  <w:pPr>
                    <w:jc w:val="center"/>
                    <w:rPr>
                      <w:rFonts w:hint="default"/>
                      <w:color w:val="auto"/>
                      <w:sz w:val="18"/>
                      <w:szCs w:val="18"/>
                      <w:highlight w:val="none"/>
                      <w:lang w:val="en-US" w:eastAsia="zh-CN"/>
                    </w:rPr>
                  </w:pPr>
                  <w:r>
                    <w:rPr>
                      <w:rFonts w:hint="eastAsia"/>
                      <w:color w:val="auto"/>
                      <w:sz w:val="18"/>
                      <w:szCs w:val="18"/>
                      <w:highlight w:val="none"/>
                      <w:lang w:val="en-US" w:eastAsia="zh-CN"/>
                    </w:rPr>
                    <w:t>0.9</w:t>
                  </w:r>
                </w:p>
              </w:tc>
              <w:tc>
                <w:tcPr>
                  <w:tcW w:w="794" w:type="pct"/>
                  <w:tcBorders>
                    <w:tl2br w:val="nil"/>
                    <w:tr2bl w:val="nil"/>
                  </w:tcBorders>
                  <w:noWrap w:val="0"/>
                  <w:vAlign w:val="center"/>
                </w:tcPr>
                <w:p w14:paraId="7E788F23">
                  <w:pPr>
                    <w:jc w:val="center"/>
                    <w:rPr>
                      <w:rFonts w:hint="default"/>
                      <w:color w:val="auto"/>
                      <w:sz w:val="18"/>
                      <w:szCs w:val="18"/>
                      <w:highlight w:val="none"/>
                      <w:lang w:val="en-US" w:eastAsia="zh-CN"/>
                    </w:rPr>
                  </w:pPr>
                  <w:r>
                    <w:rPr>
                      <w:rFonts w:hint="eastAsia"/>
                      <w:color w:val="auto"/>
                      <w:sz w:val="18"/>
                      <w:szCs w:val="18"/>
                      <w:highlight w:val="none"/>
                      <w:lang w:val="en-US" w:eastAsia="zh-CN"/>
                    </w:rPr>
                    <w:t>60</w:t>
                  </w:r>
                </w:p>
              </w:tc>
              <w:tc>
                <w:tcPr>
                  <w:tcW w:w="455" w:type="pct"/>
                  <w:tcBorders>
                    <w:tl2br w:val="nil"/>
                    <w:tr2bl w:val="nil"/>
                  </w:tcBorders>
                  <w:shd w:val="clear" w:color="auto" w:fill="auto"/>
                  <w:noWrap w:val="0"/>
                  <w:vAlign w:val="center"/>
                </w:tcPr>
                <w:p w14:paraId="5A0461C0">
                  <w:pPr>
                    <w:jc w:val="center"/>
                    <w:rPr>
                      <w:rFonts w:hint="eastAsia"/>
                      <w:color w:val="auto"/>
                      <w:sz w:val="18"/>
                      <w:szCs w:val="18"/>
                      <w:highlight w:val="none"/>
                      <w:lang w:val="en-US" w:eastAsia="zh-CN"/>
                    </w:rPr>
                  </w:pPr>
                  <w:r>
                    <w:rPr>
                      <w:rFonts w:hint="eastAsia"/>
                      <w:color w:val="auto"/>
                      <w:sz w:val="18"/>
                      <w:szCs w:val="18"/>
                      <w:highlight w:val="none"/>
                      <w:lang w:val="en-US" w:eastAsia="zh-CN"/>
                    </w:rPr>
                    <w:t>一般排放口</w:t>
                  </w:r>
                </w:p>
              </w:tc>
            </w:tr>
            <w:tr w14:paraId="160C43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81" w:type="pct"/>
                  <w:tcBorders>
                    <w:tl2br w:val="nil"/>
                    <w:tr2bl w:val="nil"/>
                  </w:tcBorders>
                  <w:noWrap w:val="0"/>
                  <w:vAlign w:val="center"/>
                </w:tcPr>
                <w:p w14:paraId="114E5D46">
                  <w:pPr>
                    <w:jc w:val="center"/>
                    <w:rPr>
                      <w:rFonts w:hint="default"/>
                      <w:color w:val="auto"/>
                      <w:sz w:val="18"/>
                      <w:szCs w:val="18"/>
                      <w:highlight w:val="none"/>
                      <w:lang w:val="en-US" w:eastAsia="zh-CN"/>
                    </w:rPr>
                  </w:pPr>
                  <w:r>
                    <w:rPr>
                      <w:rFonts w:hint="eastAsia"/>
                      <w:color w:val="auto"/>
                      <w:sz w:val="18"/>
                      <w:szCs w:val="18"/>
                      <w:highlight w:val="none"/>
                      <w:lang w:val="en-US" w:eastAsia="zh-CN"/>
                    </w:rPr>
                    <w:t>DA012</w:t>
                  </w:r>
                </w:p>
              </w:tc>
              <w:tc>
                <w:tcPr>
                  <w:tcW w:w="782" w:type="pct"/>
                  <w:tcBorders>
                    <w:tl2br w:val="nil"/>
                    <w:tr2bl w:val="nil"/>
                  </w:tcBorders>
                  <w:shd w:val="clear" w:color="auto" w:fill="auto"/>
                  <w:noWrap w:val="0"/>
                  <w:vAlign w:val="center"/>
                </w:tcPr>
                <w:p w14:paraId="545D5B0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激光刻痕废气</w:t>
                  </w:r>
                </w:p>
              </w:tc>
              <w:tc>
                <w:tcPr>
                  <w:tcW w:w="682" w:type="pct"/>
                  <w:tcBorders>
                    <w:tl2br w:val="nil"/>
                    <w:tr2bl w:val="nil"/>
                  </w:tcBorders>
                  <w:noWrap w:val="0"/>
                  <w:vAlign w:val="center"/>
                </w:tcPr>
                <w:p w14:paraId="49E3AADB">
                  <w:pPr>
                    <w:ind w:left="2"/>
                    <w:jc w:val="center"/>
                    <w:rPr>
                      <w:rFonts w:hint="default"/>
                      <w:color w:val="auto"/>
                      <w:sz w:val="18"/>
                      <w:szCs w:val="18"/>
                      <w:highlight w:val="none"/>
                      <w:lang w:val="en-US" w:eastAsia="zh-CN"/>
                    </w:rPr>
                  </w:pPr>
                  <w:r>
                    <w:rPr>
                      <w:rFonts w:hint="eastAsia"/>
                      <w:color w:val="auto"/>
                      <w:sz w:val="18"/>
                      <w:szCs w:val="18"/>
                      <w:highlight w:val="none"/>
                      <w:lang w:val="en-US" w:eastAsia="zh-CN"/>
                    </w:rPr>
                    <w:t>颗粒物</w:t>
                  </w:r>
                </w:p>
              </w:tc>
              <w:tc>
                <w:tcPr>
                  <w:tcW w:w="751" w:type="pct"/>
                  <w:tcBorders>
                    <w:tl2br w:val="nil"/>
                    <w:tr2bl w:val="nil"/>
                  </w:tcBorders>
                  <w:noWrap w:val="0"/>
                  <w:vAlign w:val="center"/>
                </w:tcPr>
                <w:p w14:paraId="6ACE4B13">
                  <w:pPr>
                    <w:jc w:val="center"/>
                    <w:rPr>
                      <w:rFonts w:hint="eastAsia"/>
                      <w:color w:val="auto"/>
                      <w:sz w:val="18"/>
                      <w:szCs w:val="18"/>
                      <w:highlight w:val="none"/>
                      <w:lang w:val="en-US" w:eastAsia="zh-CN"/>
                    </w:rPr>
                  </w:pPr>
                  <w:r>
                    <w:rPr>
                      <w:rFonts w:hint="eastAsia"/>
                      <w:color w:val="auto"/>
                      <w:sz w:val="18"/>
                      <w:szCs w:val="18"/>
                      <w:highlight w:val="none"/>
                      <w:lang w:val="en-US" w:eastAsia="zh-CN"/>
                    </w:rPr>
                    <w:t>24</w:t>
                  </w:r>
                </w:p>
              </w:tc>
              <w:tc>
                <w:tcPr>
                  <w:tcW w:w="751" w:type="pct"/>
                  <w:tcBorders>
                    <w:tl2br w:val="nil"/>
                    <w:tr2bl w:val="nil"/>
                  </w:tcBorders>
                  <w:noWrap w:val="0"/>
                  <w:vAlign w:val="center"/>
                </w:tcPr>
                <w:p w14:paraId="3C0667B8">
                  <w:pPr>
                    <w:jc w:val="center"/>
                    <w:rPr>
                      <w:rFonts w:hint="default"/>
                      <w:color w:val="auto"/>
                      <w:sz w:val="18"/>
                      <w:szCs w:val="18"/>
                      <w:highlight w:val="none"/>
                      <w:lang w:val="en-US" w:eastAsia="zh-CN"/>
                    </w:rPr>
                  </w:pPr>
                  <w:r>
                    <w:rPr>
                      <w:rFonts w:hint="eastAsia"/>
                      <w:color w:val="auto"/>
                      <w:sz w:val="18"/>
                      <w:szCs w:val="18"/>
                      <w:highlight w:val="none"/>
                      <w:lang w:val="en-US" w:eastAsia="zh-CN"/>
                    </w:rPr>
                    <w:t>0.3</w:t>
                  </w:r>
                </w:p>
              </w:tc>
              <w:tc>
                <w:tcPr>
                  <w:tcW w:w="794" w:type="pct"/>
                  <w:tcBorders>
                    <w:tl2br w:val="nil"/>
                    <w:tr2bl w:val="nil"/>
                  </w:tcBorders>
                  <w:noWrap w:val="0"/>
                  <w:vAlign w:val="center"/>
                </w:tcPr>
                <w:p w14:paraId="4B928441">
                  <w:pPr>
                    <w:jc w:val="center"/>
                    <w:rPr>
                      <w:rFonts w:hint="default"/>
                      <w:color w:val="auto"/>
                      <w:sz w:val="18"/>
                      <w:szCs w:val="18"/>
                      <w:highlight w:val="none"/>
                      <w:lang w:val="en-US" w:eastAsia="zh-CN"/>
                    </w:rPr>
                  </w:pPr>
                  <w:r>
                    <w:rPr>
                      <w:rFonts w:hint="eastAsia"/>
                      <w:color w:val="auto"/>
                      <w:sz w:val="18"/>
                      <w:szCs w:val="18"/>
                      <w:highlight w:val="none"/>
                      <w:lang w:val="en-US" w:eastAsia="zh-CN"/>
                    </w:rPr>
                    <w:t>常温</w:t>
                  </w:r>
                </w:p>
              </w:tc>
              <w:tc>
                <w:tcPr>
                  <w:tcW w:w="455" w:type="pct"/>
                  <w:tcBorders>
                    <w:tl2br w:val="nil"/>
                    <w:tr2bl w:val="nil"/>
                  </w:tcBorders>
                  <w:shd w:val="clear" w:color="auto" w:fill="auto"/>
                  <w:noWrap w:val="0"/>
                  <w:vAlign w:val="center"/>
                </w:tcPr>
                <w:p w14:paraId="59B905DB">
                  <w:pPr>
                    <w:jc w:val="center"/>
                    <w:rPr>
                      <w:rFonts w:hint="eastAsia"/>
                      <w:color w:val="auto"/>
                      <w:sz w:val="18"/>
                      <w:szCs w:val="18"/>
                      <w:highlight w:val="none"/>
                      <w:lang w:val="en-US" w:eastAsia="zh-CN"/>
                    </w:rPr>
                  </w:pPr>
                  <w:r>
                    <w:rPr>
                      <w:rFonts w:hint="eastAsia"/>
                      <w:color w:val="auto"/>
                      <w:sz w:val="18"/>
                      <w:szCs w:val="18"/>
                      <w:highlight w:val="none"/>
                      <w:lang w:val="en-US" w:eastAsia="zh-CN"/>
                    </w:rPr>
                    <w:t>一般排放口</w:t>
                  </w:r>
                </w:p>
              </w:tc>
            </w:tr>
            <w:tr w14:paraId="6224FA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81" w:type="pct"/>
                  <w:tcBorders>
                    <w:tl2br w:val="nil"/>
                    <w:tr2bl w:val="nil"/>
                  </w:tcBorders>
                  <w:noWrap w:val="0"/>
                  <w:vAlign w:val="center"/>
                </w:tcPr>
                <w:p w14:paraId="29FB399C">
                  <w:pPr>
                    <w:jc w:val="center"/>
                    <w:rPr>
                      <w:rFonts w:hint="default"/>
                      <w:color w:val="auto"/>
                      <w:sz w:val="18"/>
                      <w:szCs w:val="18"/>
                      <w:highlight w:val="none"/>
                      <w:lang w:val="en-US" w:eastAsia="zh-CN"/>
                    </w:rPr>
                  </w:pPr>
                  <w:r>
                    <w:rPr>
                      <w:rFonts w:hint="eastAsia"/>
                      <w:color w:val="auto"/>
                      <w:sz w:val="18"/>
                      <w:szCs w:val="18"/>
                      <w:highlight w:val="none"/>
                      <w:lang w:val="en-US" w:eastAsia="zh-CN"/>
                    </w:rPr>
                    <w:t>DA013</w:t>
                  </w:r>
                </w:p>
              </w:tc>
              <w:tc>
                <w:tcPr>
                  <w:tcW w:w="782" w:type="pct"/>
                  <w:tcBorders>
                    <w:tl2br w:val="nil"/>
                    <w:tr2bl w:val="nil"/>
                  </w:tcBorders>
                  <w:shd w:val="clear" w:color="auto" w:fill="auto"/>
                  <w:noWrap w:val="0"/>
                  <w:vAlign w:val="center"/>
                </w:tcPr>
                <w:p w14:paraId="49E6DE7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酸再生装置焙烧炉废气</w:t>
                  </w:r>
                </w:p>
              </w:tc>
              <w:tc>
                <w:tcPr>
                  <w:tcW w:w="682" w:type="pct"/>
                  <w:tcBorders>
                    <w:tl2br w:val="nil"/>
                    <w:tr2bl w:val="nil"/>
                  </w:tcBorders>
                  <w:noWrap w:val="0"/>
                  <w:vAlign w:val="center"/>
                </w:tcPr>
                <w:p w14:paraId="22898CF0">
                  <w:pPr>
                    <w:ind w:left="2"/>
                    <w:jc w:val="center"/>
                    <w:rPr>
                      <w:rFonts w:hint="default"/>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颗粒物、SO</w:t>
                  </w:r>
                  <w:r>
                    <w:rPr>
                      <w:rFonts w:hint="eastAsia" w:cs="Times New Roman"/>
                      <w:snapToGrid w:val="0"/>
                      <w:color w:val="auto"/>
                      <w:sz w:val="18"/>
                      <w:szCs w:val="18"/>
                      <w:highlight w:val="none"/>
                      <w:vertAlign w:val="subscript"/>
                      <w:lang w:val="en-US" w:eastAsia="zh-CN"/>
                    </w:rPr>
                    <w:t>2</w:t>
                  </w:r>
                  <w:r>
                    <w:rPr>
                      <w:rFonts w:hint="eastAsia" w:cs="Times New Roman"/>
                      <w:snapToGrid w:val="0"/>
                      <w:color w:val="auto"/>
                      <w:sz w:val="18"/>
                      <w:szCs w:val="18"/>
                      <w:highlight w:val="none"/>
                      <w:vertAlign w:val="baseline"/>
                      <w:lang w:val="en-US" w:eastAsia="zh-CN"/>
                    </w:rPr>
                    <w:t>、NO</w:t>
                  </w:r>
                  <w:r>
                    <w:rPr>
                      <w:rFonts w:hint="eastAsia" w:cs="Times New Roman"/>
                      <w:snapToGrid w:val="0"/>
                      <w:color w:val="auto"/>
                      <w:sz w:val="18"/>
                      <w:szCs w:val="18"/>
                      <w:highlight w:val="none"/>
                      <w:vertAlign w:val="subscript"/>
                      <w:lang w:val="en-US" w:eastAsia="zh-CN"/>
                    </w:rPr>
                    <w:t>X</w:t>
                  </w:r>
                  <w:r>
                    <w:rPr>
                      <w:rFonts w:hint="eastAsia" w:cs="Times New Roman"/>
                      <w:snapToGrid w:val="0"/>
                      <w:color w:val="auto"/>
                      <w:sz w:val="18"/>
                      <w:szCs w:val="18"/>
                      <w:highlight w:val="none"/>
                      <w:vertAlign w:val="baseline"/>
                      <w:lang w:val="en-US" w:eastAsia="zh-CN"/>
                    </w:rPr>
                    <w:t>、氯化氢</w:t>
                  </w:r>
                </w:p>
              </w:tc>
              <w:tc>
                <w:tcPr>
                  <w:tcW w:w="751" w:type="pct"/>
                  <w:tcBorders>
                    <w:tl2br w:val="nil"/>
                    <w:tr2bl w:val="nil"/>
                  </w:tcBorders>
                  <w:noWrap w:val="0"/>
                  <w:vAlign w:val="center"/>
                </w:tcPr>
                <w:p w14:paraId="7315273D">
                  <w:pPr>
                    <w:jc w:val="center"/>
                    <w:rPr>
                      <w:rFonts w:hint="default"/>
                      <w:color w:val="auto"/>
                      <w:sz w:val="18"/>
                      <w:szCs w:val="18"/>
                      <w:highlight w:val="none"/>
                      <w:lang w:val="en-US" w:eastAsia="zh-CN"/>
                    </w:rPr>
                  </w:pPr>
                  <w:r>
                    <w:rPr>
                      <w:rFonts w:hint="eastAsia"/>
                      <w:color w:val="auto"/>
                      <w:sz w:val="18"/>
                      <w:szCs w:val="18"/>
                      <w:highlight w:val="none"/>
                      <w:lang w:val="en-US" w:eastAsia="zh-CN"/>
                    </w:rPr>
                    <w:t>24</w:t>
                  </w:r>
                </w:p>
              </w:tc>
              <w:tc>
                <w:tcPr>
                  <w:tcW w:w="751" w:type="pct"/>
                  <w:tcBorders>
                    <w:tl2br w:val="nil"/>
                    <w:tr2bl w:val="nil"/>
                  </w:tcBorders>
                  <w:noWrap w:val="0"/>
                  <w:vAlign w:val="center"/>
                </w:tcPr>
                <w:p w14:paraId="45E5A548">
                  <w:pPr>
                    <w:jc w:val="center"/>
                    <w:rPr>
                      <w:rFonts w:hint="default"/>
                      <w:color w:val="auto"/>
                      <w:sz w:val="18"/>
                      <w:szCs w:val="18"/>
                      <w:highlight w:val="none"/>
                      <w:lang w:val="en-US" w:eastAsia="zh-CN"/>
                    </w:rPr>
                  </w:pPr>
                  <w:r>
                    <w:rPr>
                      <w:rFonts w:hint="eastAsia"/>
                      <w:color w:val="auto"/>
                      <w:sz w:val="18"/>
                      <w:szCs w:val="18"/>
                      <w:highlight w:val="none"/>
                      <w:lang w:val="en-US" w:eastAsia="zh-CN"/>
                    </w:rPr>
                    <w:t>0.3</w:t>
                  </w:r>
                </w:p>
              </w:tc>
              <w:tc>
                <w:tcPr>
                  <w:tcW w:w="794" w:type="pct"/>
                  <w:tcBorders>
                    <w:tl2br w:val="nil"/>
                    <w:tr2bl w:val="nil"/>
                  </w:tcBorders>
                  <w:shd w:val="clear" w:color="auto" w:fill="auto"/>
                  <w:noWrap w:val="0"/>
                  <w:vAlign w:val="center"/>
                </w:tcPr>
                <w:p w14:paraId="42EAD00C">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常温</w:t>
                  </w:r>
                </w:p>
              </w:tc>
              <w:tc>
                <w:tcPr>
                  <w:tcW w:w="455" w:type="pct"/>
                  <w:tcBorders>
                    <w:tl2br w:val="nil"/>
                    <w:tr2bl w:val="nil"/>
                  </w:tcBorders>
                  <w:shd w:val="clear" w:color="auto" w:fill="auto"/>
                  <w:noWrap w:val="0"/>
                  <w:vAlign w:val="center"/>
                </w:tcPr>
                <w:p w14:paraId="54953FB6">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一般排放口</w:t>
                  </w:r>
                </w:p>
              </w:tc>
            </w:tr>
            <w:tr w14:paraId="20D093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81" w:type="pct"/>
                  <w:tcBorders>
                    <w:tl2br w:val="nil"/>
                    <w:tr2bl w:val="nil"/>
                  </w:tcBorders>
                  <w:noWrap w:val="0"/>
                  <w:vAlign w:val="center"/>
                </w:tcPr>
                <w:p w14:paraId="7FED22F6">
                  <w:pPr>
                    <w:jc w:val="center"/>
                    <w:rPr>
                      <w:rFonts w:hint="default"/>
                      <w:color w:val="auto"/>
                      <w:sz w:val="18"/>
                      <w:szCs w:val="18"/>
                      <w:highlight w:val="none"/>
                      <w:lang w:val="en-US" w:eastAsia="zh-CN"/>
                    </w:rPr>
                  </w:pPr>
                  <w:r>
                    <w:rPr>
                      <w:rFonts w:hint="eastAsia"/>
                      <w:color w:val="auto"/>
                      <w:sz w:val="18"/>
                      <w:szCs w:val="18"/>
                      <w:highlight w:val="none"/>
                      <w:lang w:val="en-US" w:eastAsia="zh-CN"/>
                    </w:rPr>
                    <w:t>DA014</w:t>
                  </w:r>
                </w:p>
              </w:tc>
              <w:tc>
                <w:tcPr>
                  <w:tcW w:w="782" w:type="pct"/>
                  <w:tcBorders>
                    <w:tl2br w:val="nil"/>
                    <w:tr2bl w:val="nil"/>
                  </w:tcBorders>
                  <w:shd w:val="clear" w:color="auto" w:fill="auto"/>
                  <w:noWrap w:val="0"/>
                  <w:vAlign w:val="center"/>
                </w:tcPr>
                <w:p w14:paraId="6793898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氧化铁粉仓及袋装废气</w:t>
                  </w:r>
                </w:p>
              </w:tc>
              <w:tc>
                <w:tcPr>
                  <w:tcW w:w="682" w:type="pct"/>
                  <w:tcBorders>
                    <w:tl2br w:val="nil"/>
                    <w:tr2bl w:val="nil"/>
                  </w:tcBorders>
                  <w:noWrap w:val="0"/>
                  <w:vAlign w:val="center"/>
                </w:tcPr>
                <w:p w14:paraId="6E58D9F2">
                  <w:pPr>
                    <w:ind w:left="2"/>
                    <w:jc w:val="center"/>
                    <w:rPr>
                      <w:rFonts w:hint="default"/>
                      <w:color w:val="auto"/>
                      <w:sz w:val="18"/>
                      <w:szCs w:val="18"/>
                      <w:highlight w:val="none"/>
                      <w:lang w:val="en-US" w:eastAsia="zh-CN"/>
                    </w:rPr>
                  </w:pPr>
                  <w:r>
                    <w:rPr>
                      <w:rFonts w:hint="eastAsia"/>
                      <w:color w:val="auto"/>
                      <w:sz w:val="18"/>
                      <w:szCs w:val="18"/>
                      <w:highlight w:val="none"/>
                      <w:lang w:val="en-US" w:eastAsia="zh-CN"/>
                    </w:rPr>
                    <w:t>颗粒物</w:t>
                  </w:r>
                </w:p>
              </w:tc>
              <w:tc>
                <w:tcPr>
                  <w:tcW w:w="751" w:type="pct"/>
                  <w:tcBorders>
                    <w:tl2br w:val="nil"/>
                    <w:tr2bl w:val="nil"/>
                  </w:tcBorders>
                  <w:noWrap w:val="0"/>
                  <w:vAlign w:val="center"/>
                </w:tcPr>
                <w:p w14:paraId="11F7BC78">
                  <w:pPr>
                    <w:jc w:val="center"/>
                    <w:rPr>
                      <w:rFonts w:hint="default"/>
                      <w:color w:val="auto"/>
                      <w:sz w:val="18"/>
                      <w:szCs w:val="18"/>
                      <w:highlight w:val="none"/>
                      <w:lang w:val="en-US" w:eastAsia="zh-CN"/>
                    </w:rPr>
                  </w:pPr>
                  <w:r>
                    <w:rPr>
                      <w:rFonts w:hint="eastAsia"/>
                      <w:color w:val="auto"/>
                      <w:sz w:val="18"/>
                      <w:szCs w:val="18"/>
                      <w:highlight w:val="none"/>
                      <w:lang w:val="en-US" w:eastAsia="zh-CN"/>
                    </w:rPr>
                    <w:t>24</w:t>
                  </w:r>
                </w:p>
              </w:tc>
              <w:tc>
                <w:tcPr>
                  <w:tcW w:w="751" w:type="pct"/>
                  <w:tcBorders>
                    <w:tl2br w:val="nil"/>
                    <w:tr2bl w:val="nil"/>
                  </w:tcBorders>
                  <w:noWrap w:val="0"/>
                  <w:vAlign w:val="center"/>
                </w:tcPr>
                <w:p w14:paraId="779E2BD3">
                  <w:pPr>
                    <w:jc w:val="center"/>
                    <w:rPr>
                      <w:rFonts w:hint="eastAsia"/>
                      <w:color w:val="auto"/>
                      <w:sz w:val="18"/>
                      <w:szCs w:val="18"/>
                      <w:highlight w:val="none"/>
                      <w:lang w:val="en-US" w:eastAsia="zh-CN"/>
                    </w:rPr>
                  </w:pPr>
                  <w:r>
                    <w:rPr>
                      <w:rFonts w:hint="eastAsia"/>
                      <w:color w:val="auto"/>
                      <w:sz w:val="18"/>
                      <w:szCs w:val="18"/>
                      <w:highlight w:val="none"/>
                      <w:lang w:val="en-US" w:eastAsia="zh-CN"/>
                    </w:rPr>
                    <w:t>0.25</w:t>
                  </w:r>
                </w:p>
              </w:tc>
              <w:tc>
                <w:tcPr>
                  <w:tcW w:w="794" w:type="pct"/>
                  <w:tcBorders>
                    <w:tl2br w:val="nil"/>
                    <w:tr2bl w:val="nil"/>
                  </w:tcBorders>
                  <w:shd w:val="clear" w:color="auto" w:fill="auto"/>
                  <w:noWrap w:val="0"/>
                  <w:vAlign w:val="center"/>
                </w:tcPr>
                <w:p w14:paraId="7B742596">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常温</w:t>
                  </w:r>
                </w:p>
              </w:tc>
              <w:tc>
                <w:tcPr>
                  <w:tcW w:w="455" w:type="pct"/>
                  <w:tcBorders>
                    <w:tl2br w:val="nil"/>
                    <w:tr2bl w:val="nil"/>
                  </w:tcBorders>
                  <w:shd w:val="clear" w:color="auto" w:fill="auto"/>
                  <w:noWrap w:val="0"/>
                  <w:vAlign w:val="center"/>
                </w:tcPr>
                <w:p w14:paraId="7FFCFE87">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一般排放口</w:t>
                  </w:r>
                </w:p>
              </w:tc>
            </w:tr>
          </w:tbl>
          <w:p w14:paraId="0E089DAA">
            <w:pPr>
              <w:spacing w:line="360" w:lineRule="auto"/>
              <w:ind w:firstLine="422" w:firstLineChars="200"/>
              <w:jc w:val="left"/>
              <w:rPr>
                <w:rFonts w:ascii="Times New Roman" w:hAnsi="Times New Roman"/>
                <w:color w:val="auto"/>
                <w:sz w:val="21"/>
                <w:szCs w:val="21"/>
                <w:highlight w:val="none"/>
              </w:rPr>
            </w:pPr>
            <w:r>
              <w:rPr>
                <w:rFonts w:ascii="Times New Roman" w:hAnsi="Times New Roman"/>
                <w:b/>
                <w:bCs/>
                <w:color w:val="auto"/>
                <w:sz w:val="21"/>
                <w:szCs w:val="21"/>
                <w:highlight w:val="none"/>
              </w:rPr>
              <w:t>4、监测要求</w:t>
            </w:r>
          </w:p>
          <w:p w14:paraId="7FFAC8B6">
            <w:pPr>
              <w:adjustRightInd w:val="0"/>
              <w:snapToGrid w:val="0"/>
              <w:spacing w:line="360" w:lineRule="auto"/>
              <w:ind w:firstLine="420" w:firstLineChars="200"/>
              <w:jc w:val="both"/>
              <w:rPr>
                <w:rFonts w:ascii="Times New Roman" w:hAnsi="Times New Roman"/>
                <w:color w:val="auto"/>
                <w:sz w:val="21"/>
                <w:szCs w:val="21"/>
                <w:highlight w:val="none"/>
              </w:rPr>
            </w:pPr>
            <w:r>
              <w:rPr>
                <w:rFonts w:ascii="Times New Roman" w:hAnsi="Times New Roman"/>
                <w:color w:val="auto"/>
                <w:sz w:val="21"/>
                <w:szCs w:val="21"/>
                <w:highlight w:val="none"/>
              </w:rPr>
              <w:t>根据《排污单位自行监测技术指南总则》（HJ819-2017）、</w:t>
            </w:r>
            <w:r>
              <w:rPr>
                <w:rFonts w:hint="eastAsia" w:ascii="Times New Roman" w:hAnsi="Times New Roman"/>
                <w:color w:val="auto"/>
                <w:sz w:val="21"/>
                <w:szCs w:val="21"/>
                <w:highlight w:val="none"/>
              </w:rPr>
              <w:t>《排污许可证申请与核发技术规范</w:t>
            </w:r>
            <w:r>
              <w:rPr>
                <w:rFonts w:hint="eastAsia"/>
                <w:color w:val="auto"/>
                <w:sz w:val="21"/>
                <w:szCs w:val="21"/>
                <w:highlight w:val="none"/>
                <w:lang w:val="en-US" w:eastAsia="zh-CN"/>
              </w:rPr>
              <w:t xml:space="preserve"> 钢铁工业</w:t>
            </w:r>
            <w:r>
              <w:rPr>
                <w:rFonts w:hint="eastAsia" w:ascii="Times New Roman" w:hAnsi="Times New Roman"/>
                <w:color w:val="auto"/>
                <w:sz w:val="21"/>
                <w:szCs w:val="21"/>
                <w:highlight w:val="none"/>
              </w:rPr>
              <w:t>》（HJ</w:t>
            </w:r>
            <w:r>
              <w:rPr>
                <w:rFonts w:hint="eastAsia"/>
                <w:color w:val="auto"/>
                <w:sz w:val="21"/>
                <w:szCs w:val="21"/>
                <w:highlight w:val="none"/>
                <w:lang w:val="en-US" w:eastAsia="zh-CN"/>
              </w:rPr>
              <w:t>846</w:t>
            </w:r>
            <w:r>
              <w:rPr>
                <w:rFonts w:hint="eastAsia" w:ascii="Times New Roman" w:hAnsi="Times New Roman"/>
                <w:color w:val="auto"/>
                <w:sz w:val="21"/>
                <w:szCs w:val="21"/>
                <w:highlight w:val="none"/>
              </w:rPr>
              <w:t>-201</w:t>
            </w:r>
            <w:r>
              <w:rPr>
                <w:rFonts w:hint="eastAsia"/>
                <w:color w:val="auto"/>
                <w:sz w:val="21"/>
                <w:szCs w:val="21"/>
                <w:highlight w:val="none"/>
                <w:lang w:val="en-US" w:eastAsia="zh-CN"/>
              </w:rPr>
              <w:t>7</w:t>
            </w:r>
            <w:r>
              <w:rPr>
                <w:rFonts w:hint="eastAsia" w:ascii="Times New Roman" w:hAnsi="Times New Roman"/>
                <w:color w:val="auto"/>
                <w:sz w:val="21"/>
                <w:szCs w:val="21"/>
                <w:highlight w:val="none"/>
              </w:rPr>
              <w:t>）</w:t>
            </w:r>
            <w:r>
              <w:rPr>
                <w:rFonts w:hint="eastAsia"/>
                <w:color w:val="auto"/>
                <w:sz w:val="21"/>
                <w:szCs w:val="21"/>
                <w:highlight w:val="none"/>
                <w:lang w:eastAsia="zh-CN"/>
              </w:rPr>
              <w:t>、《排污单位自行监测技术指南</w:t>
            </w:r>
            <w:r>
              <w:rPr>
                <w:rFonts w:hint="eastAsia"/>
                <w:color w:val="auto"/>
                <w:sz w:val="21"/>
                <w:szCs w:val="21"/>
                <w:highlight w:val="none"/>
                <w:lang w:val="en-US" w:eastAsia="zh-CN"/>
              </w:rPr>
              <w:t xml:space="preserve"> 钢铁工业及炼焦化学工业</w:t>
            </w:r>
            <w:r>
              <w:rPr>
                <w:rFonts w:hint="eastAsia"/>
                <w:color w:val="auto"/>
                <w:sz w:val="21"/>
                <w:szCs w:val="21"/>
                <w:highlight w:val="none"/>
                <w:lang w:eastAsia="zh-CN"/>
              </w:rPr>
              <w:t>》（</w:t>
            </w:r>
            <w:r>
              <w:rPr>
                <w:rFonts w:hint="eastAsia"/>
                <w:color w:val="auto"/>
                <w:sz w:val="21"/>
                <w:szCs w:val="21"/>
                <w:highlight w:val="none"/>
                <w:lang w:val="en-US" w:eastAsia="zh-CN"/>
              </w:rPr>
              <w:t>HJ878-2017</w:t>
            </w:r>
            <w:r>
              <w:rPr>
                <w:rFonts w:hint="eastAsia"/>
                <w:color w:val="auto"/>
                <w:sz w:val="21"/>
                <w:szCs w:val="21"/>
                <w:highlight w:val="none"/>
                <w:lang w:eastAsia="zh-CN"/>
              </w:rPr>
              <w:t>）</w:t>
            </w:r>
            <w:r>
              <w:rPr>
                <w:rFonts w:hint="eastAsia" w:eastAsia="宋体"/>
                <w:color w:val="auto"/>
                <w:sz w:val="21"/>
                <w:szCs w:val="21"/>
                <w:highlight w:val="none"/>
                <w:lang w:val="en-US" w:eastAsia="zh-CN"/>
              </w:rPr>
              <w:t>等</w:t>
            </w:r>
            <w:r>
              <w:rPr>
                <w:rFonts w:ascii="Times New Roman" w:hAnsi="Times New Roman"/>
                <w:color w:val="auto"/>
                <w:sz w:val="21"/>
                <w:szCs w:val="21"/>
                <w:highlight w:val="none"/>
              </w:rPr>
              <w:t>文件中的相关要求</w:t>
            </w:r>
            <w:r>
              <w:rPr>
                <w:rFonts w:hint="eastAsia"/>
                <w:color w:val="auto"/>
                <w:sz w:val="21"/>
                <w:szCs w:val="21"/>
                <w:highlight w:val="none"/>
                <w:lang w:val="en-US" w:eastAsia="zh-CN"/>
              </w:rPr>
              <w:t>，</w:t>
            </w:r>
            <w:r>
              <w:rPr>
                <w:rFonts w:ascii="Times New Roman" w:hAnsi="Times New Roman"/>
                <w:color w:val="auto"/>
                <w:sz w:val="21"/>
                <w:szCs w:val="21"/>
                <w:highlight w:val="none"/>
              </w:rPr>
              <w:t>制定</w:t>
            </w:r>
            <w:r>
              <w:rPr>
                <w:rFonts w:hint="eastAsia"/>
                <w:color w:val="auto"/>
                <w:sz w:val="21"/>
                <w:szCs w:val="21"/>
                <w:highlight w:val="none"/>
                <w:lang w:val="en-US" w:eastAsia="zh-CN"/>
              </w:rPr>
              <w:t>本项目</w:t>
            </w:r>
            <w:r>
              <w:rPr>
                <w:rFonts w:ascii="Times New Roman" w:hAnsi="Times New Roman"/>
                <w:color w:val="auto"/>
                <w:sz w:val="21"/>
                <w:szCs w:val="21"/>
                <w:highlight w:val="none"/>
              </w:rPr>
              <w:t>废气污染物监测计划，监测计划见表4-</w:t>
            </w:r>
            <w:r>
              <w:rPr>
                <w:rFonts w:hint="eastAsia"/>
                <w:color w:val="auto"/>
                <w:sz w:val="21"/>
                <w:szCs w:val="21"/>
                <w:highlight w:val="none"/>
                <w:lang w:val="en-US" w:eastAsia="zh-CN"/>
              </w:rPr>
              <w:t>10</w:t>
            </w:r>
            <w:r>
              <w:rPr>
                <w:rFonts w:ascii="Times New Roman" w:hAnsi="Times New Roman"/>
                <w:color w:val="auto"/>
                <w:sz w:val="21"/>
                <w:szCs w:val="21"/>
                <w:highlight w:val="none"/>
              </w:rPr>
              <w:t>。</w:t>
            </w:r>
          </w:p>
          <w:p w14:paraId="04A8C2BC">
            <w:pPr>
              <w:spacing w:line="360" w:lineRule="auto"/>
              <w:jc w:val="center"/>
              <w:rPr>
                <w:rFonts w:ascii="Times New Roman" w:hAnsi="Times New Roman" w:eastAsia="黑体"/>
                <w:bCs/>
                <w:color w:val="auto"/>
                <w:spacing w:val="2"/>
                <w:sz w:val="21"/>
                <w:szCs w:val="21"/>
                <w:highlight w:val="none"/>
              </w:rPr>
            </w:pPr>
            <w:r>
              <w:rPr>
                <w:rFonts w:ascii="Times New Roman" w:hAnsi="Times New Roman" w:eastAsia="黑体"/>
                <w:bCs/>
                <w:color w:val="auto"/>
                <w:spacing w:val="2"/>
                <w:sz w:val="21"/>
                <w:szCs w:val="21"/>
                <w:highlight w:val="none"/>
              </w:rPr>
              <w:t>表4-</w:t>
            </w:r>
            <w:r>
              <w:rPr>
                <w:rFonts w:hint="eastAsia" w:eastAsia="黑体"/>
                <w:bCs/>
                <w:color w:val="auto"/>
                <w:spacing w:val="2"/>
                <w:sz w:val="21"/>
                <w:szCs w:val="21"/>
                <w:highlight w:val="none"/>
                <w:lang w:val="en-US" w:eastAsia="zh-CN"/>
              </w:rPr>
              <w:t xml:space="preserve">10  </w:t>
            </w:r>
            <w:r>
              <w:rPr>
                <w:rFonts w:ascii="Times New Roman" w:hAnsi="Times New Roman" w:eastAsia="黑体"/>
                <w:bCs/>
                <w:color w:val="auto"/>
                <w:spacing w:val="2"/>
                <w:sz w:val="21"/>
                <w:szCs w:val="21"/>
                <w:highlight w:val="none"/>
              </w:rPr>
              <w:t>污染源环境监测工作计划表</w:t>
            </w:r>
          </w:p>
          <w:tbl>
            <w:tblPr>
              <w:tblStyle w:val="3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451"/>
              <w:gridCol w:w="2513"/>
              <w:gridCol w:w="2335"/>
            </w:tblGrid>
            <w:tr w14:paraId="1C9488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3"/>
                  <w:noWrap w:val="0"/>
                  <w:vAlign w:val="center"/>
                </w:tcPr>
                <w:p w14:paraId="3DE42950">
                  <w:pPr>
                    <w:jc w:val="left"/>
                    <w:rPr>
                      <w:rFonts w:ascii="Times New Roman" w:hAnsi="Times New Roman"/>
                      <w:b/>
                      <w:color w:val="auto"/>
                      <w:sz w:val="18"/>
                      <w:szCs w:val="18"/>
                      <w:highlight w:val="none"/>
                    </w:rPr>
                  </w:pPr>
                  <w:r>
                    <w:rPr>
                      <w:rFonts w:ascii="Times New Roman" w:hAnsi="Times New Roman"/>
                      <w:b/>
                      <w:color w:val="auto"/>
                      <w:sz w:val="18"/>
                      <w:szCs w:val="18"/>
                      <w:highlight w:val="none"/>
                    </w:rPr>
                    <w:t>一、有组织废气</w:t>
                  </w:r>
                </w:p>
              </w:tc>
            </w:tr>
            <w:tr w14:paraId="4B6B09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79" w:type="pct"/>
                  <w:noWrap w:val="0"/>
                  <w:vAlign w:val="center"/>
                </w:tcPr>
                <w:p w14:paraId="31475527">
                  <w:pPr>
                    <w:jc w:val="center"/>
                    <w:rPr>
                      <w:rFonts w:ascii="Times New Roman" w:hAnsi="Times New Roman"/>
                      <w:color w:val="auto"/>
                      <w:sz w:val="18"/>
                      <w:szCs w:val="18"/>
                      <w:highlight w:val="none"/>
                    </w:rPr>
                  </w:pPr>
                  <w:r>
                    <w:rPr>
                      <w:rFonts w:ascii="Times New Roman" w:hAnsi="Times New Roman"/>
                      <w:color w:val="auto"/>
                      <w:sz w:val="18"/>
                      <w:szCs w:val="18"/>
                      <w:highlight w:val="none"/>
                    </w:rPr>
                    <w:t>监测点位</w:t>
                  </w:r>
                </w:p>
              </w:tc>
              <w:tc>
                <w:tcPr>
                  <w:tcW w:w="1514" w:type="pct"/>
                  <w:noWrap w:val="0"/>
                  <w:vAlign w:val="center"/>
                </w:tcPr>
                <w:p w14:paraId="07AAA204">
                  <w:pPr>
                    <w:jc w:val="center"/>
                    <w:rPr>
                      <w:rFonts w:ascii="Times New Roman" w:hAnsi="Times New Roman"/>
                      <w:color w:val="auto"/>
                      <w:sz w:val="18"/>
                      <w:szCs w:val="18"/>
                      <w:highlight w:val="none"/>
                      <w:vertAlign w:val="subscript"/>
                    </w:rPr>
                  </w:pPr>
                  <w:r>
                    <w:rPr>
                      <w:rFonts w:ascii="Times New Roman" w:hAnsi="Times New Roman"/>
                      <w:color w:val="auto"/>
                      <w:sz w:val="18"/>
                      <w:szCs w:val="18"/>
                      <w:highlight w:val="none"/>
                    </w:rPr>
                    <w:t>监测指标</w:t>
                  </w:r>
                </w:p>
              </w:tc>
              <w:tc>
                <w:tcPr>
                  <w:tcW w:w="1406" w:type="pct"/>
                  <w:noWrap w:val="0"/>
                  <w:vAlign w:val="center"/>
                </w:tcPr>
                <w:p w14:paraId="20046C01">
                  <w:pPr>
                    <w:jc w:val="center"/>
                    <w:rPr>
                      <w:rFonts w:ascii="Times New Roman" w:hAnsi="Times New Roman"/>
                      <w:color w:val="auto"/>
                      <w:sz w:val="18"/>
                      <w:szCs w:val="18"/>
                      <w:highlight w:val="none"/>
                    </w:rPr>
                  </w:pPr>
                  <w:r>
                    <w:rPr>
                      <w:rFonts w:ascii="Times New Roman" w:hAnsi="Times New Roman"/>
                      <w:color w:val="auto"/>
                      <w:sz w:val="18"/>
                      <w:szCs w:val="18"/>
                      <w:highlight w:val="none"/>
                    </w:rPr>
                    <w:t>监测频次</w:t>
                  </w:r>
                </w:p>
              </w:tc>
            </w:tr>
            <w:tr w14:paraId="2A5234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2079" w:type="pct"/>
                  <w:shd w:val="clear" w:color="auto" w:fill="auto"/>
                  <w:noWrap w:val="0"/>
                  <w:vAlign w:val="center"/>
                </w:tcPr>
                <w:p w14:paraId="01192C07">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snapToGrid w:val="0"/>
                      <w:color w:val="auto"/>
                      <w:sz w:val="18"/>
                      <w:szCs w:val="18"/>
                      <w:highlight w:val="none"/>
                      <w:vertAlign w:val="baseline"/>
                      <w:lang w:val="en-US" w:eastAsia="zh-CN"/>
                    </w:rPr>
                    <w:t>常化无氧化加热炉燃烧废气排气筒</w:t>
                  </w:r>
                  <w:r>
                    <w:rPr>
                      <w:rFonts w:hint="eastAsia"/>
                      <w:color w:val="auto"/>
                      <w:sz w:val="18"/>
                      <w:szCs w:val="18"/>
                      <w:highlight w:val="none"/>
                      <w:lang w:val="en-US" w:eastAsia="zh-CN"/>
                    </w:rPr>
                    <w:t>DA001</w:t>
                  </w:r>
                </w:p>
              </w:tc>
              <w:tc>
                <w:tcPr>
                  <w:tcW w:w="1514" w:type="pct"/>
                  <w:shd w:val="clear" w:color="auto" w:fill="auto"/>
                  <w:noWrap w:val="0"/>
                  <w:vAlign w:val="center"/>
                </w:tcPr>
                <w:p w14:paraId="2FC66B1F">
                  <w:pPr>
                    <w:ind w:left="2" w:leftChars="0"/>
                    <w:jc w:val="center"/>
                    <w:rPr>
                      <w:rFonts w:ascii="Times New Roman" w:hAnsi="Times New Roman" w:eastAsia="宋体" w:cs="Times New Roman"/>
                      <w:color w:val="auto"/>
                      <w:kern w:val="2"/>
                      <w:sz w:val="18"/>
                      <w:szCs w:val="18"/>
                      <w:highlight w:val="none"/>
                      <w:lang w:val="en-US" w:eastAsia="zh-CN" w:bidi="ar-SA"/>
                    </w:rPr>
                  </w:pPr>
                  <w:r>
                    <w:rPr>
                      <w:rFonts w:hint="eastAsia" w:cs="Times New Roman"/>
                      <w:snapToGrid w:val="0"/>
                      <w:color w:val="auto"/>
                      <w:sz w:val="18"/>
                      <w:szCs w:val="18"/>
                      <w:highlight w:val="none"/>
                      <w:vertAlign w:val="baseline"/>
                      <w:lang w:val="en-US" w:eastAsia="zh-CN"/>
                    </w:rPr>
                    <w:t>颗粒物、SO</w:t>
                  </w:r>
                  <w:r>
                    <w:rPr>
                      <w:rFonts w:hint="eastAsia" w:cs="Times New Roman"/>
                      <w:snapToGrid w:val="0"/>
                      <w:color w:val="auto"/>
                      <w:sz w:val="18"/>
                      <w:szCs w:val="18"/>
                      <w:highlight w:val="none"/>
                      <w:vertAlign w:val="subscript"/>
                      <w:lang w:val="en-US" w:eastAsia="zh-CN"/>
                    </w:rPr>
                    <w:t>2</w:t>
                  </w:r>
                  <w:r>
                    <w:rPr>
                      <w:rFonts w:hint="eastAsia" w:cs="Times New Roman"/>
                      <w:snapToGrid w:val="0"/>
                      <w:color w:val="auto"/>
                      <w:sz w:val="18"/>
                      <w:szCs w:val="18"/>
                      <w:highlight w:val="none"/>
                      <w:vertAlign w:val="baseline"/>
                      <w:lang w:val="en-US" w:eastAsia="zh-CN"/>
                    </w:rPr>
                    <w:t>、NO</w:t>
                  </w:r>
                  <w:r>
                    <w:rPr>
                      <w:rFonts w:hint="eastAsia" w:cs="Times New Roman"/>
                      <w:snapToGrid w:val="0"/>
                      <w:color w:val="auto"/>
                      <w:sz w:val="18"/>
                      <w:szCs w:val="18"/>
                      <w:highlight w:val="none"/>
                      <w:vertAlign w:val="subscript"/>
                      <w:lang w:val="en-US" w:eastAsia="zh-CN"/>
                    </w:rPr>
                    <w:t>X</w:t>
                  </w:r>
                </w:p>
              </w:tc>
              <w:tc>
                <w:tcPr>
                  <w:tcW w:w="1406" w:type="pct"/>
                  <w:noWrap w:val="0"/>
                  <w:vAlign w:val="center"/>
                </w:tcPr>
                <w:p w14:paraId="199B1CEB">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季度/次</w:t>
                  </w:r>
                </w:p>
              </w:tc>
            </w:tr>
            <w:tr w14:paraId="10E88E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79" w:type="pct"/>
                  <w:shd w:val="clear" w:color="auto" w:fill="auto"/>
                  <w:noWrap w:val="0"/>
                  <w:vAlign w:val="center"/>
                </w:tcPr>
                <w:p w14:paraId="10F5B9C7">
                  <w:pPr>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snapToGrid w:val="0"/>
                      <w:color w:val="auto"/>
                      <w:sz w:val="18"/>
                      <w:szCs w:val="18"/>
                      <w:highlight w:val="none"/>
                      <w:vertAlign w:val="baseline"/>
                      <w:lang w:val="en-US" w:eastAsia="zh-CN"/>
                    </w:rPr>
                    <w:t>常化辐射管加热炉燃烧废气排气筒</w:t>
                  </w:r>
                  <w:r>
                    <w:rPr>
                      <w:rFonts w:hint="eastAsia"/>
                      <w:color w:val="auto"/>
                      <w:sz w:val="18"/>
                      <w:szCs w:val="18"/>
                      <w:highlight w:val="none"/>
                      <w:lang w:val="en-US" w:eastAsia="zh-CN"/>
                    </w:rPr>
                    <w:t>DA002</w:t>
                  </w:r>
                </w:p>
              </w:tc>
              <w:tc>
                <w:tcPr>
                  <w:tcW w:w="1514" w:type="pct"/>
                  <w:shd w:val="clear" w:color="auto" w:fill="auto"/>
                  <w:noWrap w:val="0"/>
                  <w:vAlign w:val="center"/>
                </w:tcPr>
                <w:p w14:paraId="6BC840CC">
                  <w:pPr>
                    <w:ind w:left="2" w:lef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snapToGrid w:val="0"/>
                      <w:color w:val="auto"/>
                      <w:sz w:val="18"/>
                      <w:szCs w:val="18"/>
                      <w:highlight w:val="none"/>
                      <w:vertAlign w:val="baseline"/>
                      <w:lang w:val="en-US" w:eastAsia="zh-CN"/>
                    </w:rPr>
                    <w:t>颗粒物、SO</w:t>
                  </w:r>
                  <w:r>
                    <w:rPr>
                      <w:rFonts w:hint="eastAsia" w:cs="Times New Roman"/>
                      <w:snapToGrid w:val="0"/>
                      <w:color w:val="auto"/>
                      <w:sz w:val="18"/>
                      <w:szCs w:val="18"/>
                      <w:highlight w:val="none"/>
                      <w:vertAlign w:val="subscript"/>
                      <w:lang w:val="en-US" w:eastAsia="zh-CN"/>
                    </w:rPr>
                    <w:t>2</w:t>
                  </w:r>
                  <w:r>
                    <w:rPr>
                      <w:rFonts w:hint="eastAsia" w:cs="Times New Roman"/>
                      <w:snapToGrid w:val="0"/>
                      <w:color w:val="auto"/>
                      <w:sz w:val="18"/>
                      <w:szCs w:val="18"/>
                      <w:highlight w:val="none"/>
                      <w:vertAlign w:val="baseline"/>
                      <w:lang w:val="en-US" w:eastAsia="zh-CN"/>
                    </w:rPr>
                    <w:t>、NO</w:t>
                  </w:r>
                  <w:r>
                    <w:rPr>
                      <w:rFonts w:hint="eastAsia" w:cs="Times New Roman"/>
                      <w:snapToGrid w:val="0"/>
                      <w:color w:val="auto"/>
                      <w:sz w:val="18"/>
                      <w:szCs w:val="18"/>
                      <w:highlight w:val="none"/>
                      <w:vertAlign w:val="subscript"/>
                      <w:lang w:val="en-US" w:eastAsia="zh-CN"/>
                    </w:rPr>
                    <w:t>X</w:t>
                  </w:r>
                </w:p>
              </w:tc>
              <w:tc>
                <w:tcPr>
                  <w:tcW w:w="1406" w:type="pct"/>
                  <w:noWrap w:val="0"/>
                  <w:vAlign w:val="center"/>
                </w:tcPr>
                <w:p w14:paraId="5C61693C">
                  <w:pPr>
                    <w:jc w:val="center"/>
                    <w:rPr>
                      <w:rFonts w:hint="eastAsia"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季度/次</w:t>
                  </w:r>
                </w:p>
              </w:tc>
            </w:tr>
            <w:tr w14:paraId="08B807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79" w:type="pct"/>
                  <w:shd w:val="clear" w:color="auto" w:fill="auto"/>
                  <w:noWrap w:val="0"/>
                  <w:vAlign w:val="center"/>
                </w:tcPr>
                <w:p w14:paraId="009A3559">
                  <w:pPr>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抛丸废气排气筒DA003</w:t>
                  </w:r>
                </w:p>
              </w:tc>
              <w:tc>
                <w:tcPr>
                  <w:tcW w:w="1514" w:type="pct"/>
                  <w:shd w:val="clear" w:color="auto" w:fill="auto"/>
                  <w:noWrap w:val="0"/>
                  <w:vAlign w:val="center"/>
                </w:tcPr>
                <w:p w14:paraId="2FB46BE9">
                  <w:pPr>
                    <w:ind w:left="2" w:leftChars="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snapToGrid w:val="0"/>
                      <w:color w:val="auto"/>
                      <w:sz w:val="18"/>
                      <w:szCs w:val="18"/>
                      <w:highlight w:val="none"/>
                      <w:vertAlign w:val="baseline"/>
                      <w:lang w:val="en-US" w:eastAsia="zh-CN"/>
                    </w:rPr>
                    <w:t>颗粒物</w:t>
                  </w:r>
                </w:p>
              </w:tc>
              <w:tc>
                <w:tcPr>
                  <w:tcW w:w="1406" w:type="pct"/>
                  <w:noWrap w:val="0"/>
                  <w:vAlign w:val="center"/>
                </w:tcPr>
                <w:p w14:paraId="7347A915">
                  <w:pPr>
                    <w:jc w:val="center"/>
                    <w:rPr>
                      <w:rFonts w:hint="default"/>
                      <w:color w:val="auto"/>
                      <w:sz w:val="18"/>
                      <w:szCs w:val="18"/>
                      <w:highlight w:val="none"/>
                      <w:lang w:val="en-US" w:eastAsia="zh-CN"/>
                    </w:rPr>
                  </w:pPr>
                  <w:r>
                    <w:rPr>
                      <w:rFonts w:hint="eastAsia"/>
                      <w:color w:val="auto"/>
                      <w:sz w:val="18"/>
                      <w:szCs w:val="18"/>
                      <w:highlight w:val="none"/>
                      <w:lang w:val="en-US" w:eastAsia="zh-CN"/>
                    </w:rPr>
                    <w:t>两年/次</w:t>
                  </w:r>
                </w:p>
              </w:tc>
            </w:tr>
            <w:tr w14:paraId="49843E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79" w:type="pct"/>
                  <w:shd w:val="clear" w:color="auto" w:fill="auto"/>
                  <w:noWrap w:val="0"/>
                  <w:vAlign w:val="center"/>
                </w:tcPr>
                <w:p w14:paraId="3F133BB8">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常化酸洗工序排气筒DA004</w:t>
                  </w:r>
                </w:p>
              </w:tc>
              <w:tc>
                <w:tcPr>
                  <w:tcW w:w="1514" w:type="pct"/>
                  <w:shd w:val="clear" w:color="auto" w:fill="auto"/>
                  <w:noWrap w:val="0"/>
                  <w:vAlign w:val="center"/>
                </w:tcPr>
                <w:p w14:paraId="17B54DBE">
                  <w:pPr>
                    <w:ind w:left="2" w:lef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氯化氢</w:t>
                  </w:r>
                </w:p>
              </w:tc>
              <w:tc>
                <w:tcPr>
                  <w:tcW w:w="1406" w:type="pct"/>
                  <w:shd w:val="clear" w:color="auto" w:fill="auto"/>
                  <w:noWrap w:val="0"/>
                  <w:vAlign w:val="center"/>
                </w:tcPr>
                <w:p w14:paraId="0C37C94D">
                  <w:pPr>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半年</w:t>
                  </w:r>
                  <w:r>
                    <w:rPr>
                      <w:rFonts w:hint="eastAsia"/>
                      <w:color w:val="auto"/>
                      <w:sz w:val="18"/>
                      <w:szCs w:val="18"/>
                      <w:highlight w:val="none"/>
                      <w:lang w:val="en-US" w:eastAsia="zh-CN"/>
                    </w:rPr>
                    <w:t>/次</w:t>
                  </w:r>
                </w:p>
              </w:tc>
            </w:tr>
            <w:tr w14:paraId="1A1299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79" w:type="pct"/>
                  <w:shd w:val="clear" w:color="auto" w:fill="auto"/>
                  <w:noWrap w:val="0"/>
                  <w:vAlign w:val="center"/>
                </w:tcPr>
                <w:p w14:paraId="3C909E9F">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冷轧废气排气筒DA005</w:t>
                  </w:r>
                </w:p>
              </w:tc>
              <w:tc>
                <w:tcPr>
                  <w:tcW w:w="1514" w:type="pct"/>
                  <w:shd w:val="clear" w:color="auto" w:fill="auto"/>
                  <w:noWrap w:val="0"/>
                  <w:vAlign w:val="center"/>
                </w:tcPr>
                <w:p w14:paraId="7A8D8921">
                  <w:pPr>
                    <w:ind w:left="2" w:lef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油雾</w:t>
                  </w:r>
                </w:p>
              </w:tc>
              <w:tc>
                <w:tcPr>
                  <w:tcW w:w="1406" w:type="pct"/>
                  <w:shd w:val="clear" w:color="auto" w:fill="auto"/>
                  <w:noWrap w:val="0"/>
                  <w:vAlign w:val="center"/>
                </w:tcPr>
                <w:p w14:paraId="68A9DEF3">
                  <w:pPr>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半年</w:t>
                  </w:r>
                  <w:r>
                    <w:rPr>
                      <w:rFonts w:hint="eastAsia"/>
                      <w:color w:val="auto"/>
                      <w:sz w:val="18"/>
                      <w:szCs w:val="18"/>
                      <w:highlight w:val="none"/>
                      <w:lang w:val="en-US" w:eastAsia="zh-CN"/>
                    </w:rPr>
                    <w:t>/次</w:t>
                  </w:r>
                </w:p>
              </w:tc>
            </w:tr>
            <w:tr w14:paraId="7C9562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79" w:type="pct"/>
                  <w:shd w:val="clear" w:color="auto" w:fill="auto"/>
                  <w:noWrap w:val="0"/>
                  <w:vAlign w:val="center"/>
                </w:tcPr>
                <w:p w14:paraId="23FE4727">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snapToGrid w:val="0"/>
                      <w:color w:val="auto"/>
                      <w:sz w:val="18"/>
                      <w:szCs w:val="18"/>
                      <w:highlight w:val="none"/>
                      <w:vertAlign w:val="baseline"/>
                      <w:lang w:val="en-US" w:eastAsia="zh-CN"/>
                    </w:rPr>
                    <w:t>取向硅钢脱碳退火涂层机组碱洗废气排气筒</w:t>
                  </w:r>
                  <w:r>
                    <w:rPr>
                      <w:rFonts w:hint="eastAsia"/>
                      <w:color w:val="auto"/>
                      <w:sz w:val="18"/>
                      <w:szCs w:val="18"/>
                      <w:highlight w:val="none"/>
                      <w:lang w:val="en-US" w:eastAsia="zh-CN"/>
                    </w:rPr>
                    <w:t>DA006</w:t>
                  </w:r>
                </w:p>
              </w:tc>
              <w:tc>
                <w:tcPr>
                  <w:tcW w:w="1514" w:type="pct"/>
                  <w:shd w:val="clear" w:color="auto" w:fill="auto"/>
                  <w:noWrap w:val="0"/>
                  <w:vAlign w:val="center"/>
                </w:tcPr>
                <w:p w14:paraId="50F22D3D">
                  <w:pPr>
                    <w:ind w:left="2" w:lef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碱雾</w:t>
                  </w:r>
                </w:p>
              </w:tc>
              <w:tc>
                <w:tcPr>
                  <w:tcW w:w="1406" w:type="pct"/>
                  <w:shd w:val="clear" w:color="auto" w:fill="auto"/>
                  <w:noWrap w:val="0"/>
                  <w:vAlign w:val="center"/>
                </w:tcPr>
                <w:p w14:paraId="14115397">
                  <w:pPr>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半年</w:t>
                  </w:r>
                  <w:r>
                    <w:rPr>
                      <w:rFonts w:hint="eastAsia"/>
                      <w:color w:val="auto"/>
                      <w:sz w:val="18"/>
                      <w:szCs w:val="18"/>
                      <w:highlight w:val="none"/>
                      <w:lang w:val="en-US" w:eastAsia="zh-CN"/>
                    </w:rPr>
                    <w:t>/次</w:t>
                  </w:r>
                </w:p>
              </w:tc>
            </w:tr>
            <w:tr w14:paraId="29B78D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79" w:type="pct"/>
                  <w:shd w:val="clear" w:color="auto" w:fill="auto"/>
                  <w:noWrap w:val="0"/>
                  <w:vAlign w:val="center"/>
                </w:tcPr>
                <w:p w14:paraId="3990EFD4">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snapToGrid w:val="0"/>
                      <w:color w:val="auto"/>
                      <w:sz w:val="18"/>
                      <w:szCs w:val="18"/>
                      <w:highlight w:val="none"/>
                      <w:vertAlign w:val="baseline"/>
                      <w:lang w:val="en-US" w:eastAsia="zh-CN"/>
                    </w:rPr>
                    <w:t>取向硅钢脱碳退火涂层机组退火炉燃烧废气排气筒</w:t>
                  </w:r>
                  <w:r>
                    <w:rPr>
                      <w:rFonts w:hint="eastAsia"/>
                      <w:color w:val="auto"/>
                      <w:sz w:val="18"/>
                      <w:szCs w:val="18"/>
                      <w:highlight w:val="none"/>
                      <w:lang w:val="en-US" w:eastAsia="zh-CN"/>
                    </w:rPr>
                    <w:t>DA007</w:t>
                  </w:r>
                </w:p>
              </w:tc>
              <w:tc>
                <w:tcPr>
                  <w:tcW w:w="1514" w:type="pct"/>
                  <w:shd w:val="clear" w:color="auto" w:fill="auto"/>
                  <w:noWrap w:val="0"/>
                  <w:vAlign w:val="center"/>
                </w:tcPr>
                <w:p w14:paraId="1981E352">
                  <w:pPr>
                    <w:ind w:left="2" w:lef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snapToGrid w:val="0"/>
                      <w:color w:val="auto"/>
                      <w:sz w:val="18"/>
                      <w:szCs w:val="18"/>
                      <w:highlight w:val="none"/>
                      <w:vertAlign w:val="baseline"/>
                      <w:lang w:val="en-US" w:eastAsia="zh-CN"/>
                    </w:rPr>
                    <w:t>颗粒物、SO</w:t>
                  </w:r>
                  <w:r>
                    <w:rPr>
                      <w:rFonts w:hint="eastAsia" w:cs="Times New Roman"/>
                      <w:snapToGrid w:val="0"/>
                      <w:color w:val="auto"/>
                      <w:sz w:val="18"/>
                      <w:szCs w:val="18"/>
                      <w:highlight w:val="none"/>
                      <w:vertAlign w:val="subscript"/>
                      <w:lang w:val="en-US" w:eastAsia="zh-CN"/>
                    </w:rPr>
                    <w:t>2</w:t>
                  </w:r>
                  <w:r>
                    <w:rPr>
                      <w:rFonts w:hint="eastAsia" w:cs="Times New Roman"/>
                      <w:snapToGrid w:val="0"/>
                      <w:color w:val="auto"/>
                      <w:sz w:val="18"/>
                      <w:szCs w:val="18"/>
                      <w:highlight w:val="none"/>
                      <w:vertAlign w:val="baseline"/>
                      <w:lang w:val="en-US" w:eastAsia="zh-CN"/>
                    </w:rPr>
                    <w:t>、NO</w:t>
                  </w:r>
                  <w:r>
                    <w:rPr>
                      <w:rFonts w:hint="eastAsia" w:cs="Times New Roman"/>
                      <w:snapToGrid w:val="0"/>
                      <w:color w:val="auto"/>
                      <w:sz w:val="18"/>
                      <w:szCs w:val="18"/>
                      <w:highlight w:val="none"/>
                      <w:vertAlign w:val="subscript"/>
                      <w:lang w:val="en-US" w:eastAsia="zh-CN"/>
                    </w:rPr>
                    <w:t>X</w:t>
                  </w:r>
                </w:p>
              </w:tc>
              <w:tc>
                <w:tcPr>
                  <w:tcW w:w="1406" w:type="pct"/>
                  <w:shd w:val="clear" w:color="auto" w:fill="auto"/>
                  <w:noWrap w:val="0"/>
                  <w:vAlign w:val="center"/>
                </w:tcPr>
                <w:p w14:paraId="0D7ACCFF">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季度/次</w:t>
                  </w:r>
                </w:p>
              </w:tc>
            </w:tr>
            <w:tr w14:paraId="29A25E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79" w:type="pct"/>
                  <w:shd w:val="clear" w:color="auto" w:fill="auto"/>
                  <w:noWrap w:val="0"/>
                  <w:vAlign w:val="center"/>
                </w:tcPr>
                <w:p w14:paraId="719DDAC1">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snapToGrid w:val="0"/>
                      <w:color w:val="auto"/>
                      <w:sz w:val="18"/>
                      <w:szCs w:val="18"/>
                      <w:highlight w:val="none"/>
                      <w:vertAlign w:val="baseline"/>
                      <w:lang w:val="en-US" w:eastAsia="zh-CN"/>
                    </w:rPr>
                    <w:t>取向硅钢脱碳退火涂层机组烘干烧结燃烧废气排气筒</w:t>
                  </w:r>
                  <w:r>
                    <w:rPr>
                      <w:rFonts w:hint="eastAsia"/>
                      <w:color w:val="auto"/>
                      <w:sz w:val="18"/>
                      <w:szCs w:val="18"/>
                      <w:highlight w:val="none"/>
                      <w:lang w:val="en-US" w:eastAsia="zh-CN"/>
                    </w:rPr>
                    <w:t>DA008</w:t>
                  </w:r>
                </w:p>
              </w:tc>
              <w:tc>
                <w:tcPr>
                  <w:tcW w:w="1514" w:type="pct"/>
                  <w:shd w:val="clear" w:color="auto" w:fill="auto"/>
                  <w:noWrap w:val="0"/>
                  <w:vAlign w:val="center"/>
                </w:tcPr>
                <w:p w14:paraId="5F4CC740">
                  <w:pPr>
                    <w:ind w:left="2" w:lef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snapToGrid w:val="0"/>
                      <w:color w:val="auto"/>
                      <w:sz w:val="18"/>
                      <w:szCs w:val="18"/>
                      <w:highlight w:val="none"/>
                      <w:vertAlign w:val="baseline"/>
                      <w:lang w:val="en-US" w:eastAsia="zh-CN"/>
                    </w:rPr>
                    <w:t>颗粒物、SO</w:t>
                  </w:r>
                  <w:r>
                    <w:rPr>
                      <w:rFonts w:hint="eastAsia" w:cs="Times New Roman"/>
                      <w:snapToGrid w:val="0"/>
                      <w:color w:val="auto"/>
                      <w:sz w:val="18"/>
                      <w:szCs w:val="18"/>
                      <w:highlight w:val="none"/>
                      <w:vertAlign w:val="subscript"/>
                      <w:lang w:val="en-US" w:eastAsia="zh-CN"/>
                    </w:rPr>
                    <w:t>2</w:t>
                  </w:r>
                  <w:r>
                    <w:rPr>
                      <w:rFonts w:hint="eastAsia" w:cs="Times New Roman"/>
                      <w:snapToGrid w:val="0"/>
                      <w:color w:val="auto"/>
                      <w:sz w:val="18"/>
                      <w:szCs w:val="18"/>
                      <w:highlight w:val="none"/>
                      <w:vertAlign w:val="baseline"/>
                      <w:lang w:val="en-US" w:eastAsia="zh-CN"/>
                    </w:rPr>
                    <w:t>、NO</w:t>
                  </w:r>
                  <w:r>
                    <w:rPr>
                      <w:rFonts w:hint="eastAsia" w:cs="Times New Roman"/>
                      <w:snapToGrid w:val="0"/>
                      <w:color w:val="auto"/>
                      <w:sz w:val="18"/>
                      <w:szCs w:val="18"/>
                      <w:highlight w:val="none"/>
                      <w:vertAlign w:val="subscript"/>
                      <w:lang w:val="en-US" w:eastAsia="zh-CN"/>
                    </w:rPr>
                    <w:t>X</w:t>
                  </w:r>
                </w:p>
              </w:tc>
              <w:tc>
                <w:tcPr>
                  <w:tcW w:w="1406" w:type="pct"/>
                  <w:shd w:val="clear" w:color="auto" w:fill="auto"/>
                  <w:noWrap w:val="0"/>
                  <w:vAlign w:val="center"/>
                </w:tcPr>
                <w:p w14:paraId="7B31BCCF">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季度/次</w:t>
                  </w:r>
                </w:p>
              </w:tc>
            </w:tr>
            <w:tr w14:paraId="36A81A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79" w:type="pct"/>
                  <w:shd w:val="clear" w:color="auto" w:fill="auto"/>
                  <w:noWrap w:val="0"/>
                  <w:vAlign w:val="center"/>
                </w:tcPr>
                <w:p w14:paraId="06E1CED4">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snapToGrid w:val="0"/>
                      <w:color w:val="auto"/>
                      <w:sz w:val="18"/>
                      <w:szCs w:val="18"/>
                      <w:highlight w:val="none"/>
                      <w:vertAlign w:val="baseline"/>
                      <w:lang w:val="en-US" w:eastAsia="zh-CN"/>
                    </w:rPr>
                    <w:t>热拉伸平整机组硫酸酸洗废气排气筒</w:t>
                  </w:r>
                  <w:r>
                    <w:rPr>
                      <w:rFonts w:hint="eastAsia"/>
                      <w:color w:val="auto"/>
                      <w:sz w:val="18"/>
                      <w:szCs w:val="18"/>
                      <w:highlight w:val="none"/>
                      <w:lang w:val="en-US" w:eastAsia="zh-CN"/>
                    </w:rPr>
                    <w:t>DA009</w:t>
                  </w:r>
                </w:p>
              </w:tc>
              <w:tc>
                <w:tcPr>
                  <w:tcW w:w="1514" w:type="pct"/>
                  <w:shd w:val="clear" w:color="auto" w:fill="auto"/>
                  <w:noWrap w:val="0"/>
                  <w:vAlign w:val="center"/>
                </w:tcPr>
                <w:p w14:paraId="657E1ADA">
                  <w:pPr>
                    <w:ind w:left="2" w:lef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硫酸雾</w:t>
                  </w:r>
                </w:p>
              </w:tc>
              <w:tc>
                <w:tcPr>
                  <w:tcW w:w="1406" w:type="pct"/>
                  <w:shd w:val="clear" w:color="auto" w:fill="auto"/>
                  <w:noWrap w:val="0"/>
                  <w:vAlign w:val="center"/>
                </w:tcPr>
                <w:p w14:paraId="65359910">
                  <w:pPr>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半年</w:t>
                  </w:r>
                  <w:r>
                    <w:rPr>
                      <w:rFonts w:hint="eastAsia"/>
                      <w:color w:val="auto"/>
                      <w:sz w:val="18"/>
                      <w:szCs w:val="18"/>
                      <w:highlight w:val="none"/>
                      <w:lang w:val="en-US" w:eastAsia="zh-CN"/>
                    </w:rPr>
                    <w:t>/次</w:t>
                  </w:r>
                </w:p>
              </w:tc>
            </w:tr>
            <w:tr w14:paraId="5F0DA2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79" w:type="pct"/>
                  <w:shd w:val="clear" w:color="auto" w:fill="auto"/>
                  <w:noWrap w:val="0"/>
                  <w:vAlign w:val="center"/>
                </w:tcPr>
                <w:p w14:paraId="7793E966">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snapToGrid w:val="0"/>
                      <w:color w:val="auto"/>
                      <w:sz w:val="18"/>
                      <w:szCs w:val="18"/>
                      <w:highlight w:val="none"/>
                      <w:vertAlign w:val="baseline"/>
                      <w:lang w:val="en-US" w:eastAsia="zh-CN"/>
                    </w:rPr>
                    <w:t>热拉伸平整机组</w:t>
                  </w:r>
                  <w:r>
                    <w:rPr>
                      <w:rFonts w:hint="eastAsia" w:cs="Times New Roman"/>
                      <w:snapToGrid w:val="0"/>
                      <w:color w:val="auto"/>
                      <w:sz w:val="18"/>
                      <w:szCs w:val="18"/>
                      <w:highlight w:val="none"/>
                      <w:vertAlign w:val="baseline"/>
                      <w:lang w:val="en-US" w:eastAsia="zh-CN"/>
                    </w:rPr>
                    <w:t>热拉伸入口氧化镁粉尘排气筒</w:t>
                  </w:r>
                  <w:r>
                    <w:rPr>
                      <w:rFonts w:hint="eastAsia"/>
                      <w:color w:val="auto"/>
                      <w:sz w:val="18"/>
                      <w:szCs w:val="18"/>
                      <w:highlight w:val="none"/>
                      <w:lang w:val="en-US" w:eastAsia="zh-CN"/>
                    </w:rPr>
                    <w:t>DA010</w:t>
                  </w:r>
                </w:p>
              </w:tc>
              <w:tc>
                <w:tcPr>
                  <w:tcW w:w="1514" w:type="pct"/>
                  <w:shd w:val="clear" w:color="auto" w:fill="auto"/>
                  <w:noWrap w:val="0"/>
                  <w:vAlign w:val="center"/>
                </w:tcPr>
                <w:p w14:paraId="095729C9">
                  <w:pPr>
                    <w:ind w:left="2" w:lef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颗粒物</w:t>
                  </w:r>
                </w:p>
              </w:tc>
              <w:tc>
                <w:tcPr>
                  <w:tcW w:w="1406" w:type="pct"/>
                  <w:shd w:val="clear" w:color="auto" w:fill="auto"/>
                  <w:noWrap w:val="0"/>
                  <w:vAlign w:val="center"/>
                </w:tcPr>
                <w:p w14:paraId="1C638605">
                  <w:pPr>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两年</w:t>
                  </w:r>
                  <w:r>
                    <w:rPr>
                      <w:rFonts w:hint="eastAsia"/>
                      <w:color w:val="auto"/>
                      <w:sz w:val="18"/>
                      <w:szCs w:val="18"/>
                      <w:highlight w:val="none"/>
                      <w:lang w:val="en-US" w:eastAsia="zh-CN"/>
                    </w:rPr>
                    <w:t>/次</w:t>
                  </w:r>
                </w:p>
              </w:tc>
            </w:tr>
            <w:tr w14:paraId="17E938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79" w:type="pct"/>
                  <w:shd w:val="clear" w:color="auto" w:fill="auto"/>
                  <w:noWrap w:val="0"/>
                  <w:vAlign w:val="center"/>
                </w:tcPr>
                <w:p w14:paraId="5A4937EE">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snapToGrid w:val="0"/>
                      <w:color w:val="auto"/>
                      <w:sz w:val="18"/>
                      <w:szCs w:val="18"/>
                      <w:highlight w:val="none"/>
                      <w:vertAlign w:val="baseline"/>
                      <w:lang w:val="en-US" w:eastAsia="zh-CN"/>
                    </w:rPr>
                    <w:t>热拉伸入口氧化镁粉尘卧式连续炉燃烧废气排气筒</w:t>
                  </w:r>
                  <w:r>
                    <w:rPr>
                      <w:rFonts w:hint="eastAsia"/>
                      <w:color w:val="auto"/>
                      <w:sz w:val="18"/>
                      <w:szCs w:val="18"/>
                      <w:highlight w:val="none"/>
                      <w:lang w:val="en-US" w:eastAsia="zh-CN"/>
                    </w:rPr>
                    <w:t>DA011</w:t>
                  </w:r>
                </w:p>
              </w:tc>
              <w:tc>
                <w:tcPr>
                  <w:tcW w:w="1514" w:type="pct"/>
                  <w:shd w:val="clear" w:color="auto" w:fill="auto"/>
                  <w:noWrap w:val="0"/>
                  <w:vAlign w:val="center"/>
                </w:tcPr>
                <w:p w14:paraId="1F822493">
                  <w:pPr>
                    <w:ind w:left="2" w:lef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snapToGrid w:val="0"/>
                      <w:color w:val="auto"/>
                      <w:sz w:val="18"/>
                      <w:szCs w:val="18"/>
                      <w:highlight w:val="none"/>
                      <w:vertAlign w:val="baseline"/>
                      <w:lang w:val="en-US" w:eastAsia="zh-CN"/>
                    </w:rPr>
                    <w:t>颗粒物、SO</w:t>
                  </w:r>
                  <w:r>
                    <w:rPr>
                      <w:rFonts w:hint="eastAsia" w:cs="Times New Roman"/>
                      <w:snapToGrid w:val="0"/>
                      <w:color w:val="auto"/>
                      <w:sz w:val="18"/>
                      <w:szCs w:val="18"/>
                      <w:highlight w:val="none"/>
                      <w:vertAlign w:val="subscript"/>
                      <w:lang w:val="en-US" w:eastAsia="zh-CN"/>
                    </w:rPr>
                    <w:t>2</w:t>
                  </w:r>
                  <w:r>
                    <w:rPr>
                      <w:rFonts w:hint="eastAsia" w:cs="Times New Roman"/>
                      <w:snapToGrid w:val="0"/>
                      <w:color w:val="auto"/>
                      <w:sz w:val="18"/>
                      <w:szCs w:val="18"/>
                      <w:highlight w:val="none"/>
                      <w:vertAlign w:val="baseline"/>
                      <w:lang w:val="en-US" w:eastAsia="zh-CN"/>
                    </w:rPr>
                    <w:t>、NO</w:t>
                  </w:r>
                  <w:r>
                    <w:rPr>
                      <w:rFonts w:hint="eastAsia" w:cs="Times New Roman"/>
                      <w:snapToGrid w:val="0"/>
                      <w:color w:val="auto"/>
                      <w:sz w:val="18"/>
                      <w:szCs w:val="18"/>
                      <w:highlight w:val="none"/>
                      <w:vertAlign w:val="subscript"/>
                      <w:lang w:val="en-US" w:eastAsia="zh-CN"/>
                    </w:rPr>
                    <w:t>X</w:t>
                  </w:r>
                </w:p>
              </w:tc>
              <w:tc>
                <w:tcPr>
                  <w:tcW w:w="1406" w:type="pct"/>
                  <w:shd w:val="clear" w:color="auto" w:fill="auto"/>
                  <w:noWrap w:val="0"/>
                  <w:vAlign w:val="center"/>
                </w:tcPr>
                <w:p w14:paraId="4AE3C92B">
                  <w:pPr>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季度</w:t>
                  </w:r>
                  <w:r>
                    <w:rPr>
                      <w:rFonts w:hint="eastAsia"/>
                      <w:color w:val="auto"/>
                      <w:sz w:val="18"/>
                      <w:szCs w:val="18"/>
                      <w:highlight w:val="none"/>
                      <w:lang w:val="en-US" w:eastAsia="zh-CN"/>
                    </w:rPr>
                    <w:t>/次</w:t>
                  </w:r>
                </w:p>
              </w:tc>
            </w:tr>
            <w:tr w14:paraId="3271C7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79" w:type="pct"/>
                  <w:shd w:val="clear" w:color="auto" w:fill="auto"/>
                  <w:noWrap w:val="0"/>
                  <w:vAlign w:val="center"/>
                </w:tcPr>
                <w:p w14:paraId="48FBC696">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激光刻痕废气排气筒DA012</w:t>
                  </w:r>
                </w:p>
              </w:tc>
              <w:tc>
                <w:tcPr>
                  <w:tcW w:w="1514" w:type="pct"/>
                  <w:shd w:val="clear" w:color="auto" w:fill="auto"/>
                  <w:noWrap w:val="0"/>
                  <w:vAlign w:val="center"/>
                </w:tcPr>
                <w:p w14:paraId="20615F03">
                  <w:pPr>
                    <w:ind w:left="2" w:lef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颗粒物</w:t>
                  </w:r>
                </w:p>
              </w:tc>
              <w:tc>
                <w:tcPr>
                  <w:tcW w:w="1406" w:type="pct"/>
                  <w:shd w:val="clear" w:color="auto" w:fill="auto"/>
                  <w:noWrap w:val="0"/>
                  <w:vAlign w:val="center"/>
                </w:tcPr>
                <w:p w14:paraId="23C46B57">
                  <w:pPr>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两年</w:t>
                  </w:r>
                  <w:r>
                    <w:rPr>
                      <w:rFonts w:hint="eastAsia"/>
                      <w:color w:val="auto"/>
                      <w:sz w:val="18"/>
                      <w:szCs w:val="18"/>
                      <w:highlight w:val="none"/>
                      <w:lang w:val="en-US" w:eastAsia="zh-CN"/>
                    </w:rPr>
                    <w:t>/次</w:t>
                  </w:r>
                </w:p>
              </w:tc>
            </w:tr>
            <w:tr w14:paraId="371B12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79" w:type="pct"/>
                  <w:vMerge w:val="restart"/>
                  <w:shd w:val="clear" w:color="auto" w:fill="auto"/>
                  <w:noWrap w:val="0"/>
                  <w:vAlign w:val="center"/>
                </w:tcPr>
                <w:p w14:paraId="6A99844B">
                  <w:pPr>
                    <w:jc w:val="center"/>
                    <w:rPr>
                      <w:rFonts w:hint="default"/>
                      <w:color w:val="auto"/>
                      <w:sz w:val="18"/>
                      <w:szCs w:val="18"/>
                      <w:highlight w:val="none"/>
                      <w:lang w:val="en-US" w:eastAsia="zh-CN"/>
                    </w:rPr>
                  </w:pPr>
                  <w:r>
                    <w:rPr>
                      <w:rFonts w:hint="eastAsia"/>
                      <w:color w:val="auto"/>
                      <w:sz w:val="18"/>
                      <w:szCs w:val="18"/>
                      <w:highlight w:val="none"/>
                      <w:lang w:val="en-US" w:eastAsia="zh-CN"/>
                    </w:rPr>
                    <w:t>废酸再生焙烧炉废气排气筒DA013</w:t>
                  </w:r>
                </w:p>
              </w:tc>
              <w:tc>
                <w:tcPr>
                  <w:tcW w:w="1514" w:type="pct"/>
                  <w:shd w:val="clear" w:color="auto" w:fill="auto"/>
                  <w:noWrap w:val="0"/>
                  <w:vAlign w:val="center"/>
                </w:tcPr>
                <w:p w14:paraId="11A8DDCB">
                  <w:pPr>
                    <w:ind w:left="2" w:lef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snapToGrid w:val="0"/>
                      <w:color w:val="auto"/>
                      <w:sz w:val="18"/>
                      <w:szCs w:val="18"/>
                      <w:highlight w:val="none"/>
                      <w:vertAlign w:val="baseline"/>
                      <w:lang w:val="en-US" w:eastAsia="zh-CN"/>
                    </w:rPr>
                    <w:t>颗粒物、SO</w:t>
                  </w:r>
                  <w:r>
                    <w:rPr>
                      <w:rFonts w:hint="eastAsia" w:cs="Times New Roman"/>
                      <w:snapToGrid w:val="0"/>
                      <w:color w:val="auto"/>
                      <w:sz w:val="18"/>
                      <w:szCs w:val="18"/>
                      <w:highlight w:val="none"/>
                      <w:vertAlign w:val="subscript"/>
                      <w:lang w:val="en-US" w:eastAsia="zh-CN"/>
                    </w:rPr>
                    <w:t>2</w:t>
                  </w:r>
                  <w:r>
                    <w:rPr>
                      <w:rFonts w:hint="eastAsia" w:cs="Times New Roman"/>
                      <w:snapToGrid w:val="0"/>
                      <w:color w:val="auto"/>
                      <w:sz w:val="18"/>
                      <w:szCs w:val="18"/>
                      <w:highlight w:val="none"/>
                      <w:vertAlign w:val="baseline"/>
                      <w:lang w:val="en-US" w:eastAsia="zh-CN"/>
                    </w:rPr>
                    <w:t>、NO</w:t>
                  </w:r>
                  <w:r>
                    <w:rPr>
                      <w:rFonts w:hint="eastAsia" w:cs="Times New Roman"/>
                      <w:snapToGrid w:val="0"/>
                      <w:color w:val="auto"/>
                      <w:sz w:val="18"/>
                      <w:szCs w:val="18"/>
                      <w:highlight w:val="none"/>
                      <w:vertAlign w:val="subscript"/>
                      <w:lang w:val="en-US" w:eastAsia="zh-CN"/>
                    </w:rPr>
                    <w:t>X</w:t>
                  </w:r>
                </w:p>
              </w:tc>
              <w:tc>
                <w:tcPr>
                  <w:tcW w:w="1406" w:type="pct"/>
                  <w:shd w:val="clear" w:color="auto" w:fill="auto"/>
                  <w:noWrap w:val="0"/>
                  <w:vAlign w:val="center"/>
                </w:tcPr>
                <w:p w14:paraId="1739CE46">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季度/次</w:t>
                  </w:r>
                </w:p>
              </w:tc>
            </w:tr>
            <w:tr w14:paraId="628CB3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79" w:type="pct"/>
                  <w:vMerge w:val="continue"/>
                  <w:shd w:val="clear" w:color="auto" w:fill="auto"/>
                  <w:noWrap w:val="0"/>
                  <w:vAlign w:val="center"/>
                </w:tcPr>
                <w:p w14:paraId="1A5846B4">
                  <w:pPr>
                    <w:jc w:val="center"/>
                    <w:rPr>
                      <w:rFonts w:hint="eastAsia"/>
                      <w:color w:val="auto"/>
                      <w:sz w:val="18"/>
                      <w:szCs w:val="18"/>
                      <w:highlight w:val="none"/>
                      <w:lang w:val="en-US" w:eastAsia="zh-CN"/>
                    </w:rPr>
                  </w:pPr>
                </w:p>
              </w:tc>
              <w:tc>
                <w:tcPr>
                  <w:tcW w:w="1514" w:type="pct"/>
                  <w:shd w:val="clear" w:color="auto" w:fill="auto"/>
                  <w:noWrap w:val="0"/>
                  <w:vAlign w:val="center"/>
                </w:tcPr>
                <w:p w14:paraId="66CCFF43">
                  <w:pPr>
                    <w:ind w:left="2" w:leftChars="0"/>
                    <w:jc w:val="center"/>
                    <w:rPr>
                      <w:rFonts w:hint="default"/>
                      <w:color w:val="auto"/>
                      <w:sz w:val="18"/>
                      <w:szCs w:val="18"/>
                      <w:highlight w:val="none"/>
                      <w:lang w:val="en-US" w:eastAsia="zh-CN"/>
                    </w:rPr>
                  </w:pPr>
                  <w:r>
                    <w:rPr>
                      <w:rFonts w:hint="eastAsia"/>
                      <w:color w:val="auto"/>
                      <w:sz w:val="18"/>
                      <w:szCs w:val="18"/>
                      <w:highlight w:val="none"/>
                      <w:lang w:val="en-US" w:eastAsia="zh-CN"/>
                    </w:rPr>
                    <w:t>氯化氢</w:t>
                  </w:r>
                </w:p>
              </w:tc>
              <w:tc>
                <w:tcPr>
                  <w:tcW w:w="1406" w:type="pct"/>
                  <w:shd w:val="clear" w:color="auto" w:fill="auto"/>
                  <w:noWrap w:val="0"/>
                  <w:vAlign w:val="center"/>
                </w:tcPr>
                <w:p w14:paraId="32772525">
                  <w:pPr>
                    <w:jc w:val="center"/>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半年</w:t>
                  </w:r>
                  <w:r>
                    <w:rPr>
                      <w:rFonts w:hint="eastAsia"/>
                      <w:color w:val="auto"/>
                      <w:sz w:val="18"/>
                      <w:szCs w:val="18"/>
                      <w:highlight w:val="none"/>
                      <w:lang w:val="en-US" w:eastAsia="zh-CN"/>
                    </w:rPr>
                    <w:t>/次</w:t>
                  </w:r>
                </w:p>
              </w:tc>
            </w:tr>
            <w:tr w14:paraId="03D37F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79" w:type="pct"/>
                  <w:shd w:val="clear" w:color="auto" w:fill="auto"/>
                  <w:noWrap w:val="0"/>
                  <w:vAlign w:val="center"/>
                </w:tcPr>
                <w:p w14:paraId="661D1891">
                  <w:pPr>
                    <w:jc w:val="center"/>
                    <w:rPr>
                      <w:rFonts w:hint="default"/>
                      <w:color w:val="auto"/>
                      <w:sz w:val="18"/>
                      <w:szCs w:val="18"/>
                      <w:highlight w:val="none"/>
                      <w:lang w:val="en-US" w:eastAsia="zh-CN"/>
                    </w:rPr>
                  </w:pPr>
                  <w:r>
                    <w:rPr>
                      <w:rFonts w:hint="eastAsia"/>
                      <w:color w:val="auto"/>
                      <w:sz w:val="18"/>
                      <w:szCs w:val="18"/>
                      <w:highlight w:val="none"/>
                      <w:lang w:val="en-US" w:eastAsia="zh-CN"/>
                    </w:rPr>
                    <w:t>酸再生</w:t>
                  </w:r>
                  <w:r>
                    <w:rPr>
                      <w:rFonts w:hint="eastAsia" w:cs="Times New Roman"/>
                      <w:snapToGrid w:val="0"/>
                      <w:color w:val="auto"/>
                      <w:sz w:val="18"/>
                      <w:szCs w:val="18"/>
                      <w:highlight w:val="none"/>
                      <w:vertAlign w:val="baseline"/>
                      <w:lang w:val="en-US" w:eastAsia="zh-CN"/>
                    </w:rPr>
                    <w:t>氧化铁粉仓及袋装废气排气筒</w:t>
                  </w:r>
                  <w:r>
                    <w:rPr>
                      <w:rFonts w:hint="eastAsia"/>
                      <w:color w:val="auto"/>
                      <w:sz w:val="18"/>
                      <w:szCs w:val="18"/>
                      <w:highlight w:val="none"/>
                      <w:lang w:val="en-US" w:eastAsia="zh-CN"/>
                    </w:rPr>
                    <w:t>DA014</w:t>
                  </w:r>
                </w:p>
              </w:tc>
              <w:tc>
                <w:tcPr>
                  <w:tcW w:w="1514" w:type="pct"/>
                  <w:shd w:val="clear" w:color="auto" w:fill="auto"/>
                  <w:noWrap w:val="0"/>
                  <w:vAlign w:val="center"/>
                </w:tcPr>
                <w:p w14:paraId="2CE99BDF">
                  <w:pPr>
                    <w:ind w:left="2" w:leftChars="0"/>
                    <w:jc w:val="center"/>
                    <w:rPr>
                      <w:rFonts w:hint="default"/>
                      <w:color w:val="auto"/>
                      <w:sz w:val="18"/>
                      <w:szCs w:val="18"/>
                      <w:highlight w:val="none"/>
                      <w:lang w:val="en-US" w:eastAsia="zh-CN"/>
                    </w:rPr>
                  </w:pPr>
                  <w:r>
                    <w:rPr>
                      <w:rFonts w:hint="eastAsia"/>
                      <w:color w:val="auto"/>
                      <w:sz w:val="18"/>
                      <w:szCs w:val="18"/>
                      <w:highlight w:val="none"/>
                      <w:lang w:val="en-US" w:eastAsia="zh-CN"/>
                    </w:rPr>
                    <w:t>颗粒物</w:t>
                  </w:r>
                </w:p>
              </w:tc>
              <w:tc>
                <w:tcPr>
                  <w:tcW w:w="1406" w:type="pct"/>
                  <w:shd w:val="clear" w:color="auto" w:fill="auto"/>
                  <w:noWrap w:val="0"/>
                  <w:vAlign w:val="center"/>
                </w:tcPr>
                <w:p w14:paraId="61215527">
                  <w:pPr>
                    <w:jc w:val="center"/>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半年</w:t>
                  </w:r>
                  <w:r>
                    <w:rPr>
                      <w:rFonts w:hint="eastAsia"/>
                      <w:color w:val="auto"/>
                      <w:sz w:val="18"/>
                      <w:szCs w:val="18"/>
                      <w:highlight w:val="none"/>
                      <w:lang w:val="en-US" w:eastAsia="zh-CN"/>
                    </w:rPr>
                    <w:t>/次</w:t>
                  </w:r>
                </w:p>
              </w:tc>
            </w:tr>
            <w:tr w14:paraId="7589F9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3"/>
                  <w:noWrap w:val="0"/>
                  <w:vAlign w:val="center"/>
                </w:tcPr>
                <w:p w14:paraId="03F9AB74">
                  <w:pPr>
                    <w:jc w:val="left"/>
                    <w:rPr>
                      <w:rFonts w:ascii="Times New Roman" w:hAnsi="Times New Roman"/>
                      <w:b/>
                      <w:color w:val="auto"/>
                      <w:sz w:val="18"/>
                      <w:szCs w:val="18"/>
                      <w:highlight w:val="none"/>
                    </w:rPr>
                  </w:pPr>
                  <w:r>
                    <w:rPr>
                      <w:rFonts w:ascii="Times New Roman" w:hAnsi="Times New Roman"/>
                      <w:b/>
                      <w:color w:val="auto"/>
                      <w:sz w:val="18"/>
                      <w:szCs w:val="18"/>
                      <w:highlight w:val="none"/>
                    </w:rPr>
                    <w:t>二、无组织废气</w:t>
                  </w:r>
                </w:p>
              </w:tc>
            </w:tr>
            <w:tr w14:paraId="5C2356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79" w:type="pct"/>
                  <w:noWrap w:val="0"/>
                  <w:vAlign w:val="center"/>
                </w:tcPr>
                <w:p w14:paraId="3214CCF3">
                  <w:pPr>
                    <w:jc w:val="center"/>
                    <w:rPr>
                      <w:rFonts w:ascii="Times New Roman" w:hAnsi="Times New Roman"/>
                      <w:color w:val="auto"/>
                      <w:sz w:val="18"/>
                      <w:szCs w:val="18"/>
                      <w:highlight w:val="none"/>
                    </w:rPr>
                  </w:pPr>
                  <w:r>
                    <w:rPr>
                      <w:rFonts w:ascii="Times New Roman" w:hAnsi="Times New Roman"/>
                      <w:color w:val="auto"/>
                      <w:sz w:val="18"/>
                      <w:szCs w:val="18"/>
                      <w:highlight w:val="none"/>
                    </w:rPr>
                    <w:t>监测点位</w:t>
                  </w:r>
                </w:p>
              </w:tc>
              <w:tc>
                <w:tcPr>
                  <w:tcW w:w="1514" w:type="pct"/>
                  <w:noWrap w:val="0"/>
                  <w:vAlign w:val="center"/>
                </w:tcPr>
                <w:p w14:paraId="17135761">
                  <w:pPr>
                    <w:jc w:val="center"/>
                    <w:rPr>
                      <w:rFonts w:ascii="Times New Roman" w:hAnsi="Times New Roman"/>
                      <w:color w:val="auto"/>
                      <w:sz w:val="18"/>
                      <w:szCs w:val="18"/>
                      <w:highlight w:val="none"/>
                      <w:vertAlign w:val="subscript"/>
                    </w:rPr>
                  </w:pPr>
                  <w:r>
                    <w:rPr>
                      <w:rFonts w:ascii="Times New Roman" w:hAnsi="Times New Roman"/>
                      <w:color w:val="auto"/>
                      <w:sz w:val="18"/>
                      <w:szCs w:val="18"/>
                      <w:highlight w:val="none"/>
                    </w:rPr>
                    <w:t>监测指标</w:t>
                  </w:r>
                </w:p>
              </w:tc>
              <w:tc>
                <w:tcPr>
                  <w:tcW w:w="1406" w:type="pct"/>
                  <w:noWrap w:val="0"/>
                  <w:vAlign w:val="center"/>
                </w:tcPr>
                <w:p w14:paraId="643C88B2">
                  <w:pPr>
                    <w:jc w:val="center"/>
                    <w:rPr>
                      <w:rFonts w:ascii="Times New Roman" w:hAnsi="Times New Roman"/>
                      <w:color w:val="auto"/>
                      <w:sz w:val="18"/>
                      <w:szCs w:val="18"/>
                      <w:highlight w:val="none"/>
                    </w:rPr>
                  </w:pPr>
                  <w:r>
                    <w:rPr>
                      <w:rFonts w:ascii="Times New Roman" w:hAnsi="Times New Roman"/>
                      <w:color w:val="auto"/>
                      <w:sz w:val="18"/>
                      <w:szCs w:val="18"/>
                      <w:highlight w:val="none"/>
                    </w:rPr>
                    <w:t>监测频次</w:t>
                  </w:r>
                </w:p>
              </w:tc>
            </w:tr>
            <w:tr w14:paraId="7B84BD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79" w:type="pct"/>
                  <w:noWrap w:val="0"/>
                  <w:vAlign w:val="center"/>
                </w:tcPr>
                <w:p w14:paraId="05079029">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硅钢车间</w:t>
                  </w:r>
                </w:p>
              </w:tc>
              <w:tc>
                <w:tcPr>
                  <w:tcW w:w="1514" w:type="pct"/>
                  <w:noWrap w:val="0"/>
                  <w:vAlign w:val="center"/>
                </w:tcPr>
                <w:p w14:paraId="1FC31A49">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颗粒物、氯化氢、硫酸雾、氨、臭气浓度</w:t>
                  </w:r>
                </w:p>
              </w:tc>
              <w:tc>
                <w:tcPr>
                  <w:tcW w:w="1406" w:type="pct"/>
                  <w:noWrap w:val="0"/>
                  <w:vAlign w:val="center"/>
                </w:tcPr>
                <w:p w14:paraId="72E6658F">
                  <w:pPr>
                    <w:jc w:val="center"/>
                    <w:rPr>
                      <w:rFonts w:ascii="Times New Roman" w:hAnsi="Times New Roman"/>
                      <w:color w:val="auto"/>
                      <w:sz w:val="18"/>
                      <w:szCs w:val="18"/>
                      <w:highlight w:val="none"/>
                    </w:rPr>
                  </w:pPr>
                  <w:r>
                    <w:rPr>
                      <w:rFonts w:ascii="Times New Roman" w:hAnsi="Times New Roman"/>
                      <w:color w:val="auto"/>
                      <w:sz w:val="18"/>
                      <w:szCs w:val="18"/>
                      <w:highlight w:val="none"/>
                    </w:rPr>
                    <w:t>1次/年</w:t>
                  </w:r>
                </w:p>
              </w:tc>
            </w:tr>
            <w:tr w14:paraId="3064AE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3"/>
                  <w:noWrap w:val="0"/>
                  <w:vAlign w:val="center"/>
                </w:tcPr>
                <w:p w14:paraId="1D8C1829">
                  <w:pPr>
                    <w:jc w:val="both"/>
                    <w:rPr>
                      <w:rFonts w:hint="default" w:ascii="Times New Roman" w:hAnsi="Times New Roman"/>
                      <w:color w:val="auto"/>
                      <w:sz w:val="18"/>
                      <w:szCs w:val="18"/>
                      <w:highlight w:val="none"/>
                      <w:lang w:val="en-US"/>
                    </w:rPr>
                  </w:pPr>
                  <w:r>
                    <w:rPr>
                      <w:rFonts w:hint="eastAsia"/>
                      <w:color w:val="auto"/>
                      <w:sz w:val="18"/>
                      <w:szCs w:val="18"/>
                      <w:highlight w:val="none"/>
                      <w:lang w:val="en-US" w:eastAsia="zh-CN"/>
                    </w:rPr>
                    <w:t>注：最终监测频次按照排污许可要求进行</w:t>
                  </w:r>
                </w:p>
              </w:tc>
            </w:tr>
          </w:tbl>
          <w:p w14:paraId="75487A2A">
            <w:pPr>
              <w:spacing w:line="360" w:lineRule="auto"/>
              <w:ind w:firstLine="422" w:firstLineChars="200"/>
              <w:jc w:val="both"/>
              <w:rPr>
                <w:rFonts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lang w:val="en-US" w:eastAsia="zh-CN"/>
              </w:rPr>
              <w:t>5</w:t>
            </w:r>
            <w:r>
              <w:rPr>
                <w:rFonts w:hint="eastAsia" w:ascii="Times New Roman" w:hAnsi="Times New Roman" w:eastAsia="宋体" w:cs="Times New Roman"/>
                <w:b/>
                <w:bCs/>
                <w:color w:val="auto"/>
                <w:sz w:val="21"/>
                <w:szCs w:val="21"/>
                <w:highlight w:val="none"/>
              </w:rPr>
              <w:t>、项目大气污染物有组织及无组织排放量核算见下表。</w:t>
            </w:r>
          </w:p>
          <w:p w14:paraId="7435DC2F">
            <w:pPr>
              <w:spacing w:line="360" w:lineRule="auto"/>
              <w:jc w:val="center"/>
              <w:rPr>
                <w:rFonts w:ascii="Times New Roman" w:hAnsi="Times New Roman" w:eastAsia="黑体" w:cs="Times New Roman"/>
                <w:bCs/>
                <w:color w:val="auto"/>
                <w:spacing w:val="2"/>
                <w:sz w:val="21"/>
                <w:szCs w:val="21"/>
                <w:highlight w:val="none"/>
              </w:rPr>
            </w:pPr>
            <w:r>
              <w:rPr>
                <w:rFonts w:hint="eastAsia" w:ascii="Times New Roman" w:hAnsi="Times New Roman" w:eastAsia="黑体" w:cs="Times New Roman"/>
                <w:bCs/>
                <w:color w:val="auto"/>
                <w:spacing w:val="2"/>
                <w:sz w:val="21"/>
                <w:szCs w:val="21"/>
                <w:highlight w:val="none"/>
              </w:rPr>
              <w:t>表4</w:t>
            </w:r>
            <w:r>
              <w:rPr>
                <w:rFonts w:ascii="Times New Roman" w:hAnsi="Times New Roman" w:eastAsia="黑体" w:cs="Times New Roman"/>
                <w:bCs/>
                <w:color w:val="auto"/>
                <w:spacing w:val="2"/>
                <w:sz w:val="21"/>
                <w:szCs w:val="21"/>
                <w:highlight w:val="none"/>
              </w:rPr>
              <w:t>-</w:t>
            </w:r>
            <w:r>
              <w:rPr>
                <w:rFonts w:hint="eastAsia" w:eastAsia="黑体" w:cs="Times New Roman"/>
                <w:bCs/>
                <w:color w:val="auto"/>
                <w:spacing w:val="2"/>
                <w:sz w:val="21"/>
                <w:szCs w:val="21"/>
                <w:highlight w:val="none"/>
                <w:lang w:val="en-US" w:eastAsia="zh-CN"/>
              </w:rPr>
              <w:t xml:space="preserve">11  </w:t>
            </w:r>
            <w:r>
              <w:rPr>
                <w:rFonts w:hint="eastAsia" w:ascii="Times New Roman" w:hAnsi="Times New Roman" w:eastAsia="黑体" w:cs="Times New Roman"/>
                <w:bCs/>
                <w:color w:val="auto"/>
                <w:spacing w:val="2"/>
                <w:sz w:val="21"/>
                <w:szCs w:val="21"/>
                <w:highlight w:val="none"/>
              </w:rPr>
              <w:t>大气污染物有组织排放量核算</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20"/>
              <w:gridCol w:w="1574"/>
              <w:gridCol w:w="1342"/>
              <w:gridCol w:w="1538"/>
              <w:gridCol w:w="1538"/>
              <w:gridCol w:w="1690"/>
            </w:tblGrid>
            <w:tr w14:paraId="1800FF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noWrap w:val="0"/>
                  <w:vAlign w:val="center"/>
                </w:tcPr>
                <w:p w14:paraId="6B6488C1">
                  <w:pPr>
                    <w:snapToGrid w:val="0"/>
                    <w:jc w:val="center"/>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序号</w:t>
                  </w:r>
                </w:p>
              </w:tc>
              <w:tc>
                <w:tcPr>
                  <w:tcW w:w="948" w:type="pct"/>
                  <w:noWrap w:val="0"/>
                  <w:vAlign w:val="center"/>
                </w:tcPr>
                <w:p w14:paraId="78D190D9">
                  <w:pPr>
                    <w:snapToGrid w:val="0"/>
                    <w:jc w:val="center"/>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排放口编号</w:t>
                  </w:r>
                </w:p>
              </w:tc>
              <w:tc>
                <w:tcPr>
                  <w:tcW w:w="807" w:type="pct"/>
                  <w:noWrap w:val="0"/>
                  <w:vAlign w:val="center"/>
                </w:tcPr>
                <w:p w14:paraId="4AD10F09">
                  <w:pPr>
                    <w:snapToGrid w:val="0"/>
                    <w:jc w:val="center"/>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污染物</w:t>
                  </w:r>
                </w:p>
              </w:tc>
              <w:tc>
                <w:tcPr>
                  <w:tcW w:w="926" w:type="pct"/>
                  <w:noWrap w:val="0"/>
                  <w:vAlign w:val="center"/>
                </w:tcPr>
                <w:p w14:paraId="4E11FB26">
                  <w:pPr>
                    <w:jc w:val="center"/>
                    <w:rPr>
                      <w:rFonts w:ascii="Times New Roman" w:hAnsi="Times New Roman"/>
                      <w:b/>
                      <w:bCs/>
                      <w:color w:val="auto"/>
                      <w:sz w:val="18"/>
                      <w:szCs w:val="18"/>
                      <w:highlight w:val="none"/>
                    </w:rPr>
                  </w:pPr>
                  <w:r>
                    <w:rPr>
                      <w:rFonts w:ascii="Times New Roman" w:hAnsi="Times New Roman"/>
                      <w:b/>
                      <w:bCs/>
                      <w:color w:val="auto"/>
                      <w:sz w:val="18"/>
                      <w:szCs w:val="18"/>
                      <w:highlight w:val="none"/>
                    </w:rPr>
                    <w:t>排放量</w:t>
                  </w:r>
                </w:p>
                <w:p w14:paraId="5EBB729F">
                  <w:pPr>
                    <w:jc w:val="center"/>
                    <w:rPr>
                      <w:rFonts w:hint="default" w:ascii="Times New Roman" w:hAnsi="Times New Roman" w:cs="Times New Roman"/>
                      <w:b/>
                      <w:bCs/>
                      <w:color w:val="auto"/>
                      <w:sz w:val="18"/>
                      <w:szCs w:val="18"/>
                      <w:highlight w:val="none"/>
                    </w:rPr>
                  </w:pPr>
                  <w:r>
                    <w:rPr>
                      <w:rFonts w:ascii="Times New Roman" w:hAnsi="Times New Roman"/>
                      <w:b/>
                      <w:bCs/>
                      <w:color w:val="auto"/>
                      <w:sz w:val="18"/>
                      <w:szCs w:val="18"/>
                      <w:highlight w:val="none"/>
                    </w:rPr>
                    <w:t>t/a</w:t>
                  </w:r>
                </w:p>
              </w:tc>
              <w:tc>
                <w:tcPr>
                  <w:tcW w:w="926" w:type="pct"/>
                  <w:noWrap w:val="0"/>
                  <w:vAlign w:val="center"/>
                </w:tcPr>
                <w:p w14:paraId="6E38B9C4">
                  <w:pPr>
                    <w:jc w:val="center"/>
                    <w:rPr>
                      <w:rFonts w:hint="default" w:ascii="Times New Roman" w:hAnsi="Times New Roman" w:cs="Times New Roman"/>
                      <w:b/>
                      <w:bCs/>
                      <w:color w:val="auto"/>
                      <w:sz w:val="18"/>
                      <w:szCs w:val="18"/>
                      <w:highlight w:val="none"/>
                    </w:rPr>
                  </w:pPr>
                  <w:r>
                    <w:rPr>
                      <w:rFonts w:ascii="Times New Roman" w:hAnsi="Times New Roman"/>
                      <w:b/>
                      <w:bCs/>
                      <w:color w:val="auto"/>
                      <w:sz w:val="18"/>
                      <w:szCs w:val="18"/>
                      <w:highlight w:val="none"/>
                    </w:rPr>
                    <w:t>排放速率kg/h</w:t>
                  </w:r>
                </w:p>
              </w:tc>
              <w:tc>
                <w:tcPr>
                  <w:tcW w:w="1017" w:type="pct"/>
                  <w:noWrap w:val="0"/>
                  <w:vAlign w:val="center"/>
                </w:tcPr>
                <w:p w14:paraId="22D6CDA5">
                  <w:pPr>
                    <w:jc w:val="center"/>
                    <w:rPr>
                      <w:rFonts w:ascii="Times New Roman" w:hAnsi="Times New Roman"/>
                      <w:b/>
                      <w:bCs/>
                      <w:color w:val="auto"/>
                      <w:sz w:val="18"/>
                      <w:szCs w:val="18"/>
                      <w:highlight w:val="none"/>
                    </w:rPr>
                  </w:pPr>
                  <w:r>
                    <w:rPr>
                      <w:rFonts w:ascii="Times New Roman" w:hAnsi="Times New Roman"/>
                      <w:b/>
                      <w:bCs/>
                      <w:color w:val="auto"/>
                      <w:sz w:val="18"/>
                      <w:szCs w:val="18"/>
                      <w:highlight w:val="none"/>
                    </w:rPr>
                    <w:t>浓度</w:t>
                  </w:r>
                </w:p>
                <w:p w14:paraId="7CF7EA94">
                  <w:pPr>
                    <w:jc w:val="center"/>
                    <w:rPr>
                      <w:rFonts w:hint="default" w:ascii="Times New Roman" w:hAnsi="Times New Roman" w:cs="Times New Roman"/>
                      <w:b/>
                      <w:bCs/>
                      <w:color w:val="auto"/>
                      <w:sz w:val="18"/>
                      <w:szCs w:val="18"/>
                      <w:highlight w:val="none"/>
                    </w:rPr>
                  </w:pPr>
                  <w:r>
                    <w:rPr>
                      <w:rFonts w:ascii="Times New Roman" w:hAnsi="Times New Roman"/>
                      <w:b/>
                      <w:bCs/>
                      <w:color w:val="auto"/>
                      <w:sz w:val="18"/>
                      <w:szCs w:val="18"/>
                      <w:highlight w:val="none"/>
                    </w:rPr>
                    <w:t>mg/m</w:t>
                  </w:r>
                  <w:r>
                    <w:rPr>
                      <w:rFonts w:ascii="Times New Roman" w:hAnsi="Times New Roman"/>
                      <w:b/>
                      <w:bCs/>
                      <w:color w:val="auto"/>
                      <w:sz w:val="18"/>
                      <w:szCs w:val="18"/>
                      <w:highlight w:val="none"/>
                      <w:vertAlign w:val="superscript"/>
                    </w:rPr>
                    <w:t>3</w:t>
                  </w:r>
                </w:p>
              </w:tc>
            </w:tr>
            <w:tr w14:paraId="313869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0"/>
                  <w:vAlign w:val="center"/>
                </w:tcPr>
                <w:p w14:paraId="0B98572A">
                  <w:pPr>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w:t>
                  </w:r>
                </w:p>
              </w:tc>
              <w:tc>
                <w:tcPr>
                  <w:tcW w:w="948" w:type="pct"/>
                  <w:vMerge w:val="restart"/>
                  <w:noWrap w:val="0"/>
                  <w:vAlign w:val="center"/>
                </w:tcPr>
                <w:p w14:paraId="34BFFE73">
                  <w:pPr>
                    <w:snapToGrid w:val="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DA001</w:t>
                  </w:r>
                </w:p>
              </w:tc>
              <w:tc>
                <w:tcPr>
                  <w:tcW w:w="807" w:type="pct"/>
                  <w:noWrap w:val="0"/>
                  <w:vAlign w:val="center"/>
                </w:tcPr>
                <w:p w14:paraId="0C47521E">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r>
                    <w:rPr>
                      <w:rFonts w:hint="eastAsia" w:ascii="Times New Roman" w:hAnsi="Times New Roman" w:cs="Times New Roman"/>
                      <w:bCs/>
                      <w:color w:val="auto"/>
                      <w:kern w:val="0"/>
                      <w:sz w:val="18"/>
                      <w:szCs w:val="18"/>
                      <w:lang w:val="en-US" w:eastAsia="zh-CN"/>
                    </w:rPr>
                    <w:t>颗粒物</w:t>
                  </w:r>
                </w:p>
              </w:tc>
              <w:tc>
                <w:tcPr>
                  <w:tcW w:w="1538" w:type="dxa"/>
                  <w:shd w:val="clear" w:color="auto" w:fill="auto"/>
                  <w:noWrap w:val="0"/>
                  <w:vAlign w:val="center"/>
                </w:tcPr>
                <w:p w14:paraId="1583FDAF">
                  <w:pPr>
                    <w:keepNext w:val="0"/>
                    <w:keepLines w:val="0"/>
                    <w:widowControl/>
                    <w:suppressLineNumbers w:val="0"/>
                    <w:jc w:val="center"/>
                    <w:textAlignment w:val="center"/>
                    <w:rPr>
                      <w:rFonts w:hint="default" w:ascii="Times New Roman" w:hAnsi="Times New Roman" w:eastAsia="宋体" w:cs="Times New Roman"/>
                      <w:bCs/>
                      <w:color w:val="auto"/>
                      <w:kern w:val="0"/>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0.71 </w:t>
                  </w:r>
                </w:p>
              </w:tc>
              <w:tc>
                <w:tcPr>
                  <w:tcW w:w="1538" w:type="dxa"/>
                  <w:shd w:val="clear" w:color="auto" w:fill="auto"/>
                  <w:noWrap w:val="0"/>
                  <w:vAlign w:val="center"/>
                </w:tcPr>
                <w:p w14:paraId="3AEA6D2B">
                  <w:pPr>
                    <w:keepNext w:val="0"/>
                    <w:keepLines w:val="0"/>
                    <w:widowControl/>
                    <w:suppressLineNumbers w:val="0"/>
                    <w:jc w:val="center"/>
                    <w:textAlignment w:val="center"/>
                    <w:rPr>
                      <w:rFonts w:hint="default" w:ascii="Times New Roman" w:hAnsi="Times New Roman" w:eastAsia="宋体" w:cs="Times New Roman"/>
                      <w:bCs/>
                      <w:color w:val="auto"/>
                      <w:kern w:val="0"/>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0.102 </w:t>
                  </w:r>
                </w:p>
              </w:tc>
              <w:tc>
                <w:tcPr>
                  <w:tcW w:w="1690" w:type="dxa"/>
                  <w:shd w:val="clear" w:color="auto" w:fill="auto"/>
                  <w:noWrap w:val="0"/>
                  <w:vAlign w:val="center"/>
                </w:tcPr>
                <w:p w14:paraId="24745348">
                  <w:pPr>
                    <w:keepNext w:val="0"/>
                    <w:keepLines w:val="0"/>
                    <w:widowControl/>
                    <w:suppressLineNumbers w:val="0"/>
                    <w:jc w:val="center"/>
                    <w:textAlignment w:val="center"/>
                    <w:rPr>
                      <w:rFonts w:hint="default" w:ascii="Times New Roman" w:hAnsi="Times New Roman" w:eastAsia="宋体" w:cs="Times New Roman"/>
                      <w:bCs/>
                      <w:color w:val="auto"/>
                      <w:kern w:val="0"/>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5.91 </w:t>
                  </w:r>
                </w:p>
              </w:tc>
            </w:tr>
            <w:tr w14:paraId="29181A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0"/>
                  <w:vAlign w:val="center"/>
                </w:tcPr>
                <w:p w14:paraId="113DEDF3">
                  <w:pPr>
                    <w:snapToGrid w:val="0"/>
                    <w:jc w:val="center"/>
                    <w:rPr>
                      <w:rFonts w:hint="default" w:ascii="Times New Roman" w:hAnsi="Times New Roman" w:cs="Times New Roman"/>
                      <w:color w:val="auto"/>
                      <w:sz w:val="18"/>
                      <w:szCs w:val="18"/>
                      <w:highlight w:val="none"/>
                    </w:rPr>
                  </w:pPr>
                </w:p>
              </w:tc>
              <w:tc>
                <w:tcPr>
                  <w:tcW w:w="948" w:type="pct"/>
                  <w:vMerge w:val="continue"/>
                  <w:noWrap w:val="0"/>
                  <w:vAlign w:val="center"/>
                </w:tcPr>
                <w:p w14:paraId="3D3E4112">
                  <w:pPr>
                    <w:snapToGrid w:val="0"/>
                    <w:jc w:val="center"/>
                    <w:rPr>
                      <w:rFonts w:hint="eastAsia" w:cs="Times New Roman"/>
                      <w:color w:val="auto"/>
                      <w:sz w:val="18"/>
                      <w:szCs w:val="18"/>
                      <w:highlight w:val="none"/>
                      <w:lang w:val="en-US" w:eastAsia="zh-CN"/>
                    </w:rPr>
                  </w:pPr>
                </w:p>
              </w:tc>
              <w:tc>
                <w:tcPr>
                  <w:tcW w:w="807" w:type="pct"/>
                  <w:noWrap w:val="0"/>
                  <w:vAlign w:val="center"/>
                </w:tcPr>
                <w:p w14:paraId="4382E0D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r>
                    <w:rPr>
                      <w:rFonts w:hint="eastAsia" w:ascii="Times New Roman" w:hAnsi="Times New Roman" w:cs="Times New Roman"/>
                      <w:bCs/>
                      <w:color w:val="auto"/>
                      <w:kern w:val="0"/>
                      <w:sz w:val="18"/>
                      <w:szCs w:val="18"/>
                      <w:lang w:val="en-US" w:eastAsia="zh-CN"/>
                    </w:rPr>
                    <w:t>SO</w:t>
                  </w:r>
                  <w:r>
                    <w:rPr>
                      <w:rFonts w:hint="eastAsia" w:ascii="Times New Roman" w:hAnsi="Times New Roman" w:cs="Times New Roman"/>
                      <w:bCs/>
                      <w:color w:val="auto"/>
                      <w:kern w:val="0"/>
                      <w:sz w:val="18"/>
                      <w:szCs w:val="18"/>
                      <w:vertAlign w:val="subscript"/>
                      <w:lang w:val="en-US" w:eastAsia="zh-CN"/>
                    </w:rPr>
                    <w:t>2</w:t>
                  </w:r>
                </w:p>
              </w:tc>
              <w:tc>
                <w:tcPr>
                  <w:tcW w:w="1538" w:type="dxa"/>
                  <w:shd w:val="clear" w:color="auto" w:fill="auto"/>
                  <w:noWrap w:val="0"/>
                  <w:vAlign w:val="center"/>
                </w:tcPr>
                <w:p w14:paraId="4B5A119F">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1.77 </w:t>
                  </w:r>
                </w:p>
              </w:tc>
              <w:tc>
                <w:tcPr>
                  <w:tcW w:w="1538" w:type="dxa"/>
                  <w:shd w:val="clear" w:color="auto" w:fill="auto"/>
                  <w:noWrap w:val="0"/>
                  <w:vAlign w:val="center"/>
                </w:tcPr>
                <w:p w14:paraId="4C08D410">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0.25 </w:t>
                  </w:r>
                </w:p>
              </w:tc>
              <w:tc>
                <w:tcPr>
                  <w:tcW w:w="1690" w:type="dxa"/>
                  <w:shd w:val="clear" w:color="auto" w:fill="auto"/>
                  <w:noWrap w:val="0"/>
                  <w:vAlign w:val="center"/>
                </w:tcPr>
                <w:p w14:paraId="4AC8FB45">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14.71 </w:t>
                  </w:r>
                </w:p>
              </w:tc>
            </w:tr>
            <w:tr w14:paraId="390BDE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0"/>
                  <w:vAlign w:val="center"/>
                </w:tcPr>
                <w:p w14:paraId="36D358CE">
                  <w:pPr>
                    <w:snapToGrid w:val="0"/>
                    <w:jc w:val="center"/>
                    <w:rPr>
                      <w:rFonts w:hint="default" w:ascii="Times New Roman" w:hAnsi="Times New Roman" w:cs="Times New Roman"/>
                      <w:color w:val="auto"/>
                      <w:sz w:val="18"/>
                      <w:szCs w:val="18"/>
                      <w:highlight w:val="none"/>
                    </w:rPr>
                  </w:pPr>
                </w:p>
              </w:tc>
              <w:tc>
                <w:tcPr>
                  <w:tcW w:w="948" w:type="pct"/>
                  <w:vMerge w:val="continue"/>
                  <w:noWrap w:val="0"/>
                  <w:vAlign w:val="center"/>
                </w:tcPr>
                <w:p w14:paraId="1E7B2F2F">
                  <w:pPr>
                    <w:snapToGrid w:val="0"/>
                    <w:jc w:val="center"/>
                    <w:rPr>
                      <w:rFonts w:hint="eastAsia" w:cs="Times New Roman"/>
                      <w:color w:val="auto"/>
                      <w:sz w:val="18"/>
                      <w:szCs w:val="18"/>
                      <w:highlight w:val="none"/>
                      <w:lang w:val="en-US" w:eastAsia="zh-CN"/>
                    </w:rPr>
                  </w:pPr>
                </w:p>
              </w:tc>
              <w:tc>
                <w:tcPr>
                  <w:tcW w:w="807" w:type="pct"/>
                  <w:noWrap w:val="0"/>
                  <w:vAlign w:val="center"/>
                </w:tcPr>
                <w:p w14:paraId="3609379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r>
                    <w:rPr>
                      <w:rFonts w:hint="eastAsia" w:ascii="Times New Roman" w:hAnsi="Times New Roman" w:cs="Times New Roman"/>
                      <w:bCs/>
                      <w:color w:val="auto"/>
                      <w:kern w:val="0"/>
                      <w:sz w:val="18"/>
                      <w:szCs w:val="18"/>
                      <w:lang w:val="en-US" w:eastAsia="zh-CN"/>
                    </w:rPr>
                    <w:t>NO</w:t>
                  </w:r>
                  <w:r>
                    <w:rPr>
                      <w:rFonts w:hint="eastAsia" w:ascii="Times New Roman" w:hAnsi="Times New Roman" w:cs="Times New Roman"/>
                      <w:bCs/>
                      <w:color w:val="auto"/>
                      <w:kern w:val="0"/>
                      <w:sz w:val="18"/>
                      <w:szCs w:val="18"/>
                      <w:vertAlign w:val="subscript"/>
                      <w:lang w:val="en-US" w:eastAsia="zh-CN"/>
                    </w:rPr>
                    <w:t>X</w:t>
                  </w:r>
                </w:p>
              </w:tc>
              <w:tc>
                <w:tcPr>
                  <w:tcW w:w="1538" w:type="dxa"/>
                  <w:shd w:val="clear" w:color="auto" w:fill="auto"/>
                  <w:noWrap w:val="0"/>
                  <w:vAlign w:val="center"/>
                </w:tcPr>
                <w:p w14:paraId="3D24CEFB">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10.24 </w:t>
                  </w:r>
                </w:p>
              </w:tc>
              <w:tc>
                <w:tcPr>
                  <w:tcW w:w="1538" w:type="dxa"/>
                  <w:shd w:val="clear" w:color="auto" w:fill="auto"/>
                  <w:noWrap w:val="0"/>
                  <w:vAlign w:val="center"/>
                </w:tcPr>
                <w:p w14:paraId="72E03BF5">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1.463 </w:t>
                  </w:r>
                </w:p>
              </w:tc>
              <w:tc>
                <w:tcPr>
                  <w:tcW w:w="1690" w:type="dxa"/>
                  <w:shd w:val="clear" w:color="auto" w:fill="auto"/>
                  <w:noWrap w:val="0"/>
                  <w:vAlign w:val="center"/>
                </w:tcPr>
                <w:p w14:paraId="5072597A">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85.17 </w:t>
                  </w:r>
                </w:p>
              </w:tc>
            </w:tr>
            <w:tr w14:paraId="1C18FB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0"/>
                  <w:vAlign w:val="center"/>
                </w:tcPr>
                <w:p w14:paraId="691FB2B0">
                  <w:pPr>
                    <w:snapToGrid w:val="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948" w:type="pct"/>
                  <w:vMerge w:val="restart"/>
                  <w:shd w:val="clear" w:color="auto" w:fill="auto"/>
                  <w:noWrap w:val="0"/>
                  <w:vAlign w:val="center"/>
                </w:tcPr>
                <w:p w14:paraId="5BA91D33">
                  <w:pPr>
                    <w:snapToGrid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DA002</w:t>
                  </w:r>
                </w:p>
              </w:tc>
              <w:tc>
                <w:tcPr>
                  <w:tcW w:w="807" w:type="pct"/>
                  <w:shd w:val="clear" w:color="auto" w:fill="auto"/>
                  <w:noWrap w:val="0"/>
                  <w:vAlign w:val="center"/>
                </w:tcPr>
                <w:p w14:paraId="18E3196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bCs/>
                      <w:color w:val="auto"/>
                      <w:kern w:val="0"/>
                      <w:sz w:val="18"/>
                      <w:szCs w:val="18"/>
                      <w:lang w:val="en-US" w:eastAsia="zh-CN"/>
                    </w:rPr>
                    <w:t>颗粒物</w:t>
                  </w:r>
                </w:p>
              </w:tc>
              <w:tc>
                <w:tcPr>
                  <w:tcW w:w="1538" w:type="dxa"/>
                  <w:shd w:val="clear" w:color="auto" w:fill="auto"/>
                  <w:noWrap w:val="0"/>
                  <w:vAlign w:val="center"/>
                </w:tcPr>
                <w:p w14:paraId="55DC797A">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0.27 </w:t>
                  </w:r>
                </w:p>
              </w:tc>
              <w:tc>
                <w:tcPr>
                  <w:tcW w:w="1538" w:type="dxa"/>
                  <w:shd w:val="clear" w:color="auto" w:fill="auto"/>
                  <w:noWrap w:val="0"/>
                  <w:vAlign w:val="center"/>
                </w:tcPr>
                <w:p w14:paraId="4BA1B699">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0.04 </w:t>
                  </w:r>
                </w:p>
              </w:tc>
              <w:tc>
                <w:tcPr>
                  <w:tcW w:w="1690" w:type="dxa"/>
                  <w:shd w:val="clear" w:color="auto" w:fill="auto"/>
                  <w:noWrap w:val="0"/>
                  <w:vAlign w:val="center"/>
                </w:tcPr>
                <w:p w14:paraId="762DE76D">
                  <w:pPr>
                    <w:keepNext w:val="0"/>
                    <w:keepLines w:val="0"/>
                    <w:widowControl/>
                    <w:suppressLineNumbers w:val="0"/>
                    <w:jc w:val="center"/>
                    <w:textAlignment w:val="center"/>
                    <w:rPr>
                      <w:rFonts w:hint="eastAsia" w:ascii="Times New Roman" w:hAnsi="Times New Roman" w:eastAsia="宋体" w:cs="Times New Roman"/>
                      <w:bCs/>
                      <w:color w:val="auto"/>
                      <w:kern w:val="0"/>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8.42 </w:t>
                  </w:r>
                </w:p>
              </w:tc>
            </w:tr>
            <w:tr w14:paraId="411409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0"/>
                  <w:vAlign w:val="center"/>
                </w:tcPr>
                <w:p w14:paraId="752AA672">
                  <w:pPr>
                    <w:snapToGrid w:val="0"/>
                    <w:jc w:val="center"/>
                    <w:rPr>
                      <w:rFonts w:hint="default" w:ascii="Times New Roman" w:hAnsi="Times New Roman" w:cs="Times New Roman"/>
                      <w:color w:val="auto"/>
                      <w:sz w:val="18"/>
                      <w:szCs w:val="18"/>
                      <w:highlight w:val="none"/>
                    </w:rPr>
                  </w:pPr>
                </w:p>
              </w:tc>
              <w:tc>
                <w:tcPr>
                  <w:tcW w:w="948" w:type="pct"/>
                  <w:vMerge w:val="continue"/>
                  <w:shd w:val="clear" w:color="auto" w:fill="auto"/>
                  <w:noWrap w:val="0"/>
                  <w:vAlign w:val="center"/>
                </w:tcPr>
                <w:p w14:paraId="3F17EBA2">
                  <w:pPr>
                    <w:snapToGrid w:val="0"/>
                    <w:jc w:val="center"/>
                    <w:rPr>
                      <w:rFonts w:hint="eastAsia" w:ascii="Times New Roman" w:hAnsi="Times New Roman" w:eastAsia="宋体" w:cs="Times New Roman"/>
                      <w:color w:val="auto"/>
                      <w:kern w:val="2"/>
                      <w:sz w:val="18"/>
                      <w:szCs w:val="18"/>
                      <w:highlight w:val="none"/>
                      <w:lang w:val="en-US" w:eastAsia="zh-CN" w:bidi="ar-SA"/>
                    </w:rPr>
                  </w:pPr>
                </w:p>
              </w:tc>
              <w:tc>
                <w:tcPr>
                  <w:tcW w:w="807" w:type="pct"/>
                  <w:shd w:val="clear" w:color="auto" w:fill="auto"/>
                  <w:noWrap w:val="0"/>
                  <w:vAlign w:val="center"/>
                </w:tcPr>
                <w:p w14:paraId="7ED033C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bCs/>
                      <w:color w:val="auto"/>
                      <w:kern w:val="0"/>
                      <w:sz w:val="18"/>
                      <w:szCs w:val="18"/>
                      <w:lang w:val="en-US" w:eastAsia="zh-CN"/>
                    </w:rPr>
                    <w:t>SO</w:t>
                  </w:r>
                  <w:r>
                    <w:rPr>
                      <w:rFonts w:hint="eastAsia" w:ascii="Times New Roman" w:hAnsi="Times New Roman" w:cs="Times New Roman"/>
                      <w:bCs/>
                      <w:color w:val="auto"/>
                      <w:kern w:val="0"/>
                      <w:sz w:val="18"/>
                      <w:szCs w:val="18"/>
                      <w:vertAlign w:val="subscript"/>
                      <w:lang w:val="en-US" w:eastAsia="zh-CN"/>
                    </w:rPr>
                    <w:t>2</w:t>
                  </w:r>
                </w:p>
              </w:tc>
              <w:tc>
                <w:tcPr>
                  <w:tcW w:w="1538" w:type="dxa"/>
                  <w:shd w:val="clear" w:color="auto" w:fill="auto"/>
                  <w:noWrap w:val="0"/>
                  <w:vAlign w:val="center"/>
                </w:tcPr>
                <w:p w14:paraId="3201286A">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0.47</w:t>
                  </w:r>
                </w:p>
              </w:tc>
              <w:tc>
                <w:tcPr>
                  <w:tcW w:w="1538" w:type="dxa"/>
                  <w:shd w:val="clear" w:color="auto" w:fill="auto"/>
                  <w:noWrap w:val="0"/>
                  <w:vAlign w:val="center"/>
                </w:tcPr>
                <w:p w14:paraId="4F8FD48E">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0.067</w:t>
                  </w:r>
                </w:p>
              </w:tc>
              <w:tc>
                <w:tcPr>
                  <w:tcW w:w="1690" w:type="dxa"/>
                  <w:shd w:val="clear" w:color="auto" w:fill="auto"/>
                  <w:noWrap w:val="0"/>
                  <w:vAlign w:val="center"/>
                </w:tcPr>
                <w:p w14:paraId="24172328">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14.63 </w:t>
                  </w:r>
                </w:p>
              </w:tc>
            </w:tr>
            <w:tr w14:paraId="3C3B11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0"/>
                  <w:vAlign w:val="center"/>
                </w:tcPr>
                <w:p w14:paraId="7D0CA4D4">
                  <w:pPr>
                    <w:snapToGrid w:val="0"/>
                    <w:jc w:val="center"/>
                    <w:rPr>
                      <w:rFonts w:hint="default" w:ascii="Times New Roman" w:hAnsi="Times New Roman" w:cs="Times New Roman"/>
                      <w:color w:val="auto"/>
                      <w:sz w:val="18"/>
                      <w:szCs w:val="18"/>
                      <w:highlight w:val="none"/>
                    </w:rPr>
                  </w:pPr>
                </w:p>
              </w:tc>
              <w:tc>
                <w:tcPr>
                  <w:tcW w:w="948" w:type="pct"/>
                  <w:vMerge w:val="continue"/>
                  <w:shd w:val="clear" w:color="auto" w:fill="auto"/>
                  <w:noWrap w:val="0"/>
                  <w:vAlign w:val="center"/>
                </w:tcPr>
                <w:p w14:paraId="435EF506">
                  <w:pPr>
                    <w:snapToGrid w:val="0"/>
                    <w:jc w:val="center"/>
                    <w:rPr>
                      <w:rFonts w:hint="eastAsia" w:ascii="Times New Roman" w:hAnsi="Times New Roman" w:eastAsia="宋体" w:cs="Times New Roman"/>
                      <w:color w:val="auto"/>
                      <w:kern w:val="2"/>
                      <w:sz w:val="18"/>
                      <w:szCs w:val="18"/>
                      <w:highlight w:val="none"/>
                      <w:lang w:val="en-US" w:eastAsia="zh-CN" w:bidi="ar-SA"/>
                    </w:rPr>
                  </w:pPr>
                </w:p>
              </w:tc>
              <w:tc>
                <w:tcPr>
                  <w:tcW w:w="807" w:type="pct"/>
                  <w:shd w:val="clear" w:color="auto" w:fill="auto"/>
                  <w:noWrap w:val="0"/>
                  <w:vAlign w:val="center"/>
                </w:tcPr>
                <w:p w14:paraId="4E85A48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bCs/>
                      <w:color w:val="auto"/>
                      <w:kern w:val="0"/>
                      <w:sz w:val="18"/>
                      <w:szCs w:val="18"/>
                      <w:lang w:val="en-US" w:eastAsia="zh-CN"/>
                    </w:rPr>
                    <w:t>NO</w:t>
                  </w:r>
                  <w:r>
                    <w:rPr>
                      <w:rFonts w:hint="eastAsia" w:ascii="Times New Roman" w:hAnsi="Times New Roman" w:cs="Times New Roman"/>
                      <w:bCs/>
                      <w:color w:val="auto"/>
                      <w:kern w:val="0"/>
                      <w:sz w:val="18"/>
                      <w:szCs w:val="18"/>
                      <w:vertAlign w:val="subscript"/>
                      <w:lang w:val="en-US" w:eastAsia="zh-CN"/>
                    </w:rPr>
                    <w:t>X</w:t>
                  </w:r>
                </w:p>
              </w:tc>
              <w:tc>
                <w:tcPr>
                  <w:tcW w:w="1538" w:type="dxa"/>
                  <w:shd w:val="clear" w:color="auto" w:fill="auto"/>
                  <w:noWrap w:val="0"/>
                  <w:vAlign w:val="center"/>
                </w:tcPr>
                <w:p w14:paraId="1C4D1BD8">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3.89 </w:t>
                  </w:r>
                </w:p>
              </w:tc>
              <w:tc>
                <w:tcPr>
                  <w:tcW w:w="1538" w:type="dxa"/>
                  <w:shd w:val="clear" w:color="auto" w:fill="auto"/>
                  <w:noWrap w:val="0"/>
                  <w:vAlign w:val="center"/>
                </w:tcPr>
                <w:p w14:paraId="67476F26">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0.56 </w:t>
                  </w:r>
                </w:p>
              </w:tc>
              <w:tc>
                <w:tcPr>
                  <w:tcW w:w="1690" w:type="dxa"/>
                  <w:shd w:val="clear" w:color="auto" w:fill="auto"/>
                  <w:noWrap w:val="0"/>
                  <w:vAlign w:val="center"/>
                </w:tcPr>
                <w:p w14:paraId="648D41ED">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121.29 </w:t>
                  </w:r>
                </w:p>
              </w:tc>
            </w:tr>
            <w:tr w14:paraId="07C3A9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noWrap w:val="0"/>
                  <w:vAlign w:val="center"/>
                </w:tcPr>
                <w:p w14:paraId="71A2142F">
                  <w:pPr>
                    <w:snapToGrid w:val="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c>
                <w:tcPr>
                  <w:tcW w:w="948" w:type="pct"/>
                  <w:noWrap w:val="0"/>
                  <w:vAlign w:val="center"/>
                </w:tcPr>
                <w:p w14:paraId="44D36802">
                  <w:pPr>
                    <w:snapToGrid w:val="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DA003</w:t>
                  </w:r>
                </w:p>
              </w:tc>
              <w:tc>
                <w:tcPr>
                  <w:tcW w:w="807" w:type="pct"/>
                  <w:noWrap w:val="0"/>
                  <w:vAlign w:val="center"/>
                </w:tcPr>
                <w:p w14:paraId="785C31E8">
                  <w:pPr>
                    <w:snapToGrid w:val="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颗粒物</w:t>
                  </w:r>
                </w:p>
              </w:tc>
              <w:tc>
                <w:tcPr>
                  <w:tcW w:w="926" w:type="pct"/>
                  <w:shd w:val="clear" w:color="auto" w:fill="auto"/>
                  <w:noWrap w:val="0"/>
                  <w:vAlign w:val="center"/>
                </w:tcPr>
                <w:p w14:paraId="723995EC">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2.14</w:t>
                  </w:r>
                </w:p>
              </w:tc>
              <w:tc>
                <w:tcPr>
                  <w:tcW w:w="926" w:type="pct"/>
                  <w:shd w:val="clear" w:color="auto" w:fill="auto"/>
                  <w:noWrap w:val="0"/>
                  <w:vAlign w:val="center"/>
                </w:tcPr>
                <w:p w14:paraId="0AB3B543">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0.31 </w:t>
                  </w:r>
                </w:p>
              </w:tc>
              <w:tc>
                <w:tcPr>
                  <w:tcW w:w="1017" w:type="pct"/>
                  <w:shd w:val="clear" w:color="auto" w:fill="auto"/>
                  <w:noWrap w:val="0"/>
                  <w:vAlign w:val="center"/>
                </w:tcPr>
                <w:p w14:paraId="4F2B7DA2">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6.79 </w:t>
                  </w:r>
                </w:p>
              </w:tc>
            </w:tr>
            <w:tr w14:paraId="050F42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noWrap w:val="0"/>
                  <w:vAlign w:val="center"/>
                </w:tcPr>
                <w:p w14:paraId="5EA8DC06">
                  <w:pPr>
                    <w:snapToGrid w:val="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w:t>
                  </w:r>
                </w:p>
              </w:tc>
              <w:tc>
                <w:tcPr>
                  <w:tcW w:w="948" w:type="pct"/>
                  <w:noWrap w:val="0"/>
                  <w:vAlign w:val="center"/>
                </w:tcPr>
                <w:p w14:paraId="1DE2172F">
                  <w:pPr>
                    <w:snapToGrid w:val="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DA004</w:t>
                  </w:r>
                </w:p>
              </w:tc>
              <w:tc>
                <w:tcPr>
                  <w:tcW w:w="807" w:type="pct"/>
                  <w:noWrap w:val="0"/>
                  <w:vAlign w:val="center"/>
                </w:tcPr>
                <w:p w14:paraId="4F401926">
                  <w:pPr>
                    <w:snapToGrid w:val="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氯化氢</w:t>
                  </w:r>
                </w:p>
              </w:tc>
              <w:tc>
                <w:tcPr>
                  <w:tcW w:w="926" w:type="pct"/>
                  <w:shd w:val="clear" w:color="auto" w:fill="auto"/>
                  <w:noWrap w:val="0"/>
                  <w:vAlign w:val="center"/>
                </w:tcPr>
                <w:p w14:paraId="42BB5F48">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1.86 </w:t>
                  </w:r>
                </w:p>
              </w:tc>
              <w:tc>
                <w:tcPr>
                  <w:tcW w:w="926" w:type="pct"/>
                  <w:shd w:val="clear" w:color="auto" w:fill="auto"/>
                  <w:noWrap w:val="0"/>
                  <w:vAlign w:val="center"/>
                </w:tcPr>
                <w:p w14:paraId="37A837A1">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0.27 </w:t>
                  </w:r>
                </w:p>
              </w:tc>
              <w:tc>
                <w:tcPr>
                  <w:tcW w:w="1017" w:type="pct"/>
                  <w:shd w:val="clear" w:color="auto" w:fill="auto"/>
                  <w:noWrap w:val="0"/>
                  <w:vAlign w:val="center"/>
                </w:tcPr>
                <w:p w14:paraId="57ED5095">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8.88 </w:t>
                  </w:r>
                </w:p>
              </w:tc>
            </w:tr>
            <w:tr w14:paraId="6DE9EE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noWrap w:val="0"/>
                  <w:vAlign w:val="center"/>
                </w:tcPr>
                <w:p w14:paraId="3F281443">
                  <w:pPr>
                    <w:snapToGrid w:val="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w:t>
                  </w:r>
                </w:p>
              </w:tc>
              <w:tc>
                <w:tcPr>
                  <w:tcW w:w="948" w:type="pct"/>
                  <w:noWrap w:val="0"/>
                  <w:vAlign w:val="center"/>
                </w:tcPr>
                <w:p w14:paraId="2AFB0AD0">
                  <w:pPr>
                    <w:snapToGrid w:val="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DA005</w:t>
                  </w:r>
                </w:p>
              </w:tc>
              <w:tc>
                <w:tcPr>
                  <w:tcW w:w="807" w:type="pct"/>
                  <w:noWrap w:val="0"/>
                  <w:vAlign w:val="center"/>
                </w:tcPr>
                <w:p w14:paraId="2A550FE8">
                  <w:pPr>
                    <w:snapToGrid w:val="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油雾</w:t>
                  </w:r>
                </w:p>
              </w:tc>
              <w:tc>
                <w:tcPr>
                  <w:tcW w:w="926" w:type="pct"/>
                  <w:shd w:val="clear" w:color="auto" w:fill="auto"/>
                  <w:noWrap w:val="0"/>
                  <w:vAlign w:val="center"/>
                </w:tcPr>
                <w:p w14:paraId="5BFEC2C3">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1.4</w:t>
                  </w:r>
                </w:p>
              </w:tc>
              <w:tc>
                <w:tcPr>
                  <w:tcW w:w="926" w:type="pct"/>
                  <w:shd w:val="clear" w:color="auto" w:fill="auto"/>
                  <w:noWrap w:val="0"/>
                  <w:vAlign w:val="center"/>
                </w:tcPr>
                <w:p w14:paraId="70246403">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0.2</w:t>
                  </w:r>
                </w:p>
              </w:tc>
              <w:tc>
                <w:tcPr>
                  <w:tcW w:w="1017" w:type="pct"/>
                  <w:shd w:val="clear" w:color="auto" w:fill="auto"/>
                  <w:noWrap w:val="0"/>
                  <w:vAlign w:val="center"/>
                </w:tcPr>
                <w:p w14:paraId="5256BEFD">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1.11</w:t>
                  </w:r>
                </w:p>
              </w:tc>
            </w:tr>
            <w:tr w14:paraId="14D239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noWrap w:val="0"/>
                  <w:vAlign w:val="center"/>
                </w:tcPr>
                <w:p w14:paraId="62182221">
                  <w:pPr>
                    <w:snapToGrid w:val="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6</w:t>
                  </w:r>
                </w:p>
              </w:tc>
              <w:tc>
                <w:tcPr>
                  <w:tcW w:w="948" w:type="pct"/>
                  <w:noWrap w:val="0"/>
                  <w:vAlign w:val="center"/>
                </w:tcPr>
                <w:p w14:paraId="0C5A4661">
                  <w:pPr>
                    <w:snapToGrid w:val="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DA006</w:t>
                  </w:r>
                </w:p>
              </w:tc>
              <w:tc>
                <w:tcPr>
                  <w:tcW w:w="807" w:type="pct"/>
                  <w:noWrap w:val="0"/>
                  <w:vAlign w:val="center"/>
                </w:tcPr>
                <w:p w14:paraId="217C937A">
                  <w:pPr>
                    <w:snapToGrid w:val="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碱雾</w:t>
                  </w:r>
                </w:p>
              </w:tc>
              <w:tc>
                <w:tcPr>
                  <w:tcW w:w="926" w:type="pct"/>
                  <w:shd w:val="clear" w:color="auto" w:fill="auto"/>
                  <w:noWrap w:val="0"/>
                  <w:vAlign w:val="center"/>
                </w:tcPr>
                <w:p w14:paraId="66954C23">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0.62</w:t>
                  </w:r>
                </w:p>
              </w:tc>
              <w:tc>
                <w:tcPr>
                  <w:tcW w:w="926" w:type="pct"/>
                  <w:shd w:val="clear" w:color="auto" w:fill="auto"/>
                  <w:noWrap w:val="0"/>
                  <w:vAlign w:val="center"/>
                </w:tcPr>
                <w:p w14:paraId="7F702014">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olor w:val="auto"/>
                      <w:sz w:val="18"/>
                      <w:szCs w:val="18"/>
                      <w:highlight w:val="none"/>
                      <w:lang w:val="en-US" w:eastAsia="zh-CN"/>
                    </w:rPr>
                    <w:t>0.0</w:t>
                  </w:r>
                  <w:r>
                    <w:rPr>
                      <w:rFonts w:hint="eastAsia"/>
                      <w:color w:val="auto"/>
                      <w:sz w:val="18"/>
                      <w:szCs w:val="18"/>
                      <w:highlight w:val="none"/>
                      <w:lang w:val="en-US" w:eastAsia="zh-CN"/>
                    </w:rPr>
                    <w:t>88</w:t>
                  </w:r>
                </w:p>
              </w:tc>
              <w:tc>
                <w:tcPr>
                  <w:tcW w:w="1017" w:type="pct"/>
                  <w:shd w:val="clear" w:color="auto" w:fill="auto"/>
                  <w:noWrap w:val="0"/>
                  <w:vAlign w:val="center"/>
                </w:tcPr>
                <w:p w14:paraId="3F794783">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5.87</w:t>
                  </w:r>
                </w:p>
              </w:tc>
            </w:tr>
            <w:tr w14:paraId="4A4994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0"/>
                  <w:vAlign w:val="center"/>
                </w:tcPr>
                <w:p w14:paraId="3B5F706E">
                  <w:pPr>
                    <w:snapToGrid w:val="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w:t>
                  </w:r>
                </w:p>
              </w:tc>
              <w:tc>
                <w:tcPr>
                  <w:tcW w:w="948" w:type="pct"/>
                  <w:vMerge w:val="restart"/>
                  <w:shd w:val="clear" w:color="auto" w:fill="auto"/>
                  <w:noWrap w:val="0"/>
                  <w:vAlign w:val="center"/>
                </w:tcPr>
                <w:p w14:paraId="70171C7A">
                  <w:pPr>
                    <w:snapToGrid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DA007</w:t>
                  </w:r>
                </w:p>
              </w:tc>
              <w:tc>
                <w:tcPr>
                  <w:tcW w:w="807" w:type="pct"/>
                  <w:shd w:val="clear" w:color="auto" w:fill="auto"/>
                  <w:noWrap w:val="0"/>
                  <w:vAlign w:val="center"/>
                </w:tcPr>
                <w:p w14:paraId="5F811B6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bCs/>
                      <w:color w:val="auto"/>
                      <w:kern w:val="0"/>
                      <w:sz w:val="18"/>
                      <w:szCs w:val="18"/>
                      <w:lang w:val="en-US" w:eastAsia="zh-CN"/>
                    </w:rPr>
                    <w:t>颗粒物</w:t>
                  </w:r>
                </w:p>
              </w:tc>
              <w:tc>
                <w:tcPr>
                  <w:tcW w:w="1538" w:type="dxa"/>
                  <w:shd w:val="clear" w:color="auto" w:fill="auto"/>
                  <w:noWrap w:val="0"/>
                  <w:vAlign w:val="center"/>
                </w:tcPr>
                <w:p w14:paraId="5877A9F0">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0.282 </w:t>
                  </w:r>
                </w:p>
              </w:tc>
              <w:tc>
                <w:tcPr>
                  <w:tcW w:w="1538" w:type="dxa"/>
                  <w:shd w:val="clear" w:color="auto" w:fill="auto"/>
                  <w:noWrap w:val="0"/>
                  <w:vAlign w:val="center"/>
                </w:tcPr>
                <w:p w14:paraId="5D6691D5">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0.040 </w:t>
                  </w:r>
                </w:p>
              </w:tc>
              <w:tc>
                <w:tcPr>
                  <w:tcW w:w="1690" w:type="dxa"/>
                  <w:shd w:val="clear" w:color="auto" w:fill="auto"/>
                  <w:noWrap w:val="0"/>
                  <w:vAlign w:val="center"/>
                </w:tcPr>
                <w:p w14:paraId="567642B2">
                  <w:pPr>
                    <w:keepNext w:val="0"/>
                    <w:keepLines w:val="0"/>
                    <w:widowControl/>
                    <w:suppressLineNumbers w:val="0"/>
                    <w:jc w:val="center"/>
                    <w:textAlignment w:val="center"/>
                    <w:rPr>
                      <w:rFonts w:hint="eastAsia" w:ascii="Times New Roman" w:hAnsi="Times New Roman" w:eastAsia="宋体" w:cs="Times New Roman"/>
                      <w:bCs/>
                      <w:color w:val="auto"/>
                      <w:kern w:val="0"/>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6.171 </w:t>
                  </w:r>
                </w:p>
              </w:tc>
            </w:tr>
            <w:tr w14:paraId="45030A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0"/>
                  <w:vAlign w:val="center"/>
                </w:tcPr>
                <w:p w14:paraId="76D08197">
                  <w:pPr>
                    <w:snapToGrid w:val="0"/>
                    <w:jc w:val="center"/>
                    <w:rPr>
                      <w:rFonts w:hint="default" w:ascii="Times New Roman" w:hAnsi="Times New Roman" w:cs="Times New Roman"/>
                      <w:color w:val="auto"/>
                      <w:sz w:val="18"/>
                      <w:szCs w:val="18"/>
                      <w:highlight w:val="none"/>
                    </w:rPr>
                  </w:pPr>
                </w:p>
              </w:tc>
              <w:tc>
                <w:tcPr>
                  <w:tcW w:w="948" w:type="pct"/>
                  <w:vMerge w:val="continue"/>
                  <w:shd w:val="clear" w:color="auto" w:fill="auto"/>
                  <w:noWrap w:val="0"/>
                  <w:vAlign w:val="center"/>
                </w:tcPr>
                <w:p w14:paraId="21EFE0C1">
                  <w:pPr>
                    <w:snapToGrid w:val="0"/>
                    <w:jc w:val="center"/>
                    <w:rPr>
                      <w:rFonts w:hint="eastAsia" w:ascii="Times New Roman" w:hAnsi="Times New Roman" w:eastAsia="宋体" w:cs="Times New Roman"/>
                      <w:color w:val="auto"/>
                      <w:kern w:val="2"/>
                      <w:sz w:val="18"/>
                      <w:szCs w:val="18"/>
                      <w:highlight w:val="none"/>
                      <w:lang w:val="en-US" w:eastAsia="zh-CN" w:bidi="ar-SA"/>
                    </w:rPr>
                  </w:pPr>
                </w:p>
              </w:tc>
              <w:tc>
                <w:tcPr>
                  <w:tcW w:w="807" w:type="pct"/>
                  <w:shd w:val="clear" w:color="auto" w:fill="auto"/>
                  <w:noWrap w:val="0"/>
                  <w:vAlign w:val="center"/>
                </w:tcPr>
                <w:p w14:paraId="65EF752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bCs/>
                      <w:color w:val="auto"/>
                      <w:kern w:val="0"/>
                      <w:sz w:val="18"/>
                      <w:szCs w:val="18"/>
                      <w:lang w:val="en-US" w:eastAsia="zh-CN"/>
                    </w:rPr>
                    <w:t>SO</w:t>
                  </w:r>
                  <w:r>
                    <w:rPr>
                      <w:rFonts w:hint="eastAsia" w:ascii="Times New Roman" w:hAnsi="Times New Roman" w:cs="Times New Roman"/>
                      <w:bCs/>
                      <w:color w:val="auto"/>
                      <w:kern w:val="0"/>
                      <w:sz w:val="18"/>
                      <w:szCs w:val="18"/>
                      <w:vertAlign w:val="subscript"/>
                      <w:lang w:val="en-US" w:eastAsia="zh-CN"/>
                    </w:rPr>
                    <w:t>2</w:t>
                  </w:r>
                </w:p>
              </w:tc>
              <w:tc>
                <w:tcPr>
                  <w:tcW w:w="1538" w:type="dxa"/>
                  <w:shd w:val="clear" w:color="auto" w:fill="auto"/>
                  <w:noWrap w:val="0"/>
                  <w:vAlign w:val="center"/>
                </w:tcPr>
                <w:p w14:paraId="7B0EDB4E">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0.67</w:t>
                  </w:r>
                </w:p>
              </w:tc>
              <w:tc>
                <w:tcPr>
                  <w:tcW w:w="1538" w:type="dxa"/>
                  <w:shd w:val="clear" w:color="auto" w:fill="auto"/>
                  <w:noWrap w:val="0"/>
                  <w:vAlign w:val="center"/>
                </w:tcPr>
                <w:p w14:paraId="4804BC17">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0.096</w:t>
                  </w:r>
                </w:p>
              </w:tc>
              <w:tc>
                <w:tcPr>
                  <w:tcW w:w="1690" w:type="dxa"/>
                  <w:shd w:val="clear" w:color="auto" w:fill="auto"/>
                  <w:noWrap w:val="0"/>
                  <w:vAlign w:val="center"/>
                </w:tcPr>
                <w:p w14:paraId="170E1145">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14.71 </w:t>
                  </w:r>
                </w:p>
              </w:tc>
            </w:tr>
            <w:tr w14:paraId="519BF7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0"/>
                  <w:vAlign w:val="center"/>
                </w:tcPr>
                <w:p w14:paraId="5E0EE9E0">
                  <w:pPr>
                    <w:snapToGrid w:val="0"/>
                    <w:jc w:val="center"/>
                    <w:rPr>
                      <w:rFonts w:hint="default" w:ascii="Times New Roman" w:hAnsi="Times New Roman" w:cs="Times New Roman"/>
                      <w:color w:val="auto"/>
                      <w:sz w:val="18"/>
                      <w:szCs w:val="18"/>
                      <w:highlight w:val="none"/>
                    </w:rPr>
                  </w:pPr>
                </w:p>
              </w:tc>
              <w:tc>
                <w:tcPr>
                  <w:tcW w:w="948" w:type="pct"/>
                  <w:vMerge w:val="continue"/>
                  <w:shd w:val="clear" w:color="auto" w:fill="auto"/>
                  <w:noWrap w:val="0"/>
                  <w:vAlign w:val="center"/>
                </w:tcPr>
                <w:p w14:paraId="24E7BDF8">
                  <w:pPr>
                    <w:snapToGrid w:val="0"/>
                    <w:jc w:val="center"/>
                    <w:rPr>
                      <w:rFonts w:hint="eastAsia" w:ascii="Times New Roman" w:hAnsi="Times New Roman" w:eastAsia="宋体" w:cs="Times New Roman"/>
                      <w:color w:val="auto"/>
                      <w:kern w:val="2"/>
                      <w:sz w:val="18"/>
                      <w:szCs w:val="18"/>
                      <w:highlight w:val="none"/>
                      <w:lang w:val="en-US" w:eastAsia="zh-CN" w:bidi="ar-SA"/>
                    </w:rPr>
                  </w:pPr>
                </w:p>
              </w:tc>
              <w:tc>
                <w:tcPr>
                  <w:tcW w:w="807" w:type="pct"/>
                  <w:shd w:val="clear" w:color="auto" w:fill="auto"/>
                  <w:noWrap w:val="0"/>
                  <w:vAlign w:val="center"/>
                </w:tcPr>
                <w:p w14:paraId="78DFE2B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bCs/>
                      <w:color w:val="auto"/>
                      <w:kern w:val="0"/>
                      <w:sz w:val="18"/>
                      <w:szCs w:val="18"/>
                      <w:lang w:val="en-US" w:eastAsia="zh-CN"/>
                    </w:rPr>
                    <w:t>NO</w:t>
                  </w:r>
                  <w:r>
                    <w:rPr>
                      <w:rFonts w:hint="eastAsia" w:ascii="Times New Roman" w:hAnsi="Times New Roman" w:cs="Times New Roman"/>
                      <w:bCs/>
                      <w:color w:val="auto"/>
                      <w:kern w:val="0"/>
                      <w:sz w:val="18"/>
                      <w:szCs w:val="18"/>
                      <w:vertAlign w:val="subscript"/>
                      <w:lang w:val="en-US" w:eastAsia="zh-CN"/>
                    </w:rPr>
                    <w:t>X</w:t>
                  </w:r>
                </w:p>
              </w:tc>
              <w:tc>
                <w:tcPr>
                  <w:tcW w:w="1538" w:type="dxa"/>
                  <w:shd w:val="clear" w:color="auto" w:fill="auto"/>
                  <w:noWrap w:val="0"/>
                  <w:vAlign w:val="center"/>
                </w:tcPr>
                <w:p w14:paraId="6AEFA332">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4.15 </w:t>
                  </w:r>
                </w:p>
              </w:tc>
              <w:tc>
                <w:tcPr>
                  <w:tcW w:w="1538" w:type="dxa"/>
                  <w:shd w:val="clear" w:color="auto" w:fill="auto"/>
                  <w:noWrap w:val="0"/>
                  <w:vAlign w:val="center"/>
                </w:tcPr>
                <w:p w14:paraId="26356447">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0.59 </w:t>
                  </w:r>
                </w:p>
              </w:tc>
              <w:tc>
                <w:tcPr>
                  <w:tcW w:w="1690" w:type="dxa"/>
                  <w:shd w:val="clear" w:color="auto" w:fill="auto"/>
                  <w:noWrap w:val="0"/>
                  <w:vAlign w:val="center"/>
                </w:tcPr>
                <w:p w14:paraId="26E72309">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90.83 </w:t>
                  </w:r>
                </w:p>
              </w:tc>
            </w:tr>
            <w:tr w14:paraId="2F3000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374" w:type="pct"/>
                  <w:vMerge w:val="restart"/>
                  <w:noWrap w:val="0"/>
                  <w:vAlign w:val="center"/>
                </w:tcPr>
                <w:p w14:paraId="13A40AA1">
                  <w:pPr>
                    <w:snapToGrid w:val="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w:t>
                  </w:r>
                </w:p>
              </w:tc>
              <w:tc>
                <w:tcPr>
                  <w:tcW w:w="948" w:type="pct"/>
                  <w:vMerge w:val="restart"/>
                  <w:shd w:val="clear" w:color="auto" w:fill="auto"/>
                  <w:noWrap w:val="0"/>
                  <w:vAlign w:val="center"/>
                </w:tcPr>
                <w:p w14:paraId="06943C52">
                  <w:pPr>
                    <w:snapToGrid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DA008</w:t>
                  </w:r>
                </w:p>
              </w:tc>
              <w:tc>
                <w:tcPr>
                  <w:tcW w:w="807" w:type="pct"/>
                  <w:shd w:val="clear" w:color="auto" w:fill="auto"/>
                  <w:noWrap w:val="0"/>
                  <w:vAlign w:val="center"/>
                </w:tcPr>
                <w:p w14:paraId="6DB47D28">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bCs/>
                      <w:color w:val="auto"/>
                      <w:kern w:val="0"/>
                      <w:sz w:val="18"/>
                      <w:szCs w:val="18"/>
                      <w:lang w:val="en-US" w:eastAsia="zh-CN"/>
                    </w:rPr>
                    <w:t>颗粒物</w:t>
                  </w:r>
                </w:p>
              </w:tc>
              <w:tc>
                <w:tcPr>
                  <w:tcW w:w="1538" w:type="dxa"/>
                  <w:shd w:val="clear" w:color="auto" w:fill="auto"/>
                  <w:noWrap w:val="0"/>
                  <w:vAlign w:val="center"/>
                </w:tcPr>
                <w:p w14:paraId="792E20B9">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0.243 </w:t>
                  </w:r>
                </w:p>
              </w:tc>
              <w:tc>
                <w:tcPr>
                  <w:tcW w:w="1538" w:type="dxa"/>
                  <w:shd w:val="clear" w:color="auto" w:fill="auto"/>
                  <w:noWrap w:val="0"/>
                  <w:vAlign w:val="center"/>
                </w:tcPr>
                <w:p w14:paraId="2EB8A6FD">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0.035 </w:t>
                  </w:r>
                </w:p>
              </w:tc>
              <w:tc>
                <w:tcPr>
                  <w:tcW w:w="1690" w:type="dxa"/>
                  <w:shd w:val="clear" w:color="auto" w:fill="auto"/>
                  <w:noWrap w:val="0"/>
                  <w:vAlign w:val="center"/>
                </w:tcPr>
                <w:p w14:paraId="3DAC1970">
                  <w:pPr>
                    <w:keepNext w:val="0"/>
                    <w:keepLines w:val="0"/>
                    <w:widowControl/>
                    <w:suppressLineNumbers w:val="0"/>
                    <w:jc w:val="center"/>
                    <w:textAlignment w:val="center"/>
                    <w:rPr>
                      <w:rFonts w:hint="eastAsia" w:ascii="Times New Roman" w:hAnsi="Times New Roman" w:eastAsia="宋体" w:cs="Times New Roman"/>
                      <w:bCs/>
                      <w:color w:val="auto"/>
                      <w:kern w:val="0"/>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7.97 </w:t>
                  </w:r>
                </w:p>
              </w:tc>
            </w:tr>
            <w:tr w14:paraId="405050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0"/>
                  <w:vAlign w:val="center"/>
                </w:tcPr>
                <w:p w14:paraId="40E73210">
                  <w:pPr>
                    <w:snapToGrid w:val="0"/>
                    <w:jc w:val="center"/>
                    <w:rPr>
                      <w:rFonts w:hint="default" w:ascii="Times New Roman" w:hAnsi="Times New Roman" w:cs="Times New Roman"/>
                      <w:color w:val="auto"/>
                      <w:sz w:val="18"/>
                      <w:szCs w:val="18"/>
                      <w:highlight w:val="none"/>
                    </w:rPr>
                  </w:pPr>
                </w:p>
              </w:tc>
              <w:tc>
                <w:tcPr>
                  <w:tcW w:w="948" w:type="pct"/>
                  <w:vMerge w:val="continue"/>
                  <w:shd w:val="clear" w:color="auto" w:fill="auto"/>
                  <w:noWrap w:val="0"/>
                  <w:vAlign w:val="center"/>
                </w:tcPr>
                <w:p w14:paraId="7C166A92">
                  <w:pPr>
                    <w:snapToGrid w:val="0"/>
                    <w:jc w:val="center"/>
                    <w:rPr>
                      <w:rFonts w:hint="eastAsia" w:ascii="Times New Roman" w:hAnsi="Times New Roman" w:eastAsia="宋体" w:cs="Times New Roman"/>
                      <w:color w:val="auto"/>
                      <w:kern w:val="2"/>
                      <w:sz w:val="18"/>
                      <w:szCs w:val="18"/>
                      <w:highlight w:val="none"/>
                      <w:lang w:val="en-US" w:eastAsia="zh-CN" w:bidi="ar-SA"/>
                    </w:rPr>
                  </w:pPr>
                </w:p>
              </w:tc>
              <w:tc>
                <w:tcPr>
                  <w:tcW w:w="807" w:type="pct"/>
                  <w:shd w:val="clear" w:color="auto" w:fill="auto"/>
                  <w:noWrap w:val="0"/>
                  <w:vAlign w:val="center"/>
                </w:tcPr>
                <w:p w14:paraId="6500A47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bCs/>
                      <w:color w:val="auto"/>
                      <w:kern w:val="0"/>
                      <w:sz w:val="18"/>
                      <w:szCs w:val="18"/>
                      <w:lang w:val="en-US" w:eastAsia="zh-CN"/>
                    </w:rPr>
                    <w:t>SO</w:t>
                  </w:r>
                  <w:r>
                    <w:rPr>
                      <w:rFonts w:hint="eastAsia" w:ascii="Times New Roman" w:hAnsi="Times New Roman" w:cs="Times New Roman"/>
                      <w:bCs/>
                      <w:color w:val="auto"/>
                      <w:kern w:val="0"/>
                      <w:sz w:val="18"/>
                      <w:szCs w:val="18"/>
                      <w:vertAlign w:val="subscript"/>
                      <w:lang w:val="en-US" w:eastAsia="zh-CN"/>
                    </w:rPr>
                    <w:t>2</w:t>
                  </w:r>
                </w:p>
              </w:tc>
              <w:tc>
                <w:tcPr>
                  <w:tcW w:w="1538" w:type="dxa"/>
                  <w:shd w:val="clear" w:color="auto" w:fill="auto"/>
                  <w:noWrap w:val="0"/>
                  <w:vAlign w:val="center"/>
                </w:tcPr>
                <w:p w14:paraId="338C5BDC">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0.45</w:t>
                  </w:r>
                </w:p>
              </w:tc>
              <w:tc>
                <w:tcPr>
                  <w:tcW w:w="1538" w:type="dxa"/>
                  <w:shd w:val="clear" w:color="auto" w:fill="auto"/>
                  <w:noWrap w:val="0"/>
                  <w:vAlign w:val="center"/>
                </w:tcPr>
                <w:p w14:paraId="77CAB6E3">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0.064</w:t>
                  </w:r>
                </w:p>
              </w:tc>
              <w:tc>
                <w:tcPr>
                  <w:tcW w:w="1690" w:type="dxa"/>
                  <w:shd w:val="clear" w:color="auto" w:fill="auto"/>
                  <w:noWrap w:val="0"/>
                  <w:vAlign w:val="center"/>
                </w:tcPr>
                <w:p w14:paraId="20E3F71D">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14.71 </w:t>
                  </w:r>
                </w:p>
              </w:tc>
            </w:tr>
            <w:tr w14:paraId="20AE21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0"/>
                  <w:vAlign w:val="center"/>
                </w:tcPr>
                <w:p w14:paraId="016556A4">
                  <w:pPr>
                    <w:snapToGrid w:val="0"/>
                    <w:jc w:val="center"/>
                    <w:rPr>
                      <w:rFonts w:hint="default" w:ascii="Times New Roman" w:hAnsi="Times New Roman" w:cs="Times New Roman"/>
                      <w:color w:val="auto"/>
                      <w:sz w:val="18"/>
                      <w:szCs w:val="18"/>
                      <w:highlight w:val="none"/>
                    </w:rPr>
                  </w:pPr>
                </w:p>
              </w:tc>
              <w:tc>
                <w:tcPr>
                  <w:tcW w:w="948" w:type="pct"/>
                  <w:vMerge w:val="continue"/>
                  <w:shd w:val="clear" w:color="auto" w:fill="auto"/>
                  <w:noWrap w:val="0"/>
                  <w:vAlign w:val="center"/>
                </w:tcPr>
                <w:p w14:paraId="1CA3CD78">
                  <w:pPr>
                    <w:snapToGrid w:val="0"/>
                    <w:jc w:val="center"/>
                    <w:rPr>
                      <w:rFonts w:hint="eastAsia" w:ascii="Times New Roman" w:hAnsi="Times New Roman" w:eastAsia="宋体" w:cs="Times New Roman"/>
                      <w:color w:val="auto"/>
                      <w:kern w:val="2"/>
                      <w:sz w:val="18"/>
                      <w:szCs w:val="18"/>
                      <w:highlight w:val="none"/>
                      <w:lang w:val="en-US" w:eastAsia="zh-CN" w:bidi="ar-SA"/>
                    </w:rPr>
                  </w:pPr>
                </w:p>
              </w:tc>
              <w:tc>
                <w:tcPr>
                  <w:tcW w:w="807" w:type="pct"/>
                  <w:shd w:val="clear" w:color="auto" w:fill="auto"/>
                  <w:noWrap w:val="0"/>
                  <w:vAlign w:val="center"/>
                </w:tcPr>
                <w:p w14:paraId="67A22C2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bCs/>
                      <w:color w:val="auto"/>
                      <w:kern w:val="0"/>
                      <w:sz w:val="18"/>
                      <w:szCs w:val="18"/>
                      <w:lang w:val="en-US" w:eastAsia="zh-CN"/>
                    </w:rPr>
                    <w:t>NO</w:t>
                  </w:r>
                  <w:r>
                    <w:rPr>
                      <w:rFonts w:hint="eastAsia" w:ascii="Times New Roman" w:hAnsi="Times New Roman" w:cs="Times New Roman"/>
                      <w:bCs/>
                      <w:color w:val="auto"/>
                      <w:kern w:val="0"/>
                      <w:sz w:val="18"/>
                      <w:szCs w:val="18"/>
                      <w:vertAlign w:val="subscript"/>
                      <w:lang w:val="en-US" w:eastAsia="zh-CN"/>
                    </w:rPr>
                    <w:t>X</w:t>
                  </w:r>
                </w:p>
              </w:tc>
              <w:tc>
                <w:tcPr>
                  <w:tcW w:w="1538" w:type="dxa"/>
                  <w:shd w:val="clear" w:color="auto" w:fill="auto"/>
                  <w:noWrap w:val="0"/>
                  <w:vAlign w:val="center"/>
                </w:tcPr>
                <w:p w14:paraId="29F2F904">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2.627 </w:t>
                  </w:r>
                </w:p>
              </w:tc>
              <w:tc>
                <w:tcPr>
                  <w:tcW w:w="1538" w:type="dxa"/>
                  <w:shd w:val="clear" w:color="auto" w:fill="auto"/>
                  <w:noWrap w:val="0"/>
                  <w:vAlign w:val="center"/>
                </w:tcPr>
                <w:p w14:paraId="0BB7BCE0">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0.375 </w:t>
                  </w:r>
                </w:p>
              </w:tc>
              <w:tc>
                <w:tcPr>
                  <w:tcW w:w="1690" w:type="dxa"/>
                  <w:shd w:val="clear" w:color="auto" w:fill="auto"/>
                  <w:noWrap w:val="0"/>
                  <w:vAlign w:val="center"/>
                </w:tcPr>
                <w:p w14:paraId="6ACD9C27">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86.24 </w:t>
                  </w:r>
                </w:p>
              </w:tc>
            </w:tr>
            <w:tr w14:paraId="1E66C7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noWrap w:val="0"/>
                  <w:vAlign w:val="center"/>
                </w:tcPr>
                <w:p w14:paraId="4B9841F7">
                  <w:pPr>
                    <w:snapToGrid w:val="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9</w:t>
                  </w:r>
                </w:p>
              </w:tc>
              <w:tc>
                <w:tcPr>
                  <w:tcW w:w="948" w:type="pct"/>
                  <w:noWrap w:val="0"/>
                  <w:vAlign w:val="center"/>
                </w:tcPr>
                <w:p w14:paraId="21EAE315">
                  <w:pPr>
                    <w:snapToGrid w:val="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DA009</w:t>
                  </w:r>
                </w:p>
              </w:tc>
              <w:tc>
                <w:tcPr>
                  <w:tcW w:w="807" w:type="pct"/>
                  <w:noWrap w:val="0"/>
                  <w:vAlign w:val="center"/>
                </w:tcPr>
                <w:p w14:paraId="713EC9D6">
                  <w:pPr>
                    <w:snapToGrid w:val="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硫酸雾</w:t>
                  </w:r>
                </w:p>
              </w:tc>
              <w:tc>
                <w:tcPr>
                  <w:tcW w:w="926" w:type="pct"/>
                  <w:shd w:val="clear" w:color="auto" w:fill="auto"/>
                  <w:noWrap w:val="0"/>
                  <w:vAlign w:val="center"/>
                </w:tcPr>
                <w:p w14:paraId="3DBC2285">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0.04 </w:t>
                  </w:r>
                </w:p>
              </w:tc>
              <w:tc>
                <w:tcPr>
                  <w:tcW w:w="926" w:type="pct"/>
                  <w:shd w:val="clear" w:color="auto" w:fill="auto"/>
                  <w:noWrap w:val="0"/>
                  <w:vAlign w:val="center"/>
                </w:tcPr>
                <w:p w14:paraId="5D0FD476">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0.01 </w:t>
                  </w:r>
                </w:p>
              </w:tc>
              <w:tc>
                <w:tcPr>
                  <w:tcW w:w="1017" w:type="pct"/>
                  <w:shd w:val="clear" w:color="auto" w:fill="auto"/>
                  <w:noWrap w:val="0"/>
                  <w:vAlign w:val="center"/>
                </w:tcPr>
                <w:p w14:paraId="69157339">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0.23 </w:t>
                  </w:r>
                </w:p>
              </w:tc>
            </w:tr>
            <w:tr w14:paraId="42D38B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noWrap w:val="0"/>
                  <w:vAlign w:val="center"/>
                </w:tcPr>
                <w:p w14:paraId="135D222D">
                  <w:pPr>
                    <w:snapToGrid w:val="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948" w:type="pct"/>
                  <w:noWrap w:val="0"/>
                  <w:vAlign w:val="center"/>
                </w:tcPr>
                <w:p w14:paraId="77C80D7D">
                  <w:pPr>
                    <w:snapToGrid w:val="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DA010</w:t>
                  </w:r>
                </w:p>
              </w:tc>
              <w:tc>
                <w:tcPr>
                  <w:tcW w:w="807" w:type="pct"/>
                  <w:noWrap w:val="0"/>
                  <w:vAlign w:val="center"/>
                </w:tcPr>
                <w:p w14:paraId="2A4F4716">
                  <w:pPr>
                    <w:snapToGrid w:val="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颗粒物</w:t>
                  </w:r>
                </w:p>
              </w:tc>
              <w:tc>
                <w:tcPr>
                  <w:tcW w:w="926" w:type="pct"/>
                  <w:shd w:val="clear" w:color="auto" w:fill="auto"/>
                  <w:noWrap w:val="0"/>
                  <w:vAlign w:val="center"/>
                </w:tcPr>
                <w:p w14:paraId="4AEA9082">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0.532</w:t>
                  </w:r>
                </w:p>
              </w:tc>
              <w:tc>
                <w:tcPr>
                  <w:tcW w:w="926" w:type="pct"/>
                  <w:shd w:val="clear" w:color="auto" w:fill="auto"/>
                  <w:noWrap w:val="0"/>
                  <w:vAlign w:val="center"/>
                </w:tcPr>
                <w:p w14:paraId="1B23DD73">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0.076</w:t>
                  </w:r>
                </w:p>
              </w:tc>
              <w:tc>
                <w:tcPr>
                  <w:tcW w:w="1017" w:type="pct"/>
                  <w:shd w:val="clear" w:color="auto" w:fill="auto"/>
                  <w:noWrap w:val="0"/>
                  <w:vAlign w:val="center"/>
                </w:tcPr>
                <w:p w14:paraId="49241BF9">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1.27</w:t>
                  </w:r>
                </w:p>
              </w:tc>
            </w:tr>
            <w:tr w14:paraId="190677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0"/>
                  <w:vAlign w:val="center"/>
                </w:tcPr>
                <w:p w14:paraId="23ABACF7">
                  <w:pPr>
                    <w:snapToGrid w:val="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11</w:t>
                  </w:r>
                </w:p>
              </w:tc>
              <w:tc>
                <w:tcPr>
                  <w:tcW w:w="948" w:type="pct"/>
                  <w:vMerge w:val="restart"/>
                  <w:shd w:val="clear" w:color="auto" w:fill="auto"/>
                  <w:noWrap w:val="0"/>
                  <w:vAlign w:val="center"/>
                </w:tcPr>
                <w:p w14:paraId="54DA98A8">
                  <w:pPr>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DA011</w:t>
                  </w:r>
                </w:p>
              </w:tc>
              <w:tc>
                <w:tcPr>
                  <w:tcW w:w="807" w:type="pct"/>
                  <w:shd w:val="clear" w:color="auto" w:fill="auto"/>
                  <w:noWrap w:val="0"/>
                  <w:vAlign w:val="center"/>
                </w:tcPr>
                <w:p w14:paraId="28619CA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bCs/>
                      <w:color w:val="auto"/>
                      <w:kern w:val="0"/>
                      <w:sz w:val="18"/>
                      <w:szCs w:val="18"/>
                      <w:lang w:val="en-US" w:eastAsia="zh-CN"/>
                    </w:rPr>
                    <w:t>颗粒物</w:t>
                  </w:r>
                </w:p>
              </w:tc>
              <w:tc>
                <w:tcPr>
                  <w:tcW w:w="1538" w:type="dxa"/>
                  <w:shd w:val="clear" w:color="auto" w:fill="auto"/>
                  <w:noWrap w:val="0"/>
                  <w:vAlign w:val="center"/>
                </w:tcPr>
                <w:p w14:paraId="591F9AEC">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0.456 </w:t>
                  </w:r>
                </w:p>
              </w:tc>
              <w:tc>
                <w:tcPr>
                  <w:tcW w:w="1538" w:type="dxa"/>
                  <w:shd w:val="clear" w:color="auto" w:fill="auto"/>
                  <w:noWrap w:val="0"/>
                  <w:vAlign w:val="center"/>
                </w:tcPr>
                <w:p w14:paraId="247400E6">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0.065 </w:t>
                  </w:r>
                </w:p>
              </w:tc>
              <w:tc>
                <w:tcPr>
                  <w:tcW w:w="1690" w:type="dxa"/>
                  <w:shd w:val="clear" w:color="auto" w:fill="auto"/>
                  <w:noWrap w:val="0"/>
                  <w:vAlign w:val="center"/>
                </w:tcPr>
                <w:p w14:paraId="6EF5F3D4">
                  <w:pPr>
                    <w:keepNext w:val="0"/>
                    <w:keepLines w:val="0"/>
                    <w:widowControl/>
                    <w:suppressLineNumbers w:val="0"/>
                    <w:jc w:val="center"/>
                    <w:textAlignment w:val="center"/>
                    <w:rPr>
                      <w:rFonts w:hint="eastAsia" w:ascii="Times New Roman" w:hAnsi="Times New Roman" w:eastAsia="宋体" w:cs="Times New Roman"/>
                      <w:bCs/>
                      <w:color w:val="auto"/>
                      <w:kern w:val="0"/>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5.99 </w:t>
                  </w:r>
                </w:p>
              </w:tc>
            </w:tr>
            <w:tr w14:paraId="432779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0"/>
                  <w:vAlign w:val="center"/>
                </w:tcPr>
                <w:p w14:paraId="4AD934A4">
                  <w:pPr>
                    <w:snapToGrid w:val="0"/>
                    <w:jc w:val="center"/>
                    <w:rPr>
                      <w:rFonts w:hint="default" w:ascii="Times New Roman" w:hAnsi="Times New Roman" w:cs="Times New Roman"/>
                      <w:color w:val="auto"/>
                      <w:sz w:val="18"/>
                      <w:szCs w:val="18"/>
                      <w:highlight w:val="none"/>
                    </w:rPr>
                  </w:pPr>
                </w:p>
              </w:tc>
              <w:tc>
                <w:tcPr>
                  <w:tcW w:w="948" w:type="pct"/>
                  <w:vMerge w:val="continue"/>
                  <w:shd w:val="clear" w:color="auto" w:fill="auto"/>
                  <w:noWrap w:val="0"/>
                  <w:vAlign w:val="center"/>
                </w:tcPr>
                <w:p w14:paraId="0EADA4AC">
                  <w:pPr>
                    <w:snapToGrid w:val="0"/>
                    <w:jc w:val="center"/>
                    <w:rPr>
                      <w:rFonts w:hint="eastAsia" w:ascii="Times New Roman" w:hAnsi="Times New Roman" w:eastAsia="宋体" w:cs="Times New Roman"/>
                      <w:color w:val="auto"/>
                      <w:kern w:val="2"/>
                      <w:sz w:val="18"/>
                      <w:szCs w:val="18"/>
                      <w:highlight w:val="none"/>
                      <w:lang w:val="en-US" w:eastAsia="zh-CN" w:bidi="ar-SA"/>
                    </w:rPr>
                  </w:pPr>
                </w:p>
              </w:tc>
              <w:tc>
                <w:tcPr>
                  <w:tcW w:w="807" w:type="pct"/>
                  <w:shd w:val="clear" w:color="auto" w:fill="auto"/>
                  <w:noWrap w:val="0"/>
                  <w:vAlign w:val="center"/>
                </w:tcPr>
                <w:p w14:paraId="4D29E86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bCs/>
                      <w:color w:val="auto"/>
                      <w:kern w:val="0"/>
                      <w:sz w:val="18"/>
                      <w:szCs w:val="18"/>
                      <w:lang w:val="en-US" w:eastAsia="zh-CN"/>
                    </w:rPr>
                    <w:t>SO</w:t>
                  </w:r>
                  <w:r>
                    <w:rPr>
                      <w:rFonts w:hint="eastAsia" w:ascii="Times New Roman" w:hAnsi="Times New Roman" w:cs="Times New Roman"/>
                      <w:bCs/>
                      <w:color w:val="auto"/>
                      <w:kern w:val="0"/>
                      <w:sz w:val="18"/>
                      <w:szCs w:val="18"/>
                      <w:vertAlign w:val="subscript"/>
                      <w:lang w:val="en-US" w:eastAsia="zh-CN"/>
                    </w:rPr>
                    <w:t>2</w:t>
                  </w:r>
                </w:p>
              </w:tc>
              <w:tc>
                <w:tcPr>
                  <w:tcW w:w="1538" w:type="dxa"/>
                  <w:shd w:val="clear" w:color="auto" w:fill="auto"/>
                  <w:noWrap w:val="0"/>
                  <w:vAlign w:val="center"/>
                </w:tcPr>
                <w:p w14:paraId="09F4971C">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1.12</w:t>
                  </w:r>
                </w:p>
              </w:tc>
              <w:tc>
                <w:tcPr>
                  <w:tcW w:w="1538" w:type="dxa"/>
                  <w:shd w:val="clear" w:color="auto" w:fill="auto"/>
                  <w:noWrap w:val="0"/>
                  <w:vAlign w:val="center"/>
                </w:tcPr>
                <w:p w14:paraId="1CE69E3A">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0.16</w:t>
                  </w:r>
                </w:p>
              </w:tc>
              <w:tc>
                <w:tcPr>
                  <w:tcW w:w="1690" w:type="dxa"/>
                  <w:shd w:val="clear" w:color="auto" w:fill="auto"/>
                  <w:noWrap w:val="0"/>
                  <w:vAlign w:val="center"/>
                </w:tcPr>
                <w:p w14:paraId="6862CD20">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14.71 </w:t>
                  </w:r>
                </w:p>
              </w:tc>
            </w:tr>
            <w:tr w14:paraId="196D55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0"/>
                  <w:vAlign w:val="center"/>
                </w:tcPr>
                <w:p w14:paraId="56D292FE">
                  <w:pPr>
                    <w:snapToGrid w:val="0"/>
                    <w:jc w:val="center"/>
                    <w:rPr>
                      <w:rFonts w:hint="default" w:ascii="Times New Roman" w:hAnsi="Times New Roman" w:cs="Times New Roman"/>
                      <w:color w:val="auto"/>
                      <w:sz w:val="18"/>
                      <w:szCs w:val="18"/>
                      <w:highlight w:val="none"/>
                    </w:rPr>
                  </w:pPr>
                </w:p>
              </w:tc>
              <w:tc>
                <w:tcPr>
                  <w:tcW w:w="948" w:type="pct"/>
                  <w:vMerge w:val="continue"/>
                  <w:shd w:val="clear" w:color="auto" w:fill="auto"/>
                  <w:noWrap w:val="0"/>
                  <w:vAlign w:val="center"/>
                </w:tcPr>
                <w:p w14:paraId="46F61ED6">
                  <w:pPr>
                    <w:snapToGrid w:val="0"/>
                    <w:jc w:val="center"/>
                    <w:rPr>
                      <w:rFonts w:hint="eastAsia" w:ascii="Times New Roman" w:hAnsi="Times New Roman" w:eastAsia="宋体" w:cs="Times New Roman"/>
                      <w:color w:val="auto"/>
                      <w:kern w:val="2"/>
                      <w:sz w:val="18"/>
                      <w:szCs w:val="18"/>
                      <w:highlight w:val="none"/>
                      <w:lang w:val="en-US" w:eastAsia="zh-CN" w:bidi="ar-SA"/>
                    </w:rPr>
                  </w:pPr>
                </w:p>
              </w:tc>
              <w:tc>
                <w:tcPr>
                  <w:tcW w:w="807" w:type="pct"/>
                  <w:shd w:val="clear" w:color="auto" w:fill="auto"/>
                  <w:noWrap w:val="0"/>
                  <w:vAlign w:val="center"/>
                </w:tcPr>
                <w:p w14:paraId="1AD1850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bCs/>
                      <w:color w:val="auto"/>
                      <w:kern w:val="0"/>
                      <w:sz w:val="18"/>
                      <w:szCs w:val="18"/>
                      <w:lang w:val="en-US" w:eastAsia="zh-CN"/>
                    </w:rPr>
                    <w:t>NO</w:t>
                  </w:r>
                  <w:r>
                    <w:rPr>
                      <w:rFonts w:hint="eastAsia" w:ascii="Times New Roman" w:hAnsi="Times New Roman" w:cs="Times New Roman"/>
                      <w:bCs/>
                      <w:color w:val="auto"/>
                      <w:kern w:val="0"/>
                      <w:sz w:val="18"/>
                      <w:szCs w:val="18"/>
                      <w:vertAlign w:val="subscript"/>
                      <w:lang w:val="en-US" w:eastAsia="zh-CN"/>
                    </w:rPr>
                    <w:t>X</w:t>
                  </w:r>
                </w:p>
              </w:tc>
              <w:tc>
                <w:tcPr>
                  <w:tcW w:w="1538" w:type="dxa"/>
                  <w:shd w:val="clear" w:color="auto" w:fill="auto"/>
                  <w:noWrap w:val="0"/>
                  <w:vAlign w:val="center"/>
                </w:tcPr>
                <w:p w14:paraId="70DF67E4">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6.72</w:t>
                  </w:r>
                </w:p>
              </w:tc>
              <w:tc>
                <w:tcPr>
                  <w:tcW w:w="1538" w:type="dxa"/>
                  <w:shd w:val="clear" w:color="auto" w:fill="auto"/>
                  <w:noWrap w:val="0"/>
                  <w:vAlign w:val="center"/>
                </w:tcPr>
                <w:p w14:paraId="7BBE9973">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0.96</w:t>
                  </w:r>
                </w:p>
              </w:tc>
              <w:tc>
                <w:tcPr>
                  <w:tcW w:w="1690" w:type="dxa"/>
                  <w:shd w:val="clear" w:color="auto" w:fill="auto"/>
                  <w:noWrap w:val="0"/>
                  <w:vAlign w:val="center"/>
                </w:tcPr>
                <w:p w14:paraId="208625FC">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 xml:space="preserve">88.24 </w:t>
                  </w:r>
                </w:p>
              </w:tc>
            </w:tr>
            <w:tr w14:paraId="2A4421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noWrap w:val="0"/>
                  <w:vAlign w:val="center"/>
                </w:tcPr>
                <w:p w14:paraId="2C7FDA2F">
                  <w:pPr>
                    <w:snapToGrid w:val="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948" w:type="pct"/>
                  <w:shd w:val="clear" w:color="auto" w:fill="auto"/>
                  <w:noWrap w:val="0"/>
                  <w:vAlign w:val="center"/>
                </w:tcPr>
                <w:p w14:paraId="17E33112">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DA012</w:t>
                  </w:r>
                </w:p>
              </w:tc>
              <w:tc>
                <w:tcPr>
                  <w:tcW w:w="807" w:type="pct"/>
                  <w:shd w:val="clear" w:color="auto" w:fill="auto"/>
                  <w:noWrap w:val="0"/>
                  <w:vAlign w:val="center"/>
                </w:tcPr>
                <w:p w14:paraId="594AC7B9">
                  <w:pPr>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颗粒物</w:t>
                  </w:r>
                </w:p>
              </w:tc>
              <w:tc>
                <w:tcPr>
                  <w:tcW w:w="926" w:type="pct"/>
                  <w:shd w:val="clear" w:color="auto" w:fill="auto"/>
                  <w:noWrap w:val="0"/>
                  <w:vAlign w:val="center"/>
                </w:tcPr>
                <w:p w14:paraId="22236796">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0.21</w:t>
                  </w:r>
                </w:p>
              </w:tc>
              <w:tc>
                <w:tcPr>
                  <w:tcW w:w="926" w:type="pct"/>
                  <w:shd w:val="clear" w:color="auto" w:fill="auto"/>
                  <w:noWrap w:val="0"/>
                  <w:vAlign w:val="center"/>
                </w:tcPr>
                <w:p w14:paraId="61157BF6">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0.03</w:t>
                  </w:r>
                </w:p>
              </w:tc>
              <w:tc>
                <w:tcPr>
                  <w:tcW w:w="1017" w:type="pct"/>
                  <w:shd w:val="clear" w:color="auto" w:fill="auto"/>
                  <w:noWrap w:val="0"/>
                  <w:vAlign w:val="center"/>
                </w:tcPr>
                <w:p w14:paraId="6E7E1F8A">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10</w:t>
                  </w:r>
                </w:p>
              </w:tc>
            </w:tr>
            <w:tr w14:paraId="15287C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0"/>
                  <w:vAlign w:val="center"/>
                </w:tcPr>
                <w:p w14:paraId="405C3A5D">
                  <w:pPr>
                    <w:snapToGrid w:val="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13</w:t>
                  </w:r>
                </w:p>
              </w:tc>
              <w:tc>
                <w:tcPr>
                  <w:tcW w:w="948" w:type="pct"/>
                  <w:vMerge w:val="restart"/>
                  <w:shd w:val="clear" w:color="auto" w:fill="auto"/>
                  <w:noWrap w:val="0"/>
                  <w:vAlign w:val="center"/>
                </w:tcPr>
                <w:p w14:paraId="2499E8D6">
                  <w:pPr>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DA013</w:t>
                  </w:r>
                </w:p>
              </w:tc>
              <w:tc>
                <w:tcPr>
                  <w:tcW w:w="807" w:type="pct"/>
                  <w:shd w:val="clear" w:color="auto" w:fill="auto"/>
                  <w:noWrap w:val="0"/>
                  <w:vAlign w:val="center"/>
                </w:tcPr>
                <w:p w14:paraId="34DACE08">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bCs/>
                      <w:color w:val="auto"/>
                      <w:kern w:val="0"/>
                      <w:sz w:val="18"/>
                      <w:szCs w:val="18"/>
                      <w:lang w:val="en-US" w:eastAsia="zh-CN"/>
                    </w:rPr>
                    <w:t>颗粒物</w:t>
                  </w:r>
                </w:p>
              </w:tc>
              <w:tc>
                <w:tcPr>
                  <w:tcW w:w="926" w:type="pct"/>
                  <w:shd w:val="clear" w:color="auto" w:fill="auto"/>
                  <w:noWrap w:val="0"/>
                  <w:vAlign w:val="center"/>
                </w:tcPr>
                <w:p w14:paraId="11E4EDC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 xml:space="preserve">0.42 </w:t>
                  </w:r>
                </w:p>
              </w:tc>
              <w:tc>
                <w:tcPr>
                  <w:tcW w:w="926" w:type="pct"/>
                  <w:shd w:val="clear" w:color="auto" w:fill="auto"/>
                  <w:noWrap w:val="0"/>
                  <w:vAlign w:val="center"/>
                </w:tcPr>
                <w:p w14:paraId="7C77851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 xml:space="preserve">0.06 </w:t>
                  </w:r>
                </w:p>
              </w:tc>
              <w:tc>
                <w:tcPr>
                  <w:tcW w:w="1017" w:type="pct"/>
                  <w:shd w:val="clear" w:color="auto" w:fill="auto"/>
                  <w:noWrap w:val="0"/>
                  <w:vAlign w:val="center"/>
                </w:tcPr>
                <w:p w14:paraId="11CFF90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 xml:space="preserve">5.00 </w:t>
                  </w:r>
                </w:p>
              </w:tc>
            </w:tr>
            <w:tr w14:paraId="529D92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0"/>
                  <w:vAlign w:val="center"/>
                </w:tcPr>
                <w:p w14:paraId="46ECF811">
                  <w:pPr>
                    <w:snapToGrid w:val="0"/>
                    <w:jc w:val="center"/>
                    <w:rPr>
                      <w:rFonts w:hint="default" w:ascii="Times New Roman" w:hAnsi="Times New Roman" w:cs="Times New Roman"/>
                      <w:color w:val="auto"/>
                      <w:sz w:val="18"/>
                      <w:szCs w:val="18"/>
                      <w:highlight w:val="none"/>
                    </w:rPr>
                  </w:pPr>
                </w:p>
              </w:tc>
              <w:tc>
                <w:tcPr>
                  <w:tcW w:w="948" w:type="pct"/>
                  <w:vMerge w:val="continue"/>
                  <w:shd w:val="clear" w:color="auto" w:fill="auto"/>
                  <w:noWrap w:val="0"/>
                  <w:vAlign w:val="center"/>
                </w:tcPr>
                <w:p w14:paraId="39096F80">
                  <w:pPr>
                    <w:snapToGrid w:val="0"/>
                    <w:jc w:val="center"/>
                    <w:rPr>
                      <w:rFonts w:hint="eastAsia" w:ascii="Times New Roman" w:hAnsi="Times New Roman" w:eastAsia="宋体" w:cs="Times New Roman"/>
                      <w:color w:val="auto"/>
                      <w:kern w:val="2"/>
                      <w:sz w:val="18"/>
                      <w:szCs w:val="18"/>
                      <w:highlight w:val="none"/>
                      <w:lang w:val="en-US" w:eastAsia="zh-CN" w:bidi="ar-SA"/>
                    </w:rPr>
                  </w:pPr>
                </w:p>
              </w:tc>
              <w:tc>
                <w:tcPr>
                  <w:tcW w:w="807" w:type="pct"/>
                  <w:shd w:val="clear" w:color="auto" w:fill="auto"/>
                  <w:noWrap w:val="0"/>
                  <w:vAlign w:val="center"/>
                </w:tcPr>
                <w:p w14:paraId="7B0341E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bCs/>
                      <w:color w:val="auto"/>
                      <w:kern w:val="0"/>
                      <w:sz w:val="18"/>
                      <w:szCs w:val="18"/>
                      <w:lang w:val="en-US" w:eastAsia="zh-CN"/>
                    </w:rPr>
                    <w:t>SO</w:t>
                  </w:r>
                  <w:r>
                    <w:rPr>
                      <w:rFonts w:hint="eastAsia" w:ascii="Times New Roman" w:hAnsi="Times New Roman" w:cs="Times New Roman"/>
                      <w:bCs/>
                      <w:color w:val="auto"/>
                      <w:kern w:val="0"/>
                      <w:sz w:val="18"/>
                      <w:szCs w:val="18"/>
                      <w:vertAlign w:val="subscript"/>
                      <w:lang w:val="en-US" w:eastAsia="zh-CN"/>
                    </w:rPr>
                    <w:t>2</w:t>
                  </w:r>
                </w:p>
              </w:tc>
              <w:tc>
                <w:tcPr>
                  <w:tcW w:w="926" w:type="pct"/>
                  <w:shd w:val="clear" w:color="auto" w:fill="auto"/>
                  <w:noWrap w:val="0"/>
                  <w:vAlign w:val="center"/>
                </w:tcPr>
                <w:p w14:paraId="0CEF452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 xml:space="preserve">0.16 </w:t>
                  </w:r>
                </w:p>
              </w:tc>
              <w:tc>
                <w:tcPr>
                  <w:tcW w:w="926" w:type="pct"/>
                  <w:shd w:val="clear" w:color="auto" w:fill="auto"/>
                  <w:noWrap w:val="0"/>
                  <w:vAlign w:val="center"/>
                </w:tcPr>
                <w:p w14:paraId="1DA60B6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 xml:space="preserve">0.02 </w:t>
                  </w:r>
                </w:p>
              </w:tc>
              <w:tc>
                <w:tcPr>
                  <w:tcW w:w="1017" w:type="pct"/>
                  <w:shd w:val="clear" w:color="auto" w:fill="auto"/>
                  <w:noWrap w:val="0"/>
                  <w:vAlign w:val="center"/>
                </w:tcPr>
                <w:p w14:paraId="134270B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 xml:space="preserve">1.86 </w:t>
                  </w:r>
                </w:p>
              </w:tc>
            </w:tr>
            <w:tr w14:paraId="653157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0"/>
                  <w:vAlign w:val="center"/>
                </w:tcPr>
                <w:p w14:paraId="54953487">
                  <w:pPr>
                    <w:snapToGrid w:val="0"/>
                    <w:jc w:val="center"/>
                    <w:rPr>
                      <w:rFonts w:hint="eastAsia" w:ascii="Times New Roman" w:hAnsi="Times New Roman" w:eastAsia="宋体" w:cs="Times New Roman"/>
                      <w:color w:val="auto"/>
                      <w:sz w:val="18"/>
                      <w:szCs w:val="18"/>
                      <w:highlight w:val="none"/>
                      <w:lang w:val="en-US" w:eastAsia="zh-CN"/>
                    </w:rPr>
                  </w:pPr>
                </w:p>
              </w:tc>
              <w:tc>
                <w:tcPr>
                  <w:tcW w:w="948" w:type="pct"/>
                  <w:vMerge w:val="continue"/>
                  <w:shd w:val="clear" w:color="auto" w:fill="auto"/>
                  <w:noWrap w:val="0"/>
                  <w:vAlign w:val="center"/>
                </w:tcPr>
                <w:p w14:paraId="5CDF3D1C">
                  <w:pPr>
                    <w:snapToGrid w:val="0"/>
                    <w:jc w:val="center"/>
                    <w:rPr>
                      <w:rFonts w:hint="default" w:ascii="Times New Roman" w:hAnsi="Times New Roman" w:eastAsia="宋体" w:cs="Times New Roman"/>
                      <w:color w:val="auto"/>
                      <w:kern w:val="2"/>
                      <w:sz w:val="18"/>
                      <w:szCs w:val="18"/>
                      <w:highlight w:val="none"/>
                      <w:lang w:val="en-US" w:eastAsia="zh-CN" w:bidi="ar-SA"/>
                    </w:rPr>
                  </w:pPr>
                </w:p>
              </w:tc>
              <w:tc>
                <w:tcPr>
                  <w:tcW w:w="807" w:type="pct"/>
                  <w:shd w:val="clear" w:color="auto" w:fill="auto"/>
                  <w:noWrap w:val="0"/>
                  <w:vAlign w:val="center"/>
                </w:tcPr>
                <w:p w14:paraId="2F7412A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bCs/>
                      <w:color w:val="auto"/>
                      <w:kern w:val="0"/>
                      <w:sz w:val="18"/>
                      <w:szCs w:val="18"/>
                      <w:lang w:val="en-US" w:eastAsia="zh-CN"/>
                    </w:rPr>
                    <w:t>NO</w:t>
                  </w:r>
                  <w:r>
                    <w:rPr>
                      <w:rFonts w:hint="eastAsia" w:ascii="Times New Roman" w:hAnsi="Times New Roman" w:cs="Times New Roman"/>
                      <w:bCs/>
                      <w:color w:val="auto"/>
                      <w:kern w:val="0"/>
                      <w:sz w:val="18"/>
                      <w:szCs w:val="18"/>
                      <w:vertAlign w:val="subscript"/>
                      <w:lang w:val="en-US" w:eastAsia="zh-CN"/>
                    </w:rPr>
                    <w:t>X</w:t>
                  </w:r>
                </w:p>
              </w:tc>
              <w:tc>
                <w:tcPr>
                  <w:tcW w:w="926" w:type="pct"/>
                  <w:shd w:val="clear" w:color="auto" w:fill="auto"/>
                  <w:noWrap w:val="0"/>
                  <w:vAlign w:val="center"/>
                </w:tcPr>
                <w:p w14:paraId="599442B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 xml:space="preserve">5.60 </w:t>
                  </w:r>
                </w:p>
              </w:tc>
              <w:tc>
                <w:tcPr>
                  <w:tcW w:w="926" w:type="pct"/>
                  <w:shd w:val="clear" w:color="auto" w:fill="auto"/>
                  <w:noWrap w:val="0"/>
                  <w:vAlign w:val="center"/>
                </w:tcPr>
                <w:p w14:paraId="200CF8C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 xml:space="preserve">0.80 </w:t>
                  </w:r>
                </w:p>
              </w:tc>
              <w:tc>
                <w:tcPr>
                  <w:tcW w:w="1017" w:type="pct"/>
                  <w:shd w:val="clear" w:color="auto" w:fill="auto"/>
                  <w:noWrap w:val="0"/>
                  <w:vAlign w:val="center"/>
                </w:tcPr>
                <w:p w14:paraId="0697C06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 xml:space="preserve">66.67 </w:t>
                  </w:r>
                </w:p>
              </w:tc>
            </w:tr>
            <w:tr w14:paraId="3177D7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0"/>
                  <w:vAlign w:val="center"/>
                </w:tcPr>
                <w:p w14:paraId="053C4DF1">
                  <w:pPr>
                    <w:snapToGrid w:val="0"/>
                    <w:jc w:val="center"/>
                    <w:rPr>
                      <w:rFonts w:hint="default" w:cs="Times New Roman"/>
                      <w:color w:val="auto"/>
                      <w:sz w:val="18"/>
                      <w:szCs w:val="18"/>
                      <w:highlight w:val="none"/>
                      <w:lang w:val="en-US" w:eastAsia="zh-CN"/>
                    </w:rPr>
                  </w:pPr>
                </w:p>
              </w:tc>
              <w:tc>
                <w:tcPr>
                  <w:tcW w:w="948" w:type="pct"/>
                  <w:vMerge w:val="continue"/>
                  <w:noWrap w:val="0"/>
                  <w:vAlign w:val="center"/>
                </w:tcPr>
                <w:p w14:paraId="1A7C7DC4">
                  <w:pPr>
                    <w:snapToGrid w:val="0"/>
                    <w:jc w:val="center"/>
                    <w:rPr>
                      <w:rFonts w:hint="default" w:cs="Times New Roman"/>
                      <w:color w:val="auto"/>
                      <w:sz w:val="18"/>
                      <w:szCs w:val="18"/>
                      <w:highlight w:val="none"/>
                      <w:lang w:val="en-US" w:eastAsia="zh-CN"/>
                    </w:rPr>
                  </w:pPr>
                </w:p>
              </w:tc>
              <w:tc>
                <w:tcPr>
                  <w:tcW w:w="807" w:type="pct"/>
                  <w:noWrap w:val="0"/>
                  <w:vAlign w:val="center"/>
                </w:tcPr>
                <w:p w14:paraId="5B8FFD06">
                  <w:pPr>
                    <w:snapToGrid w:val="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氯化氢</w:t>
                  </w:r>
                </w:p>
              </w:tc>
              <w:tc>
                <w:tcPr>
                  <w:tcW w:w="926" w:type="pct"/>
                  <w:shd w:val="clear" w:color="auto" w:fill="auto"/>
                  <w:noWrap w:val="0"/>
                  <w:vAlign w:val="center"/>
                </w:tcPr>
                <w:p w14:paraId="1F72ED6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0.81</w:t>
                  </w:r>
                </w:p>
              </w:tc>
              <w:tc>
                <w:tcPr>
                  <w:tcW w:w="926" w:type="pct"/>
                  <w:shd w:val="clear" w:color="auto" w:fill="auto"/>
                  <w:noWrap w:val="0"/>
                  <w:vAlign w:val="center"/>
                </w:tcPr>
                <w:p w14:paraId="3A87CE9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0.116</w:t>
                  </w:r>
                </w:p>
              </w:tc>
              <w:tc>
                <w:tcPr>
                  <w:tcW w:w="1017" w:type="pct"/>
                  <w:shd w:val="clear" w:color="auto" w:fill="auto"/>
                  <w:noWrap w:val="0"/>
                  <w:vAlign w:val="center"/>
                </w:tcPr>
                <w:p w14:paraId="32A6BC9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9.67</w:t>
                  </w:r>
                </w:p>
              </w:tc>
            </w:tr>
            <w:tr w14:paraId="253BB4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noWrap w:val="0"/>
                  <w:vAlign w:val="center"/>
                </w:tcPr>
                <w:p w14:paraId="11DBFDFE">
                  <w:pPr>
                    <w:snapToGrid w:val="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14</w:t>
                  </w:r>
                </w:p>
              </w:tc>
              <w:tc>
                <w:tcPr>
                  <w:tcW w:w="948" w:type="pct"/>
                  <w:noWrap w:val="0"/>
                  <w:vAlign w:val="center"/>
                </w:tcPr>
                <w:p w14:paraId="7F74D39B">
                  <w:pPr>
                    <w:snapToGrid w:val="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DA014</w:t>
                  </w:r>
                </w:p>
              </w:tc>
              <w:tc>
                <w:tcPr>
                  <w:tcW w:w="807" w:type="pct"/>
                  <w:noWrap w:val="0"/>
                  <w:vAlign w:val="center"/>
                </w:tcPr>
                <w:p w14:paraId="72D31E43">
                  <w:pPr>
                    <w:snapToGrid w:val="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颗粒物</w:t>
                  </w:r>
                </w:p>
              </w:tc>
              <w:tc>
                <w:tcPr>
                  <w:tcW w:w="926" w:type="pct"/>
                  <w:shd w:val="clear" w:color="auto" w:fill="auto"/>
                  <w:noWrap w:val="0"/>
                  <w:vAlign w:val="center"/>
                </w:tcPr>
                <w:p w14:paraId="7864904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cs="Times New Roman"/>
                      <w:i w:val="0"/>
                      <w:iCs w:val="0"/>
                      <w:color w:val="auto"/>
                      <w:kern w:val="0"/>
                      <w:sz w:val="18"/>
                      <w:szCs w:val="18"/>
                      <w:u w:val="none"/>
                      <w:lang w:val="en-US" w:eastAsia="zh-CN" w:bidi="ar"/>
                    </w:rPr>
                    <w:t>0.37</w:t>
                  </w:r>
                </w:p>
              </w:tc>
              <w:tc>
                <w:tcPr>
                  <w:tcW w:w="926" w:type="pct"/>
                  <w:shd w:val="clear" w:color="auto" w:fill="auto"/>
                  <w:noWrap w:val="0"/>
                  <w:vAlign w:val="center"/>
                </w:tcPr>
                <w:p w14:paraId="05BFFC0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cs="Times New Roman"/>
                      <w:i w:val="0"/>
                      <w:iCs w:val="0"/>
                      <w:color w:val="auto"/>
                      <w:kern w:val="0"/>
                      <w:sz w:val="18"/>
                      <w:szCs w:val="18"/>
                      <w:u w:val="none"/>
                      <w:lang w:val="en-US" w:eastAsia="zh-CN" w:bidi="ar"/>
                    </w:rPr>
                    <w:t>0.053</w:t>
                  </w:r>
                </w:p>
              </w:tc>
              <w:tc>
                <w:tcPr>
                  <w:tcW w:w="1017" w:type="pct"/>
                  <w:shd w:val="clear" w:color="auto" w:fill="auto"/>
                  <w:noWrap w:val="0"/>
                  <w:vAlign w:val="center"/>
                </w:tcPr>
                <w:p w14:paraId="2EA4949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cs="Times New Roman"/>
                      <w:i w:val="0"/>
                      <w:iCs w:val="0"/>
                      <w:color w:val="auto"/>
                      <w:kern w:val="0"/>
                      <w:sz w:val="18"/>
                      <w:szCs w:val="18"/>
                      <w:u w:val="none"/>
                      <w:lang w:val="en-US" w:eastAsia="zh-CN" w:bidi="ar"/>
                    </w:rPr>
                    <w:t>6.62</w:t>
                  </w:r>
                </w:p>
              </w:tc>
            </w:tr>
            <w:tr w14:paraId="1A63DD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noWrap w:val="0"/>
                  <w:vAlign w:val="center"/>
                </w:tcPr>
                <w:p w14:paraId="432A7F74">
                  <w:pPr>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有组织排放总计t/a</w:t>
                  </w:r>
                </w:p>
              </w:tc>
            </w:tr>
            <w:tr w14:paraId="195EEF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30" w:type="pct"/>
                  <w:gridSpan w:val="3"/>
                  <w:vMerge w:val="restart"/>
                  <w:noWrap w:val="0"/>
                  <w:vAlign w:val="center"/>
                </w:tcPr>
                <w:p w14:paraId="48FAFCA3">
                  <w:pPr>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有组织排放</w:t>
                  </w:r>
                </w:p>
              </w:tc>
              <w:tc>
                <w:tcPr>
                  <w:tcW w:w="926" w:type="pct"/>
                  <w:noWrap w:val="0"/>
                  <w:vAlign w:val="center"/>
                </w:tcPr>
                <w:p w14:paraId="23309320">
                  <w:pPr>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1943" w:type="pct"/>
                  <w:gridSpan w:val="2"/>
                  <w:noWrap w:val="0"/>
                  <w:vAlign w:val="center"/>
                </w:tcPr>
                <w:p w14:paraId="7CA889FD">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i w:val="0"/>
                      <w:iCs w:val="0"/>
                      <w:color w:val="auto"/>
                      <w:kern w:val="0"/>
                      <w:sz w:val="18"/>
                      <w:szCs w:val="18"/>
                      <w:u w:val="none"/>
                      <w:lang w:val="en-US" w:eastAsia="zh-CN" w:bidi="ar"/>
                    </w:rPr>
                    <w:t>5.554</w:t>
                  </w:r>
                </w:p>
              </w:tc>
            </w:tr>
            <w:tr w14:paraId="6CC225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30" w:type="pct"/>
                  <w:gridSpan w:val="3"/>
                  <w:vMerge w:val="continue"/>
                  <w:noWrap w:val="0"/>
                  <w:vAlign w:val="center"/>
                </w:tcPr>
                <w:p w14:paraId="4621BD81">
                  <w:pPr>
                    <w:snapToGrid w:val="0"/>
                    <w:jc w:val="center"/>
                    <w:rPr>
                      <w:rFonts w:hint="default" w:ascii="Times New Roman" w:hAnsi="Times New Roman" w:cs="Times New Roman"/>
                      <w:color w:val="auto"/>
                      <w:sz w:val="18"/>
                      <w:szCs w:val="18"/>
                      <w:highlight w:val="none"/>
                    </w:rPr>
                  </w:pPr>
                </w:p>
              </w:tc>
              <w:tc>
                <w:tcPr>
                  <w:tcW w:w="926" w:type="pct"/>
                  <w:shd w:val="clear" w:color="auto" w:fill="auto"/>
                  <w:noWrap w:val="0"/>
                  <w:vAlign w:val="center"/>
                </w:tcPr>
                <w:p w14:paraId="6E845656">
                  <w:pPr>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SO</w:t>
                  </w:r>
                  <w:r>
                    <w:rPr>
                      <w:rFonts w:hint="eastAsia"/>
                      <w:color w:val="auto"/>
                      <w:sz w:val="18"/>
                      <w:szCs w:val="18"/>
                      <w:highlight w:val="none"/>
                      <w:vertAlign w:val="subscript"/>
                      <w:lang w:val="en-US" w:eastAsia="zh-CN"/>
                    </w:rPr>
                    <w:t>2</w:t>
                  </w:r>
                </w:p>
              </w:tc>
              <w:tc>
                <w:tcPr>
                  <w:tcW w:w="1943" w:type="pct"/>
                  <w:gridSpan w:val="2"/>
                  <w:noWrap w:val="0"/>
                  <w:vAlign w:val="center"/>
                </w:tcPr>
                <w:p w14:paraId="2BDB878B">
                  <w:pPr>
                    <w:keepNext w:val="0"/>
                    <w:keepLines w:val="0"/>
                    <w:widowControl/>
                    <w:suppressLineNumbers w:val="0"/>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4.638</w:t>
                  </w:r>
                </w:p>
              </w:tc>
            </w:tr>
            <w:tr w14:paraId="31EFDC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30" w:type="pct"/>
                  <w:gridSpan w:val="3"/>
                  <w:vMerge w:val="continue"/>
                  <w:noWrap w:val="0"/>
                  <w:vAlign w:val="center"/>
                </w:tcPr>
                <w:p w14:paraId="2BDE0935">
                  <w:pPr>
                    <w:snapToGrid w:val="0"/>
                    <w:jc w:val="center"/>
                    <w:rPr>
                      <w:rFonts w:hint="default" w:ascii="Times New Roman" w:hAnsi="Times New Roman" w:cs="Times New Roman"/>
                      <w:color w:val="auto"/>
                      <w:sz w:val="18"/>
                      <w:szCs w:val="18"/>
                      <w:highlight w:val="none"/>
                    </w:rPr>
                  </w:pPr>
                </w:p>
              </w:tc>
              <w:tc>
                <w:tcPr>
                  <w:tcW w:w="926" w:type="pct"/>
                  <w:shd w:val="clear" w:color="auto" w:fill="auto"/>
                  <w:noWrap w:val="0"/>
                  <w:vAlign w:val="center"/>
                </w:tcPr>
                <w:p w14:paraId="70558476">
                  <w:pPr>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NO</w:t>
                  </w:r>
                  <w:r>
                    <w:rPr>
                      <w:rFonts w:hint="eastAsia"/>
                      <w:color w:val="auto"/>
                      <w:sz w:val="18"/>
                      <w:szCs w:val="18"/>
                      <w:highlight w:val="none"/>
                      <w:vertAlign w:val="subscript"/>
                      <w:lang w:val="en-US" w:eastAsia="zh-CN"/>
                    </w:rPr>
                    <w:t>X</w:t>
                  </w:r>
                </w:p>
              </w:tc>
              <w:tc>
                <w:tcPr>
                  <w:tcW w:w="1943" w:type="pct"/>
                  <w:gridSpan w:val="2"/>
                  <w:noWrap w:val="0"/>
                  <w:vAlign w:val="center"/>
                </w:tcPr>
                <w:p w14:paraId="194A8030">
                  <w:pPr>
                    <w:keepNext w:val="0"/>
                    <w:keepLines w:val="0"/>
                    <w:widowControl/>
                    <w:suppressLineNumbers w:val="0"/>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32.071</w:t>
                  </w:r>
                </w:p>
              </w:tc>
            </w:tr>
            <w:tr w14:paraId="09FBDA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30" w:type="pct"/>
                  <w:gridSpan w:val="3"/>
                  <w:vMerge w:val="continue"/>
                  <w:noWrap w:val="0"/>
                  <w:vAlign w:val="center"/>
                </w:tcPr>
                <w:p w14:paraId="282F83FB">
                  <w:pPr>
                    <w:snapToGrid w:val="0"/>
                    <w:jc w:val="center"/>
                    <w:rPr>
                      <w:rFonts w:hint="default" w:ascii="Times New Roman" w:hAnsi="Times New Roman" w:cs="Times New Roman"/>
                      <w:color w:val="auto"/>
                      <w:sz w:val="18"/>
                      <w:szCs w:val="18"/>
                      <w:highlight w:val="none"/>
                    </w:rPr>
                  </w:pPr>
                </w:p>
              </w:tc>
              <w:tc>
                <w:tcPr>
                  <w:tcW w:w="926" w:type="pct"/>
                  <w:shd w:val="clear" w:color="auto" w:fill="auto"/>
                  <w:noWrap w:val="0"/>
                  <w:vAlign w:val="center"/>
                </w:tcPr>
                <w:p w14:paraId="301D4A57">
                  <w:pPr>
                    <w:jc w:val="center"/>
                    <w:rPr>
                      <w:rFonts w:hint="default"/>
                      <w:color w:val="auto"/>
                      <w:sz w:val="18"/>
                      <w:szCs w:val="18"/>
                      <w:highlight w:val="none"/>
                      <w:lang w:val="en-US" w:eastAsia="zh-CN"/>
                    </w:rPr>
                  </w:pPr>
                  <w:r>
                    <w:rPr>
                      <w:rFonts w:hint="eastAsia"/>
                      <w:color w:val="auto"/>
                      <w:sz w:val="18"/>
                      <w:szCs w:val="18"/>
                      <w:highlight w:val="none"/>
                      <w:lang w:val="en-US" w:eastAsia="zh-CN"/>
                    </w:rPr>
                    <w:t>氯化氢</w:t>
                  </w:r>
                </w:p>
              </w:tc>
              <w:tc>
                <w:tcPr>
                  <w:tcW w:w="1943" w:type="pct"/>
                  <w:gridSpan w:val="2"/>
                  <w:noWrap w:val="0"/>
                  <w:vAlign w:val="center"/>
                </w:tcPr>
                <w:p w14:paraId="0478BE28">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kern w:val="0"/>
                      <w:sz w:val="18"/>
                      <w:szCs w:val="18"/>
                      <w:u w:val="none"/>
                      <w:lang w:val="en-US" w:eastAsia="zh-CN" w:bidi="ar"/>
                    </w:rPr>
                    <w:t>2.67</w:t>
                  </w:r>
                </w:p>
              </w:tc>
            </w:tr>
            <w:tr w14:paraId="01AC65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30" w:type="pct"/>
                  <w:gridSpan w:val="3"/>
                  <w:vMerge w:val="continue"/>
                  <w:noWrap w:val="0"/>
                  <w:vAlign w:val="center"/>
                </w:tcPr>
                <w:p w14:paraId="020EB318">
                  <w:pPr>
                    <w:snapToGrid w:val="0"/>
                    <w:jc w:val="center"/>
                    <w:rPr>
                      <w:rFonts w:hint="default" w:ascii="Times New Roman" w:hAnsi="Times New Roman" w:cs="Times New Roman"/>
                      <w:color w:val="auto"/>
                      <w:sz w:val="18"/>
                      <w:szCs w:val="18"/>
                      <w:highlight w:val="none"/>
                    </w:rPr>
                  </w:pPr>
                </w:p>
              </w:tc>
              <w:tc>
                <w:tcPr>
                  <w:tcW w:w="926" w:type="pct"/>
                  <w:shd w:val="clear" w:color="auto" w:fill="auto"/>
                  <w:noWrap w:val="0"/>
                  <w:vAlign w:val="center"/>
                </w:tcPr>
                <w:p w14:paraId="7DA99153">
                  <w:pPr>
                    <w:jc w:val="center"/>
                    <w:rPr>
                      <w:rFonts w:hint="default"/>
                      <w:color w:val="auto"/>
                      <w:sz w:val="18"/>
                      <w:szCs w:val="18"/>
                      <w:highlight w:val="none"/>
                      <w:lang w:val="en-US" w:eastAsia="zh-CN"/>
                    </w:rPr>
                  </w:pPr>
                  <w:r>
                    <w:rPr>
                      <w:rFonts w:hint="eastAsia"/>
                      <w:color w:val="auto"/>
                      <w:sz w:val="18"/>
                      <w:szCs w:val="18"/>
                      <w:highlight w:val="none"/>
                      <w:lang w:val="en-US" w:eastAsia="zh-CN"/>
                    </w:rPr>
                    <w:t>硫酸雾</w:t>
                  </w:r>
                </w:p>
              </w:tc>
              <w:tc>
                <w:tcPr>
                  <w:tcW w:w="1943" w:type="pct"/>
                  <w:gridSpan w:val="2"/>
                  <w:noWrap w:val="0"/>
                  <w:vAlign w:val="center"/>
                </w:tcPr>
                <w:p w14:paraId="3EDC78CF">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kern w:val="0"/>
                      <w:sz w:val="18"/>
                      <w:szCs w:val="18"/>
                      <w:u w:val="none"/>
                      <w:lang w:val="en-US" w:eastAsia="zh-CN" w:bidi="ar"/>
                    </w:rPr>
                    <w:t>0.04</w:t>
                  </w:r>
                </w:p>
              </w:tc>
            </w:tr>
            <w:tr w14:paraId="673BDD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30" w:type="pct"/>
                  <w:gridSpan w:val="3"/>
                  <w:vMerge w:val="continue"/>
                  <w:noWrap w:val="0"/>
                  <w:vAlign w:val="center"/>
                </w:tcPr>
                <w:p w14:paraId="62E509BB">
                  <w:pPr>
                    <w:snapToGrid w:val="0"/>
                    <w:jc w:val="center"/>
                    <w:rPr>
                      <w:rFonts w:hint="default" w:ascii="Times New Roman" w:hAnsi="Times New Roman" w:cs="Times New Roman"/>
                      <w:color w:val="auto"/>
                      <w:sz w:val="18"/>
                      <w:szCs w:val="18"/>
                      <w:highlight w:val="none"/>
                    </w:rPr>
                  </w:pPr>
                </w:p>
              </w:tc>
              <w:tc>
                <w:tcPr>
                  <w:tcW w:w="926" w:type="pct"/>
                  <w:shd w:val="clear" w:color="auto" w:fill="auto"/>
                  <w:noWrap w:val="0"/>
                  <w:vAlign w:val="center"/>
                </w:tcPr>
                <w:p w14:paraId="0BB6D2A5">
                  <w:pPr>
                    <w:jc w:val="center"/>
                    <w:rPr>
                      <w:rFonts w:hint="default"/>
                      <w:color w:val="auto"/>
                      <w:sz w:val="18"/>
                      <w:szCs w:val="18"/>
                      <w:highlight w:val="none"/>
                      <w:lang w:val="en-US" w:eastAsia="zh-CN"/>
                    </w:rPr>
                  </w:pPr>
                  <w:r>
                    <w:rPr>
                      <w:rFonts w:hint="eastAsia"/>
                      <w:color w:val="auto"/>
                      <w:sz w:val="18"/>
                      <w:szCs w:val="18"/>
                      <w:highlight w:val="none"/>
                      <w:lang w:val="en-US" w:eastAsia="zh-CN"/>
                    </w:rPr>
                    <w:t>油雾</w:t>
                  </w:r>
                </w:p>
              </w:tc>
              <w:tc>
                <w:tcPr>
                  <w:tcW w:w="1943" w:type="pct"/>
                  <w:gridSpan w:val="2"/>
                  <w:noWrap w:val="0"/>
                  <w:vAlign w:val="center"/>
                </w:tcPr>
                <w:p w14:paraId="37A1352A">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kern w:val="0"/>
                      <w:sz w:val="18"/>
                      <w:szCs w:val="18"/>
                      <w:u w:val="none"/>
                      <w:lang w:val="en-US" w:eastAsia="zh-CN" w:bidi="ar"/>
                    </w:rPr>
                    <w:t>1.4</w:t>
                  </w:r>
                </w:p>
              </w:tc>
            </w:tr>
            <w:tr w14:paraId="039415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30" w:type="pct"/>
                  <w:gridSpan w:val="3"/>
                  <w:vMerge w:val="continue"/>
                  <w:noWrap w:val="0"/>
                  <w:vAlign w:val="center"/>
                </w:tcPr>
                <w:p w14:paraId="00C89F4A">
                  <w:pPr>
                    <w:snapToGrid w:val="0"/>
                    <w:jc w:val="center"/>
                    <w:rPr>
                      <w:rFonts w:hint="default" w:ascii="Times New Roman" w:hAnsi="Times New Roman" w:cs="Times New Roman"/>
                      <w:color w:val="auto"/>
                      <w:sz w:val="18"/>
                      <w:szCs w:val="18"/>
                      <w:highlight w:val="none"/>
                    </w:rPr>
                  </w:pPr>
                </w:p>
              </w:tc>
              <w:tc>
                <w:tcPr>
                  <w:tcW w:w="926" w:type="pct"/>
                  <w:shd w:val="clear" w:color="auto" w:fill="auto"/>
                  <w:noWrap w:val="0"/>
                  <w:vAlign w:val="center"/>
                </w:tcPr>
                <w:p w14:paraId="23829CC3">
                  <w:pPr>
                    <w:jc w:val="center"/>
                    <w:rPr>
                      <w:rFonts w:hint="eastAsia"/>
                      <w:color w:val="auto"/>
                      <w:sz w:val="18"/>
                      <w:szCs w:val="18"/>
                      <w:highlight w:val="none"/>
                      <w:lang w:val="en-US" w:eastAsia="zh-CN"/>
                    </w:rPr>
                  </w:pPr>
                  <w:r>
                    <w:rPr>
                      <w:rFonts w:hint="eastAsia"/>
                      <w:color w:val="auto"/>
                      <w:sz w:val="18"/>
                      <w:szCs w:val="18"/>
                      <w:highlight w:val="none"/>
                      <w:lang w:val="en-US" w:eastAsia="zh-CN"/>
                    </w:rPr>
                    <w:t>碱雾</w:t>
                  </w:r>
                </w:p>
              </w:tc>
              <w:tc>
                <w:tcPr>
                  <w:tcW w:w="1943" w:type="pct"/>
                  <w:gridSpan w:val="2"/>
                  <w:noWrap w:val="0"/>
                  <w:vAlign w:val="center"/>
                </w:tcPr>
                <w:p w14:paraId="2CBF04E1">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eastAsia" w:ascii="Times New Roman" w:hAnsi="Times New Roman" w:eastAsia="宋体" w:cs="Times New Roman"/>
                      <w:i w:val="0"/>
                      <w:iCs w:val="0"/>
                      <w:color w:val="auto"/>
                      <w:kern w:val="0"/>
                      <w:sz w:val="18"/>
                      <w:szCs w:val="18"/>
                      <w:u w:val="none"/>
                      <w:lang w:val="en-US" w:eastAsia="zh-CN" w:bidi="ar"/>
                    </w:rPr>
                    <w:t>0.62</w:t>
                  </w:r>
                </w:p>
              </w:tc>
            </w:tr>
          </w:tbl>
          <w:p w14:paraId="70780C58">
            <w:pPr>
              <w:spacing w:line="360" w:lineRule="auto"/>
              <w:jc w:val="center"/>
              <w:rPr>
                <w:rFonts w:hint="eastAsia" w:ascii="Times New Roman" w:hAnsi="Times New Roman" w:eastAsia="黑体" w:cs="Times New Roman"/>
                <w:bCs/>
                <w:color w:val="auto"/>
                <w:spacing w:val="2"/>
                <w:sz w:val="21"/>
                <w:szCs w:val="21"/>
                <w:highlight w:val="none"/>
              </w:rPr>
            </w:pPr>
            <w:r>
              <w:rPr>
                <w:rFonts w:hint="eastAsia" w:ascii="Times New Roman" w:hAnsi="Times New Roman" w:eastAsia="黑体" w:cs="Times New Roman"/>
                <w:bCs/>
                <w:color w:val="auto"/>
                <w:spacing w:val="2"/>
                <w:sz w:val="21"/>
                <w:szCs w:val="21"/>
                <w:highlight w:val="none"/>
              </w:rPr>
              <w:t>表4-</w:t>
            </w:r>
            <w:r>
              <w:rPr>
                <w:rFonts w:hint="eastAsia" w:eastAsia="黑体" w:cs="Times New Roman"/>
                <w:bCs/>
                <w:color w:val="auto"/>
                <w:spacing w:val="2"/>
                <w:sz w:val="21"/>
                <w:szCs w:val="21"/>
                <w:highlight w:val="none"/>
                <w:lang w:val="en-US" w:eastAsia="zh-CN"/>
              </w:rPr>
              <w:t xml:space="preserve">12  </w:t>
            </w:r>
            <w:r>
              <w:rPr>
                <w:rFonts w:hint="eastAsia" w:ascii="Times New Roman" w:hAnsi="Times New Roman" w:eastAsia="黑体" w:cs="Times New Roman"/>
                <w:bCs/>
                <w:color w:val="auto"/>
                <w:spacing w:val="2"/>
                <w:sz w:val="21"/>
                <w:szCs w:val="21"/>
                <w:highlight w:val="none"/>
              </w:rPr>
              <w:t>大气污染物无组织排放量核算</w:t>
            </w:r>
          </w:p>
          <w:tbl>
            <w:tblPr>
              <w:tblStyle w:val="33"/>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63"/>
              <w:gridCol w:w="850"/>
              <w:gridCol w:w="1253"/>
              <w:gridCol w:w="1567"/>
              <w:gridCol w:w="2195"/>
              <w:gridCol w:w="1198"/>
              <w:gridCol w:w="776"/>
            </w:tblGrid>
            <w:tr w14:paraId="615ECB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279" w:type="pct"/>
                  <w:vMerge w:val="restart"/>
                  <w:noWrap w:val="0"/>
                  <w:vAlign w:val="center"/>
                </w:tcPr>
                <w:p w14:paraId="3F09F4EF">
                  <w:pPr>
                    <w:pStyle w:val="69"/>
                    <w:spacing w:before="24" w:after="24" w:line="240" w:lineRule="auto"/>
                    <w:jc w:val="center"/>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序号</w:t>
                  </w:r>
                </w:p>
              </w:tc>
              <w:tc>
                <w:tcPr>
                  <w:tcW w:w="512" w:type="pct"/>
                  <w:vMerge w:val="restart"/>
                  <w:noWrap w:val="0"/>
                  <w:vAlign w:val="center"/>
                </w:tcPr>
                <w:p w14:paraId="1E1E13A5">
                  <w:pPr>
                    <w:pStyle w:val="69"/>
                    <w:spacing w:before="24" w:after="24" w:line="240" w:lineRule="auto"/>
                    <w:jc w:val="center"/>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排放口</w:t>
                  </w:r>
                </w:p>
                <w:p w14:paraId="7C9F8585">
                  <w:pPr>
                    <w:pStyle w:val="69"/>
                    <w:spacing w:before="24" w:after="24" w:line="240" w:lineRule="auto"/>
                    <w:jc w:val="center"/>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编号</w:t>
                  </w:r>
                </w:p>
              </w:tc>
              <w:tc>
                <w:tcPr>
                  <w:tcW w:w="754" w:type="pct"/>
                  <w:vMerge w:val="restart"/>
                  <w:noWrap w:val="0"/>
                  <w:vAlign w:val="center"/>
                </w:tcPr>
                <w:p w14:paraId="18DB6B2E">
                  <w:pPr>
                    <w:pStyle w:val="69"/>
                    <w:spacing w:before="24" w:after="24" w:line="240" w:lineRule="auto"/>
                    <w:jc w:val="center"/>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产污环节</w:t>
                  </w:r>
                </w:p>
              </w:tc>
              <w:tc>
                <w:tcPr>
                  <w:tcW w:w="943" w:type="pct"/>
                  <w:vMerge w:val="restart"/>
                  <w:noWrap w:val="0"/>
                  <w:vAlign w:val="center"/>
                </w:tcPr>
                <w:p w14:paraId="0CB3FF41">
                  <w:pPr>
                    <w:pStyle w:val="69"/>
                    <w:spacing w:before="24" w:after="24" w:line="240" w:lineRule="auto"/>
                    <w:jc w:val="center"/>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污染物</w:t>
                  </w:r>
                </w:p>
              </w:tc>
              <w:tc>
                <w:tcPr>
                  <w:tcW w:w="2042" w:type="pct"/>
                  <w:gridSpan w:val="2"/>
                  <w:noWrap w:val="0"/>
                  <w:vAlign w:val="center"/>
                </w:tcPr>
                <w:p w14:paraId="3D34049F">
                  <w:pPr>
                    <w:pStyle w:val="69"/>
                    <w:spacing w:before="24" w:after="24" w:line="240" w:lineRule="auto"/>
                    <w:jc w:val="center"/>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国家或地方污染物排放标准</w:t>
                  </w:r>
                </w:p>
              </w:tc>
              <w:tc>
                <w:tcPr>
                  <w:tcW w:w="467" w:type="pct"/>
                  <w:vMerge w:val="restart"/>
                  <w:noWrap w:val="0"/>
                  <w:vAlign w:val="center"/>
                </w:tcPr>
                <w:p w14:paraId="2F59EC4C">
                  <w:pPr>
                    <w:pStyle w:val="69"/>
                    <w:spacing w:before="24" w:after="24" w:line="240" w:lineRule="auto"/>
                    <w:jc w:val="center"/>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年排放量t/a</w:t>
                  </w:r>
                </w:p>
              </w:tc>
            </w:tr>
            <w:tr w14:paraId="0490F8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279" w:type="pct"/>
                  <w:vMerge w:val="continue"/>
                  <w:noWrap w:val="0"/>
                  <w:vAlign w:val="center"/>
                </w:tcPr>
                <w:p w14:paraId="62845A4E">
                  <w:pPr>
                    <w:pStyle w:val="69"/>
                    <w:spacing w:before="24" w:after="24" w:line="240" w:lineRule="auto"/>
                    <w:jc w:val="center"/>
                    <w:rPr>
                      <w:rFonts w:hint="default" w:ascii="Times New Roman" w:hAnsi="Times New Roman" w:cs="Times New Roman"/>
                      <w:b/>
                      <w:color w:val="auto"/>
                      <w:sz w:val="18"/>
                      <w:szCs w:val="18"/>
                      <w:highlight w:val="none"/>
                    </w:rPr>
                  </w:pPr>
                </w:p>
              </w:tc>
              <w:tc>
                <w:tcPr>
                  <w:tcW w:w="512" w:type="pct"/>
                  <w:vMerge w:val="continue"/>
                  <w:noWrap w:val="0"/>
                  <w:vAlign w:val="center"/>
                </w:tcPr>
                <w:p w14:paraId="408FC0BE">
                  <w:pPr>
                    <w:pStyle w:val="69"/>
                    <w:spacing w:before="24" w:after="24" w:line="240" w:lineRule="auto"/>
                    <w:jc w:val="center"/>
                    <w:rPr>
                      <w:rFonts w:hint="default" w:ascii="Times New Roman" w:hAnsi="Times New Roman" w:cs="Times New Roman"/>
                      <w:b/>
                      <w:color w:val="auto"/>
                      <w:sz w:val="18"/>
                      <w:szCs w:val="18"/>
                      <w:highlight w:val="none"/>
                    </w:rPr>
                  </w:pPr>
                </w:p>
              </w:tc>
              <w:tc>
                <w:tcPr>
                  <w:tcW w:w="754" w:type="pct"/>
                  <w:vMerge w:val="continue"/>
                  <w:noWrap w:val="0"/>
                  <w:vAlign w:val="center"/>
                </w:tcPr>
                <w:p w14:paraId="207C1B90">
                  <w:pPr>
                    <w:pStyle w:val="69"/>
                    <w:spacing w:before="24" w:after="24" w:line="240" w:lineRule="auto"/>
                    <w:jc w:val="center"/>
                    <w:rPr>
                      <w:rFonts w:hint="default" w:ascii="Times New Roman" w:hAnsi="Times New Roman" w:cs="Times New Roman"/>
                      <w:b/>
                      <w:color w:val="auto"/>
                      <w:sz w:val="18"/>
                      <w:szCs w:val="18"/>
                      <w:highlight w:val="none"/>
                    </w:rPr>
                  </w:pPr>
                </w:p>
              </w:tc>
              <w:tc>
                <w:tcPr>
                  <w:tcW w:w="943" w:type="pct"/>
                  <w:vMerge w:val="continue"/>
                  <w:noWrap w:val="0"/>
                  <w:vAlign w:val="center"/>
                </w:tcPr>
                <w:p w14:paraId="2A526D9D">
                  <w:pPr>
                    <w:pStyle w:val="69"/>
                    <w:spacing w:before="24" w:after="24" w:line="240" w:lineRule="auto"/>
                    <w:jc w:val="center"/>
                    <w:rPr>
                      <w:rFonts w:hint="default" w:ascii="Times New Roman" w:hAnsi="Times New Roman" w:cs="Times New Roman"/>
                      <w:b/>
                      <w:color w:val="auto"/>
                      <w:sz w:val="18"/>
                      <w:szCs w:val="18"/>
                      <w:highlight w:val="none"/>
                    </w:rPr>
                  </w:pPr>
                </w:p>
              </w:tc>
              <w:tc>
                <w:tcPr>
                  <w:tcW w:w="1321" w:type="pct"/>
                  <w:noWrap w:val="0"/>
                  <w:vAlign w:val="center"/>
                </w:tcPr>
                <w:p w14:paraId="244C5735">
                  <w:pPr>
                    <w:pStyle w:val="69"/>
                    <w:spacing w:before="24" w:after="24" w:line="240" w:lineRule="auto"/>
                    <w:jc w:val="center"/>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标准名称</w:t>
                  </w:r>
                </w:p>
              </w:tc>
              <w:tc>
                <w:tcPr>
                  <w:tcW w:w="721" w:type="pct"/>
                  <w:noWrap w:val="0"/>
                  <w:vAlign w:val="center"/>
                </w:tcPr>
                <w:p w14:paraId="72C48AB6">
                  <w:pPr>
                    <w:pStyle w:val="69"/>
                    <w:spacing w:before="24" w:after="24" w:line="240" w:lineRule="auto"/>
                    <w:jc w:val="center"/>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浓度限值/（mg/m</w:t>
                  </w:r>
                  <w:r>
                    <w:rPr>
                      <w:rFonts w:hint="default" w:ascii="Times New Roman" w:hAnsi="Times New Roman" w:cs="Times New Roman"/>
                      <w:b/>
                      <w:color w:val="auto"/>
                      <w:sz w:val="18"/>
                      <w:szCs w:val="18"/>
                      <w:highlight w:val="none"/>
                      <w:vertAlign w:val="superscript"/>
                    </w:rPr>
                    <w:t>3</w:t>
                  </w:r>
                  <w:r>
                    <w:rPr>
                      <w:rFonts w:hint="default" w:ascii="Times New Roman" w:hAnsi="Times New Roman" w:cs="Times New Roman"/>
                      <w:b/>
                      <w:color w:val="auto"/>
                      <w:sz w:val="18"/>
                      <w:szCs w:val="18"/>
                      <w:highlight w:val="none"/>
                    </w:rPr>
                    <w:t>）</w:t>
                  </w:r>
                </w:p>
              </w:tc>
              <w:tc>
                <w:tcPr>
                  <w:tcW w:w="467" w:type="pct"/>
                  <w:vMerge w:val="continue"/>
                  <w:noWrap w:val="0"/>
                  <w:vAlign w:val="center"/>
                </w:tcPr>
                <w:p w14:paraId="2F8D7C83">
                  <w:pPr>
                    <w:pStyle w:val="69"/>
                    <w:spacing w:before="24" w:after="24" w:line="240" w:lineRule="auto"/>
                    <w:jc w:val="center"/>
                    <w:rPr>
                      <w:rFonts w:hint="default" w:ascii="Times New Roman" w:hAnsi="Times New Roman" w:cs="Times New Roman"/>
                      <w:color w:val="auto"/>
                      <w:sz w:val="18"/>
                      <w:szCs w:val="18"/>
                      <w:highlight w:val="none"/>
                    </w:rPr>
                  </w:pPr>
                </w:p>
              </w:tc>
            </w:tr>
            <w:tr w14:paraId="3DC938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279" w:type="pct"/>
                  <w:vMerge w:val="restart"/>
                  <w:noWrap w:val="0"/>
                  <w:vAlign w:val="center"/>
                </w:tcPr>
                <w:p w14:paraId="186F88B3">
                  <w:pPr>
                    <w:pStyle w:val="69"/>
                    <w:spacing w:before="24" w:after="24" w:line="240" w:lineRule="auto"/>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w:t>
                  </w:r>
                </w:p>
              </w:tc>
              <w:tc>
                <w:tcPr>
                  <w:tcW w:w="512" w:type="pct"/>
                  <w:vMerge w:val="restart"/>
                  <w:noWrap w:val="0"/>
                  <w:vAlign w:val="center"/>
                </w:tcPr>
                <w:p w14:paraId="23963FD8">
                  <w:pPr>
                    <w:pStyle w:val="69"/>
                    <w:spacing w:before="24" w:after="24" w:line="240" w:lineRule="auto"/>
                    <w:jc w:val="center"/>
                    <w:rPr>
                      <w:rFonts w:hint="default" w:ascii="Times New Roman" w:hAnsi="Times New Roman" w:cs="Times New Roman"/>
                      <w:color w:val="auto"/>
                      <w:sz w:val="18"/>
                      <w:szCs w:val="18"/>
                      <w:highlight w:val="none"/>
                    </w:rPr>
                  </w:pPr>
                  <w:r>
                    <w:rPr>
                      <w:rFonts w:hint="eastAsia" w:ascii="Times New Roman" w:cs="Times New Roman"/>
                      <w:color w:val="auto"/>
                      <w:sz w:val="18"/>
                      <w:szCs w:val="18"/>
                      <w:highlight w:val="none"/>
                      <w:lang w:val="en-US" w:eastAsia="zh-CN"/>
                    </w:rPr>
                    <w:t>硅钢</w:t>
                  </w:r>
                  <w:r>
                    <w:rPr>
                      <w:rFonts w:hint="default" w:ascii="Times New Roman" w:hAnsi="Times New Roman" w:cs="Times New Roman"/>
                      <w:color w:val="auto"/>
                      <w:sz w:val="18"/>
                      <w:szCs w:val="18"/>
                      <w:highlight w:val="none"/>
                    </w:rPr>
                    <w:t>车间</w:t>
                  </w:r>
                </w:p>
              </w:tc>
              <w:tc>
                <w:tcPr>
                  <w:tcW w:w="754" w:type="pct"/>
                  <w:vMerge w:val="restart"/>
                  <w:noWrap w:val="0"/>
                  <w:vAlign w:val="center"/>
                </w:tcPr>
                <w:p w14:paraId="470CF068">
                  <w:pPr>
                    <w:pStyle w:val="69"/>
                    <w:spacing w:before="24" w:after="24"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焊接、未被收集的颗粒物、氯化氢、硫酸</w:t>
                  </w:r>
                </w:p>
              </w:tc>
              <w:tc>
                <w:tcPr>
                  <w:tcW w:w="943" w:type="pct"/>
                  <w:noWrap w:val="0"/>
                  <w:vAlign w:val="center"/>
                </w:tcPr>
                <w:p w14:paraId="46A58551">
                  <w:pPr>
                    <w:pStyle w:val="69"/>
                    <w:spacing w:before="24" w:after="24" w:line="240" w:lineRule="auto"/>
                    <w:jc w:val="center"/>
                    <w:rPr>
                      <w:rFonts w:hint="eastAsia" w:ascii="Times New Roman" w:hAnsi="Times New Roman" w:eastAsia="宋体" w:cs="Times New Roman"/>
                      <w:color w:val="auto"/>
                      <w:sz w:val="18"/>
                      <w:szCs w:val="18"/>
                      <w:highlight w:val="none"/>
                      <w:lang w:eastAsia="zh-CN"/>
                    </w:rPr>
                  </w:pPr>
                  <w:r>
                    <w:rPr>
                      <w:rFonts w:hint="eastAsia" w:ascii="Times New Roman" w:hAnsi="Times New Roman" w:cs="Times New Roman"/>
                      <w:color w:val="auto"/>
                      <w:sz w:val="18"/>
                      <w:szCs w:val="18"/>
                      <w:highlight w:val="none"/>
                      <w:lang w:val="en-US" w:eastAsia="zh-CN"/>
                    </w:rPr>
                    <w:t>颗粒物</w:t>
                  </w:r>
                </w:p>
              </w:tc>
              <w:tc>
                <w:tcPr>
                  <w:tcW w:w="1321" w:type="pct"/>
                  <w:vMerge w:val="restart"/>
                  <w:noWrap w:val="0"/>
                  <w:vAlign w:val="center"/>
                </w:tcPr>
                <w:p w14:paraId="5A2DDD15">
                  <w:pPr>
                    <w:jc w:val="both"/>
                    <w:rPr>
                      <w:rFonts w:hint="default" w:ascii="Times New Roman" w:hAnsi="Times New Roman" w:cs="Times New Roman"/>
                      <w:bCs/>
                      <w:color w:val="auto"/>
                      <w:sz w:val="18"/>
                      <w:szCs w:val="18"/>
                      <w:highlight w:val="none"/>
                    </w:rPr>
                  </w:pPr>
                  <w:r>
                    <w:rPr>
                      <w:rFonts w:hint="eastAsia" w:eastAsia="宋体" w:cs="Times New Roman"/>
                      <w:color w:val="auto"/>
                      <w:kern w:val="2"/>
                      <w:sz w:val="18"/>
                      <w:szCs w:val="18"/>
                      <w:lang w:val="en-US" w:eastAsia="zh-CN" w:bidi="ar-SA"/>
                    </w:rPr>
                    <w:t>《</w:t>
                  </w:r>
                  <w:r>
                    <w:rPr>
                      <w:rFonts w:hint="eastAsia" w:cs="Times New Roman"/>
                      <w:color w:val="auto"/>
                      <w:kern w:val="2"/>
                      <w:sz w:val="18"/>
                      <w:szCs w:val="18"/>
                      <w:lang w:val="en-US" w:eastAsia="zh-CN" w:bidi="ar-SA"/>
                    </w:rPr>
                    <w:t>轧钢</w:t>
                  </w:r>
                  <w:r>
                    <w:rPr>
                      <w:rFonts w:hint="eastAsia" w:eastAsia="宋体" w:cs="Times New Roman"/>
                      <w:color w:val="auto"/>
                      <w:kern w:val="2"/>
                      <w:sz w:val="18"/>
                      <w:szCs w:val="18"/>
                      <w:lang w:val="en-US" w:eastAsia="zh-CN" w:bidi="ar-SA"/>
                    </w:rPr>
                    <w:t>工业大气污染物排放标准》（GB2866</w:t>
                  </w:r>
                  <w:r>
                    <w:rPr>
                      <w:rFonts w:hint="eastAsia" w:cs="Times New Roman"/>
                      <w:color w:val="auto"/>
                      <w:kern w:val="2"/>
                      <w:sz w:val="18"/>
                      <w:szCs w:val="18"/>
                      <w:lang w:val="en-US" w:eastAsia="zh-CN" w:bidi="ar-SA"/>
                    </w:rPr>
                    <w:t>5</w:t>
                  </w:r>
                  <w:r>
                    <w:rPr>
                      <w:rFonts w:hint="eastAsia" w:eastAsia="宋体" w:cs="Times New Roman"/>
                      <w:color w:val="auto"/>
                      <w:kern w:val="2"/>
                      <w:sz w:val="18"/>
                      <w:szCs w:val="18"/>
                      <w:lang w:val="en-US" w:eastAsia="zh-CN" w:bidi="ar-SA"/>
                    </w:rPr>
                    <w:t>-2012）</w:t>
                  </w:r>
                  <w:r>
                    <w:rPr>
                      <w:rFonts w:hint="eastAsia" w:cs="Times New Roman"/>
                      <w:color w:val="auto"/>
                      <w:kern w:val="2"/>
                      <w:sz w:val="18"/>
                      <w:szCs w:val="18"/>
                      <w:lang w:val="en-US" w:eastAsia="zh-CN" w:bidi="ar-SA"/>
                    </w:rPr>
                    <w:t>及其修改单</w:t>
                  </w:r>
                  <w:r>
                    <w:rPr>
                      <w:rFonts w:hint="eastAsia" w:eastAsia="宋体" w:cs="Times New Roman"/>
                      <w:color w:val="auto"/>
                      <w:kern w:val="2"/>
                      <w:sz w:val="18"/>
                      <w:szCs w:val="18"/>
                      <w:lang w:val="en-US" w:eastAsia="zh-CN" w:bidi="ar-SA"/>
                    </w:rPr>
                    <w:t>表</w:t>
                  </w:r>
                  <w:r>
                    <w:rPr>
                      <w:rFonts w:hint="eastAsia" w:cs="Times New Roman"/>
                      <w:color w:val="auto"/>
                      <w:kern w:val="2"/>
                      <w:sz w:val="18"/>
                      <w:szCs w:val="18"/>
                      <w:lang w:val="en-US" w:eastAsia="zh-CN" w:bidi="ar-SA"/>
                    </w:rPr>
                    <w:t>4</w:t>
                  </w:r>
                </w:p>
              </w:tc>
              <w:tc>
                <w:tcPr>
                  <w:tcW w:w="721" w:type="pct"/>
                  <w:noWrap w:val="0"/>
                  <w:vAlign w:val="center"/>
                </w:tcPr>
                <w:p w14:paraId="2B7401D2">
                  <w:pPr>
                    <w:pStyle w:val="69"/>
                    <w:spacing w:before="24" w:after="24"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5</w:t>
                  </w:r>
                </w:p>
              </w:tc>
              <w:tc>
                <w:tcPr>
                  <w:tcW w:w="467" w:type="pct"/>
                  <w:noWrap w:val="0"/>
                  <w:vAlign w:val="center"/>
                </w:tcPr>
                <w:p w14:paraId="1B5BBFB3">
                  <w:pPr>
                    <w:pStyle w:val="69"/>
                    <w:spacing w:before="24" w:after="24"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2.87</w:t>
                  </w:r>
                </w:p>
              </w:tc>
            </w:tr>
            <w:tr w14:paraId="240488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279" w:type="pct"/>
                  <w:vMerge w:val="continue"/>
                  <w:noWrap w:val="0"/>
                  <w:vAlign w:val="center"/>
                </w:tcPr>
                <w:p w14:paraId="0EC0A5CB">
                  <w:pPr>
                    <w:pStyle w:val="69"/>
                    <w:spacing w:before="24" w:after="24" w:line="240" w:lineRule="auto"/>
                    <w:jc w:val="center"/>
                    <w:rPr>
                      <w:rFonts w:hint="default" w:ascii="Times New Roman" w:hAnsi="Times New Roman" w:cs="Times New Roman"/>
                      <w:color w:val="auto"/>
                      <w:sz w:val="18"/>
                      <w:szCs w:val="18"/>
                      <w:highlight w:val="none"/>
                    </w:rPr>
                  </w:pPr>
                </w:p>
              </w:tc>
              <w:tc>
                <w:tcPr>
                  <w:tcW w:w="512" w:type="pct"/>
                  <w:vMerge w:val="continue"/>
                  <w:noWrap w:val="0"/>
                  <w:vAlign w:val="center"/>
                </w:tcPr>
                <w:p w14:paraId="2C6D1EF4">
                  <w:pPr>
                    <w:pStyle w:val="69"/>
                    <w:spacing w:before="24" w:after="24" w:line="240" w:lineRule="auto"/>
                    <w:jc w:val="center"/>
                    <w:rPr>
                      <w:rFonts w:hint="default" w:ascii="Times New Roman" w:hAnsi="Times New Roman" w:cs="Times New Roman"/>
                      <w:color w:val="auto"/>
                      <w:sz w:val="18"/>
                      <w:szCs w:val="18"/>
                      <w:highlight w:val="none"/>
                    </w:rPr>
                  </w:pPr>
                </w:p>
              </w:tc>
              <w:tc>
                <w:tcPr>
                  <w:tcW w:w="754" w:type="pct"/>
                  <w:vMerge w:val="continue"/>
                  <w:noWrap w:val="0"/>
                  <w:vAlign w:val="center"/>
                </w:tcPr>
                <w:p w14:paraId="2CECF514">
                  <w:pPr>
                    <w:pStyle w:val="69"/>
                    <w:spacing w:before="24" w:after="24" w:line="240" w:lineRule="auto"/>
                    <w:jc w:val="center"/>
                    <w:rPr>
                      <w:rFonts w:hint="eastAsia" w:ascii="Times New Roman" w:cs="Times New Roman"/>
                      <w:color w:val="auto"/>
                      <w:sz w:val="18"/>
                      <w:szCs w:val="18"/>
                      <w:highlight w:val="none"/>
                      <w:lang w:val="en-US" w:eastAsia="zh-CN"/>
                    </w:rPr>
                  </w:pPr>
                </w:p>
              </w:tc>
              <w:tc>
                <w:tcPr>
                  <w:tcW w:w="943" w:type="pct"/>
                  <w:shd w:val="clear" w:color="auto" w:fill="auto"/>
                  <w:noWrap w:val="0"/>
                  <w:vAlign w:val="center"/>
                </w:tcPr>
                <w:p w14:paraId="11F371C7">
                  <w:pPr>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氯化氢</w:t>
                  </w:r>
                </w:p>
              </w:tc>
              <w:tc>
                <w:tcPr>
                  <w:tcW w:w="1321" w:type="pct"/>
                  <w:vMerge w:val="continue"/>
                  <w:noWrap w:val="0"/>
                  <w:vAlign w:val="center"/>
                </w:tcPr>
                <w:p w14:paraId="5CA74583">
                  <w:pPr>
                    <w:jc w:val="left"/>
                    <w:rPr>
                      <w:rFonts w:hint="eastAsia" w:ascii="Times New Roman" w:hAnsi="Times New Roman"/>
                      <w:color w:val="auto"/>
                      <w:sz w:val="18"/>
                      <w:szCs w:val="18"/>
                      <w:highlight w:val="none"/>
                    </w:rPr>
                  </w:pPr>
                </w:p>
              </w:tc>
              <w:tc>
                <w:tcPr>
                  <w:tcW w:w="721" w:type="pct"/>
                  <w:noWrap w:val="0"/>
                  <w:vAlign w:val="center"/>
                </w:tcPr>
                <w:p w14:paraId="3FBA901C">
                  <w:pPr>
                    <w:pStyle w:val="69"/>
                    <w:spacing w:before="24" w:after="24"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0.2</w:t>
                  </w:r>
                </w:p>
              </w:tc>
              <w:tc>
                <w:tcPr>
                  <w:tcW w:w="467" w:type="pct"/>
                  <w:noWrap w:val="0"/>
                  <w:vAlign w:val="center"/>
                </w:tcPr>
                <w:p w14:paraId="4F8018FE">
                  <w:pPr>
                    <w:pStyle w:val="69"/>
                    <w:spacing w:before="24" w:after="24"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1.96</w:t>
                  </w:r>
                </w:p>
              </w:tc>
            </w:tr>
            <w:tr w14:paraId="1BCDE6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279" w:type="pct"/>
                  <w:vMerge w:val="continue"/>
                  <w:noWrap w:val="0"/>
                  <w:vAlign w:val="center"/>
                </w:tcPr>
                <w:p w14:paraId="3521CD01">
                  <w:pPr>
                    <w:pStyle w:val="69"/>
                    <w:spacing w:before="24" w:after="24" w:line="240" w:lineRule="auto"/>
                    <w:jc w:val="center"/>
                    <w:rPr>
                      <w:rFonts w:hint="default" w:ascii="Times New Roman" w:hAnsi="Times New Roman" w:cs="Times New Roman"/>
                      <w:color w:val="auto"/>
                      <w:sz w:val="18"/>
                      <w:szCs w:val="18"/>
                      <w:highlight w:val="none"/>
                    </w:rPr>
                  </w:pPr>
                </w:p>
              </w:tc>
              <w:tc>
                <w:tcPr>
                  <w:tcW w:w="512" w:type="pct"/>
                  <w:vMerge w:val="continue"/>
                  <w:noWrap w:val="0"/>
                  <w:vAlign w:val="center"/>
                </w:tcPr>
                <w:p w14:paraId="252C782C">
                  <w:pPr>
                    <w:pStyle w:val="69"/>
                    <w:spacing w:before="24" w:after="24" w:line="240" w:lineRule="auto"/>
                    <w:jc w:val="center"/>
                    <w:rPr>
                      <w:rFonts w:hint="default" w:ascii="Times New Roman" w:hAnsi="Times New Roman" w:cs="Times New Roman"/>
                      <w:color w:val="auto"/>
                      <w:sz w:val="18"/>
                      <w:szCs w:val="18"/>
                      <w:highlight w:val="none"/>
                    </w:rPr>
                  </w:pPr>
                </w:p>
              </w:tc>
              <w:tc>
                <w:tcPr>
                  <w:tcW w:w="754" w:type="pct"/>
                  <w:vMerge w:val="continue"/>
                  <w:noWrap w:val="0"/>
                  <w:vAlign w:val="center"/>
                </w:tcPr>
                <w:p w14:paraId="054145CF">
                  <w:pPr>
                    <w:pStyle w:val="69"/>
                    <w:spacing w:before="24" w:after="24" w:line="240" w:lineRule="auto"/>
                    <w:jc w:val="center"/>
                    <w:rPr>
                      <w:rFonts w:hint="eastAsia" w:ascii="Times New Roman" w:cs="Times New Roman"/>
                      <w:color w:val="auto"/>
                      <w:sz w:val="18"/>
                      <w:szCs w:val="18"/>
                      <w:highlight w:val="none"/>
                      <w:lang w:val="en-US" w:eastAsia="zh-CN"/>
                    </w:rPr>
                  </w:pPr>
                </w:p>
              </w:tc>
              <w:tc>
                <w:tcPr>
                  <w:tcW w:w="943" w:type="pct"/>
                  <w:shd w:val="clear" w:color="auto" w:fill="auto"/>
                  <w:noWrap w:val="0"/>
                  <w:vAlign w:val="center"/>
                </w:tcPr>
                <w:p w14:paraId="1E6E7102">
                  <w:pPr>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硫酸雾</w:t>
                  </w:r>
                </w:p>
              </w:tc>
              <w:tc>
                <w:tcPr>
                  <w:tcW w:w="1321" w:type="pct"/>
                  <w:vMerge w:val="continue"/>
                  <w:noWrap w:val="0"/>
                  <w:vAlign w:val="center"/>
                </w:tcPr>
                <w:p w14:paraId="355F8A9B">
                  <w:pPr>
                    <w:jc w:val="left"/>
                    <w:rPr>
                      <w:rFonts w:hint="eastAsia" w:ascii="Times New Roman" w:hAnsi="Times New Roman"/>
                      <w:color w:val="auto"/>
                      <w:sz w:val="18"/>
                      <w:szCs w:val="18"/>
                      <w:highlight w:val="none"/>
                    </w:rPr>
                  </w:pPr>
                </w:p>
              </w:tc>
              <w:tc>
                <w:tcPr>
                  <w:tcW w:w="721" w:type="pct"/>
                  <w:noWrap w:val="0"/>
                  <w:vAlign w:val="center"/>
                </w:tcPr>
                <w:p w14:paraId="742F2376">
                  <w:pPr>
                    <w:pStyle w:val="69"/>
                    <w:spacing w:before="24" w:after="24"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1.2</w:t>
                  </w:r>
                </w:p>
              </w:tc>
              <w:tc>
                <w:tcPr>
                  <w:tcW w:w="467" w:type="pct"/>
                  <w:noWrap w:val="0"/>
                  <w:vAlign w:val="center"/>
                </w:tcPr>
                <w:p w14:paraId="5F5689C6">
                  <w:pPr>
                    <w:pStyle w:val="69"/>
                    <w:spacing w:before="24" w:after="24"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0.043</w:t>
                  </w:r>
                </w:p>
              </w:tc>
            </w:tr>
            <w:tr w14:paraId="6BE301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Pr>
              <w:tc>
                <w:tcPr>
                  <w:tcW w:w="279" w:type="pct"/>
                  <w:vMerge w:val="continue"/>
                  <w:noWrap w:val="0"/>
                  <w:vAlign w:val="center"/>
                </w:tcPr>
                <w:p w14:paraId="7F3311AF">
                  <w:pPr>
                    <w:pStyle w:val="69"/>
                    <w:spacing w:before="24" w:after="24" w:line="240" w:lineRule="auto"/>
                    <w:jc w:val="center"/>
                    <w:rPr>
                      <w:rFonts w:hint="default" w:ascii="Times New Roman" w:hAnsi="Times New Roman" w:cs="Times New Roman"/>
                      <w:color w:val="auto"/>
                      <w:sz w:val="18"/>
                      <w:szCs w:val="18"/>
                      <w:highlight w:val="none"/>
                    </w:rPr>
                  </w:pPr>
                </w:p>
              </w:tc>
              <w:tc>
                <w:tcPr>
                  <w:tcW w:w="512" w:type="pct"/>
                  <w:vMerge w:val="continue"/>
                  <w:noWrap w:val="0"/>
                  <w:vAlign w:val="center"/>
                </w:tcPr>
                <w:p w14:paraId="2006D413">
                  <w:pPr>
                    <w:pStyle w:val="69"/>
                    <w:spacing w:before="24" w:after="24" w:line="240" w:lineRule="auto"/>
                    <w:jc w:val="center"/>
                    <w:rPr>
                      <w:rFonts w:hint="default" w:ascii="Times New Roman" w:hAnsi="Times New Roman" w:cs="Times New Roman"/>
                      <w:color w:val="auto"/>
                      <w:sz w:val="18"/>
                      <w:szCs w:val="18"/>
                      <w:highlight w:val="none"/>
                    </w:rPr>
                  </w:pPr>
                </w:p>
              </w:tc>
              <w:tc>
                <w:tcPr>
                  <w:tcW w:w="754" w:type="pct"/>
                  <w:noWrap w:val="0"/>
                  <w:vAlign w:val="center"/>
                </w:tcPr>
                <w:p w14:paraId="1349AD3A">
                  <w:pPr>
                    <w:pStyle w:val="69"/>
                    <w:spacing w:before="24" w:after="24" w:line="240" w:lineRule="auto"/>
                    <w:jc w:val="center"/>
                    <w:rPr>
                      <w:rFonts w:hint="eastAsia"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脱碳渗氮废气</w:t>
                  </w:r>
                </w:p>
              </w:tc>
              <w:tc>
                <w:tcPr>
                  <w:tcW w:w="943" w:type="pct"/>
                  <w:shd w:val="clear" w:color="auto" w:fill="auto"/>
                  <w:noWrap w:val="0"/>
                  <w:vAlign w:val="center"/>
                </w:tcPr>
                <w:p w14:paraId="66298D79">
                  <w:pPr>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氨</w:t>
                  </w:r>
                </w:p>
              </w:tc>
              <w:tc>
                <w:tcPr>
                  <w:tcW w:w="1321" w:type="pct"/>
                  <w:shd w:val="clear" w:color="auto" w:fill="auto"/>
                  <w:noWrap w:val="0"/>
                  <w:vAlign w:val="center"/>
                </w:tcPr>
                <w:p w14:paraId="4358E56B">
                  <w:pPr>
                    <w:keepNext w:val="0"/>
                    <w:keepLines w:val="0"/>
                    <w:widowControl/>
                    <w:suppressLineNumbers w:val="0"/>
                    <w:spacing w:line="240" w:lineRule="auto"/>
                    <w:ind w:firstLine="0" w:firstLineChars="0"/>
                    <w:jc w:val="both"/>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《恶臭污染物排放标准》（GB14554-93）</w:t>
                  </w:r>
                </w:p>
              </w:tc>
              <w:tc>
                <w:tcPr>
                  <w:tcW w:w="721" w:type="pct"/>
                  <w:noWrap w:val="0"/>
                  <w:vAlign w:val="center"/>
                </w:tcPr>
                <w:p w14:paraId="192CFC3A">
                  <w:pPr>
                    <w:pStyle w:val="69"/>
                    <w:spacing w:before="24" w:after="24"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1.5</w:t>
                  </w:r>
                </w:p>
              </w:tc>
              <w:tc>
                <w:tcPr>
                  <w:tcW w:w="467" w:type="pct"/>
                  <w:noWrap w:val="0"/>
                  <w:vAlign w:val="center"/>
                </w:tcPr>
                <w:p w14:paraId="236C9401">
                  <w:pPr>
                    <w:pStyle w:val="69"/>
                    <w:spacing w:before="24" w:after="24" w:line="240" w:lineRule="auto"/>
                    <w:jc w:val="center"/>
                    <w:rPr>
                      <w:rFonts w:hint="default" w:asci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0.13</w:t>
                  </w:r>
                </w:p>
              </w:tc>
            </w:tr>
          </w:tbl>
          <w:p w14:paraId="659AE7EF">
            <w:pPr>
              <w:spacing w:line="360" w:lineRule="auto"/>
              <w:jc w:val="center"/>
              <w:rPr>
                <w:rFonts w:hint="eastAsia" w:ascii="Times New Roman" w:hAnsi="Times New Roman" w:eastAsia="黑体" w:cs="Times New Roman"/>
                <w:bCs/>
                <w:color w:val="auto"/>
                <w:spacing w:val="2"/>
                <w:sz w:val="21"/>
                <w:szCs w:val="21"/>
                <w:highlight w:val="none"/>
              </w:rPr>
            </w:pPr>
          </w:p>
          <w:p w14:paraId="734BB6DD">
            <w:pPr>
              <w:spacing w:line="360" w:lineRule="auto"/>
              <w:jc w:val="center"/>
              <w:rPr>
                <w:rFonts w:hint="eastAsia" w:ascii="Times New Roman" w:hAnsi="Times New Roman" w:eastAsia="黑体" w:cs="Times New Roman"/>
                <w:bCs/>
                <w:color w:val="auto"/>
                <w:spacing w:val="2"/>
                <w:sz w:val="21"/>
                <w:szCs w:val="21"/>
                <w:highlight w:val="none"/>
              </w:rPr>
            </w:pPr>
            <w:r>
              <w:rPr>
                <w:rFonts w:hint="eastAsia" w:ascii="Times New Roman" w:hAnsi="Times New Roman" w:eastAsia="黑体" w:cs="Times New Roman"/>
                <w:bCs/>
                <w:color w:val="auto"/>
                <w:spacing w:val="2"/>
                <w:sz w:val="21"/>
                <w:szCs w:val="21"/>
                <w:highlight w:val="none"/>
              </w:rPr>
              <w:t>表4-</w:t>
            </w:r>
            <w:r>
              <w:rPr>
                <w:rFonts w:hint="eastAsia" w:eastAsia="黑体" w:cs="Times New Roman"/>
                <w:bCs/>
                <w:color w:val="auto"/>
                <w:spacing w:val="2"/>
                <w:sz w:val="21"/>
                <w:szCs w:val="21"/>
                <w:highlight w:val="none"/>
                <w:lang w:val="en-US" w:eastAsia="zh-CN"/>
              </w:rPr>
              <w:t xml:space="preserve">13  </w:t>
            </w:r>
            <w:r>
              <w:rPr>
                <w:rFonts w:hint="eastAsia" w:ascii="Times New Roman" w:hAnsi="Times New Roman" w:eastAsia="黑体" w:cs="Times New Roman"/>
                <w:bCs/>
                <w:color w:val="auto"/>
                <w:spacing w:val="2"/>
                <w:sz w:val="21"/>
                <w:szCs w:val="21"/>
                <w:highlight w:val="none"/>
              </w:rPr>
              <w:t>大气污染物年排放量核算表</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87"/>
              <w:gridCol w:w="3875"/>
              <w:gridCol w:w="3540"/>
            </w:tblGrid>
            <w:tr w14:paraId="218980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pct"/>
                  <w:noWrap w:val="0"/>
                  <w:vAlign w:val="center"/>
                </w:tcPr>
                <w:p w14:paraId="5B3DF1DE">
                  <w:pPr>
                    <w:pStyle w:val="4"/>
                    <w:adjustRightInd w:val="0"/>
                    <w:snapToGrid w:val="0"/>
                    <w:spacing w:before="0" w:after="0" w:line="240" w:lineRule="auto"/>
                    <w:jc w:val="center"/>
                    <w:rPr>
                      <w:rFonts w:hint="default" w:ascii="Times New Roman" w:hAnsi="Times New Roman" w:cs="Times New Roman"/>
                      <w:b w:val="0"/>
                      <w:color w:val="auto"/>
                      <w:sz w:val="18"/>
                      <w:szCs w:val="18"/>
                      <w:highlight w:val="none"/>
                    </w:rPr>
                  </w:pPr>
                  <w:r>
                    <w:rPr>
                      <w:rFonts w:hint="default" w:ascii="Times New Roman" w:hAnsi="Times New Roman" w:cs="Times New Roman"/>
                      <w:color w:val="auto"/>
                      <w:sz w:val="18"/>
                      <w:szCs w:val="18"/>
                      <w:highlight w:val="none"/>
                    </w:rPr>
                    <w:t>序号</w:t>
                  </w:r>
                </w:p>
              </w:tc>
              <w:tc>
                <w:tcPr>
                  <w:tcW w:w="2333" w:type="pct"/>
                  <w:noWrap w:val="0"/>
                  <w:vAlign w:val="center"/>
                </w:tcPr>
                <w:p w14:paraId="61483CF7">
                  <w:pPr>
                    <w:pStyle w:val="4"/>
                    <w:adjustRightInd w:val="0"/>
                    <w:snapToGrid w:val="0"/>
                    <w:spacing w:before="0" w:after="0" w:line="240" w:lineRule="auto"/>
                    <w:jc w:val="center"/>
                    <w:rPr>
                      <w:rFonts w:hint="default" w:ascii="Times New Roman" w:hAnsi="Times New Roman" w:cs="Times New Roman"/>
                      <w:b w:val="0"/>
                      <w:color w:val="auto"/>
                      <w:sz w:val="18"/>
                      <w:szCs w:val="18"/>
                      <w:highlight w:val="none"/>
                    </w:rPr>
                  </w:pPr>
                  <w:r>
                    <w:rPr>
                      <w:rFonts w:hint="default" w:ascii="Times New Roman" w:hAnsi="Times New Roman" w:cs="Times New Roman"/>
                      <w:color w:val="auto"/>
                      <w:sz w:val="18"/>
                      <w:szCs w:val="18"/>
                      <w:highlight w:val="none"/>
                    </w:rPr>
                    <w:t>污染物</w:t>
                  </w:r>
                </w:p>
              </w:tc>
              <w:tc>
                <w:tcPr>
                  <w:tcW w:w="2131" w:type="pct"/>
                  <w:noWrap w:val="0"/>
                  <w:vAlign w:val="center"/>
                </w:tcPr>
                <w:p w14:paraId="5789654E">
                  <w:pPr>
                    <w:pStyle w:val="4"/>
                    <w:adjustRightInd w:val="0"/>
                    <w:snapToGrid w:val="0"/>
                    <w:spacing w:before="0" w:after="0" w:line="240" w:lineRule="auto"/>
                    <w:jc w:val="center"/>
                    <w:rPr>
                      <w:rFonts w:hint="default" w:ascii="Times New Roman" w:hAnsi="Times New Roman" w:cs="Times New Roman"/>
                      <w:b w:val="0"/>
                      <w:color w:val="auto"/>
                      <w:sz w:val="18"/>
                      <w:szCs w:val="18"/>
                      <w:highlight w:val="none"/>
                    </w:rPr>
                  </w:pPr>
                  <w:r>
                    <w:rPr>
                      <w:rFonts w:hint="default" w:ascii="Times New Roman" w:hAnsi="Times New Roman" w:cs="Times New Roman"/>
                      <w:color w:val="auto"/>
                      <w:sz w:val="18"/>
                      <w:szCs w:val="18"/>
                      <w:highlight w:val="none"/>
                    </w:rPr>
                    <w:t>年排放量/（t/a）</w:t>
                  </w:r>
                </w:p>
              </w:tc>
            </w:tr>
            <w:tr w14:paraId="098376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pct"/>
                  <w:noWrap w:val="0"/>
                  <w:vAlign w:val="center"/>
                </w:tcPr>
                <w:p w14:paraId="08193905">
                  <w:pPr>
                    <w:pStyle w:val="4"/>
                    <w:adjustRightInd w:val="0"/>
                    <w:snapToGrid w:val="0"/>
                    <w:spacing w:before="0" w:after="0" w:line="240" w:lineRule="auto"/>
                    <w:jc w:val="center"/>
                    <w:rPr>
                      <w:rFonts w:hint="default" w:ascii="Times New Roman" w:hAnsi="Times New Roman" w:cs="Times New Roman"/>
                      <w:b w:val="0"/>
                      <w:color w:val="auto"/>
                      <w:sz w:val="18"/>
                      <w:szCs w:val="18"/>
                      <w:highlight w:val="none"/>
                    </w:rPr>
                  </w:pPr>
                  <w:r>
                    <w:rPr>
                      <w:rFonts w:hint="default" w:ascii="Times New Roman" w:hAnsi="Times New Roman" w:cs="Times New Roman"/>
                      <w:b w:val="0"/>
                      <w:color w:val="auto"/>
                      <w:sz w:val="18"/>
                      <w:szCs w:val="18"/>
                      <w:highlight w:val="none"/>
                    </w:rPr>
                    <w:t>1</w:t>
                  </w:r>
                </w:p>
              </w:tc>
              <w:tc>
                <w:tcPr>
                  <w:tcW w:w="2333" w:type="pct"/>
                  <w:noWrap w:val="0"/>
                  <w:vAlign w:val="center"/>
                </w:tcPr>
                <w:p w14:paraId="493B9B1E">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2131" w:type="pct"/>
                  <w:noWrap w:val="0"/>
                  <w:vAlign w:val="center"/>
                </w:tcPr>
                <w:p w14:paraId="6427F4E6">
                  <w:pPr>
                    <w:adjustRightInd w:val="0"/>
                    <w:snapToGrid w:val="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8.424</w:t>
                  </w:r>
                </w:p>
              </w:tc>
            </w:tr>
            <w:tr w14:paraId="06949E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pct"/>
                  <w:noWrap w:val="0"/>
                  <w:vAlign w:val="center"/>
                </w:tcPr>
                <w:p w14:paraId="7960CCF5">
                  <w:pPr>
                    <w:pStyle w:val="4"/>
                    <w:adjustRightInd w:val="0"/>
                    <w:snapToGrid w:val="0"/>
                    <w:spacing w:before="0" w:after="0" w:line="240" w:lineRule="auto"/>
                    <w:jc w:val="center"/>
                    <w:rPr>
                      <w:rFonts w:hint="eastAsia" w:ascii="Times New Roman" w:hAnsi="Times New Roman" w:eastAsia="宋体" w:cs="Times New Roman"/>
                      <w:b w:val="0"/>
                      <w:color w:val="auto"/>
                      <w:sz w:val="18"/>
                      <w:szCs w:val="18"/>
                      <w:highlight w:val="none"/>
                      <w:lang w:val="en-US" w:eastAsia="zh-CN"/>
                    </w:rPr>
                  </w:pPr>
                  <w:r>
                    <w:rPr>
                      <w:rFonts w:hint="eastAsia" w:ascii="Times New Roman" w:hAnsi="Times New Roman" w:cs="Times New Roman"/>
                      <w:b w:val="0"/>
                      <w:color w:val="auto"/>
                      <w:sz w:val="18"/>
                      <w:szCs w:val="18"/>
                      <w:highlight w:val="none"/>
                      <w:lang w:val="en-US" w:eastAsia="zh-CN"/>
                    </w:rPr>
                    <w:t>2</w:t>
                  </w:r>
                </w:p>
              </w:tc>
              <w:tc>
                <w:tcPr>
                  <w:tcW w:w="2333" w:type="pct"/>
                  <w:shd w:val="clear" w:color="auto" w:fill="auto"/>
                  <w:noWrap w:val="0"/>
                  <w:vAlign w:val="center"/>
                </w:tcPr>
                <w:p w14:paraId="547B6D6E">
                  <w:pPr>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SO</w:t>
                  </w:r>
                  <w:r>
                    <w:rPr>
                      <w:rFonts w:hint="eastAsia" w:ascii="Times New Roman" w:hAnsi="Times New Roman" w:cs="Times New Roman"/>
                      <w:color w:val="auto"/>
                      <w:sz w:val="18"/>
                      <w:szCs w:val="18"/>
                      <w:highlight w:val="none"/>
                      <w:vertAlign w:val="subscript"/>
                      <w:lang w:val="en-US" w:eastAsia="zh-CN"/>
                    </w:rPr>
                    <w:t>2</w:t>
                  </w:r>
                </w:p>
              </w:tc>
              <w:tc>
                <w:tcPr>
                  <w:tcW w:w="2131" w:type="pct"/>
                  <w:noWrap w:val="0"/>
                  <w:vAlign w:val="center"/>
                </w:tcPr>
                <w:p w14:paraId="2813F8CB">
                  <w:pPr>
                    <w:adjustRightInd w:val="0"/>
                    <w:snapToGrid w:val="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4.638</w:t>
                  </w:r>
                </w:p>
              </w:tc>
            </w:tr>
            <w:tr w14:paraId="2A5301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pct"/>
                  <w:noWrap w:val="0"/>
                  <w:vAlign w:val="center"/>
                </w:tcPr>
                <w:p w14:paraId="3FCD0E6E">
                  <w:pPr>
                    <w:pStyle w:val="4"/>
                    <w:adjustRightInd w:val="0"/>
                    <w:snapToGrid w:val="0"/>
                    <w:spacing w:before="0" w:after="0" w:line="240" w:lineRule="auto"/>
                    <w:jc w:val="center"/>
                    <w:rPr>
                      <w:rFonts w:hint="eastAsia" w:ascii="Times New Roman" w:hAnsi="Times New Roman" w:eastAsia="宋体" w:cs="Times New Roman"/>
                      <w:b w:val="0"/>
                      <w:color w:val="auto"/>
                      <w:sz w:val="18"/>
                      <w:szCs w:val="18"/>
                      <w:highlight w:val="none"/>
                      <w:lang w:val="en-US" w:eastAsia="zh-CN"/>
                    </w:rPr>
                  </w:pPr>
                  <w:r>
                    <w:rPr>
                      <w:rFonts w:hint="eastAsia" w:ascii="Times New Roman" w:hAnsi="Times New Roman" w:cs="Times New Roman"/>
                      <w:b w:val="0"/>
                      <w:color w:val="auto"/>
                      <w:sz w:val="18"/>
                      <w:szCs w:val="18"/>
                      <w:highlight w:val="none"/>
                      <w:lang w:val="en-US" w:eastAsia="zh-CN"/>
                    </w:rPr>
                    <w:t>3</w:t>
                  </w:r>
                </w:p>
              </w:tc>
              <w:tc>
                <w:tcPr>
                  <w:tcW w:w="2333" w:type="pct"/>
                  <w:shd w:val="clear" w:color="auto" w:fill="auto"/>
                  <w:noWrap w:val="0"/>
                  <w:vAlign w:val="center"/>
                </w:tcPr>
                <w:p w14:paraId="00DA400A">
                  <w:pPr>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NO</w:t>
                  </w:r>
                  <w:r>
                    <w:rPr>
                      <w:rFonts w:hint="eastAsia" w:ascii="Times New Roman" w:hAnsi="Times New Roman" w:cs="Times New Roman"/>
                      <w:color w:val="auto"/>
                      <w:sz w:val="18"/>
                      <w:szCs w:val="18"/>
                      <w:highlight w:val="none"/>
                      <w:vertAlign w:val="subscript"/>
                      <w:lang w:val="en-US" w:eastAsia="zh-CN"/>
                    </w:rPr>
                    <w:t>X</w:t>
                  </w:r>
                </w:p>
              </w:tc>
              <w:tc>
                <w:tcPr>
                  <w:tcW w:w="2131" w:type="pct"/>
                  <w:noWrap w:val="0"/>
                  <w:vAlign w:val="center"/>
                </w:tcPr>
                <w:p w14:paraId="293F3198">
                  <w:pPr>
                    <w:adjustRightInd w:val="0"/>
                    <w:snapToGrid w:val="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32.071</w:t>
                  </w:r>
                </w:p>
              </w:tc>
            </w:tr>
            <w:tr w14:paraId="54790F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pct"/>
                  <w:noWrap w:val="0"/>
                  <w:vAlign w:val="center"/>
                </w:tcPr>
                <w:p w14:paraId="73748E08">
                  <w:pPr>
                    <w:pStyle w:val="4"/>
                    <w:adjustRightInd w:val="0"/>
                    <w:snapToGrid w:val="0"/>
                    <w:spacing w:before="0" w:after="0" w:line="240" w:lineRule="auto"/>
                    <w:jc w:val="center"/>
                    <w:rPr>
                      <w:rFonts w:hint="default" w:ascii="Times New Roman" w:hAnsi="Times New Roman" w:cs="Times New Roman"/>
                      <w:b w:val="0"/>
                      <w:color w:val="auto"/>
                      <w:sz w:val="18"/>
                      <w:szCs w:val="18"/>
                      <w:highlight w:val="none"/>
                      <w:lang w:val="en-US" w:eastAsia="zh-CN"/>
                    </w:rPr>
                  </w:pPr>
                  <w:r>
                    <w:rPr>
                      <w:rFonts w:hint="eastAsia" w:ascii="Times New Roman" w:hAnsi="Times New Roman" w:cs="Times New Roman"/>
                      <w:b w:val="0"/>
                      <w:color w:val="auto"/>
                      <w:sz w:val="18"/>
                      <w:szCs w:val="18"/>
                      <w:highlight w:val="none"/>
                      <w:lang w:val="en-US" w:eastAsia="zh-CN"/>
                    </w:rPr>
                    <w:t>4</w:t>
                  </w:r>
                </w:p>
              </w:tc>
              <w:tc>
                <w:tcPr>
                  <w:tcW w:w="2333" w:type="pct"/>
                  <w:shd w:val="clear" w:color="auto" w:fill="auto"/>
                  <w:noWrap w:val="0"/>
                  <w:vAlign w:val="center"/>
                </w:tcPr>
                <w:p w14:paraId="2AF79251">
                  <w:pPr>
                    <w:adjustRightInd w:val="0"/>
                    <w:snapToGrid w:val="0"/>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氯化氢</w:t>
                  </w:r>
                </w:p>
              </w:tc>
              <w:tc>
                <w:tcPr>
                  <w:tcW w:w="2131" w:type="pct"/>
                  <w:noWrap w:val="0"/>
                  <w:vAlign w:val="center"/>
                </w:tcPr>
                <w:p w14:paraId="7B940DA2">
                  <w:pPr>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4.6</w:t>
                  </w:r>
                  <w:r>
                    <w:rPr>
                      <w:rFonts w:hint="eastAsia" w:cs="Times New Roman"/>
                      <w:color w:val="auto"/>
                      <w:sz w:val="18"/>
                      <w:szCs w:val="18"/>
                      <w:highlight w:val="none"/>
                      <w:lang w:val="en-US" w:eastAsia="zh-CN"/>
                    </w:rPr>
                    <w:t>3</w:t>
                  </w:r>
                </w:p>
              </w:tc>
            </w:tr>
            <w:tr w14:paraId="41658D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pct"/>
                  <w:noWrap w:val="0"/>
                  <w:vAlign w:val="center"/>
                </w:tcPr>
                <w:p w14:paraId="768834F5">
                  <w:pPr>
                    <w:pStyle w:val="4"/>
                    <w:adjustRightInd w:val="0"/>
                    <w:snapToGrid w:val="0"/>
                    <w:spacing w:before="0" w:after="0" w:line="240" w:lineRule="auto"/>
                    <w:jc w:val="center"/>
                    <w:rPr>
                      <w:rFonts w:hint="default" w:ascii="Times New Roman" w:hAnsi="Times New Roman" w:cs="Times New Roman"/>
                      <w:b w:val="0"/>
                      <w:color w:val="auto"/>
                      <w:sz w:val="18"/>
                      <w:szCs w:val="18"/>
                      <w:highlight w:val="none"/>
                      <w:lang w:val="en-US" w:eastAsia="zh-CN"/>
                    </w:rPr>
                  </w:pPr>
                  <w:r>
                    <w:rPr>
                      <w:rFonts w:hint="eastAsia" w:ascii="Times New Roman" w:hAnsi="Times New Roman" w:cs="Times New Roman"/>
                      <w:b w:val="0"/>
                      <w:color w:val="auto"/>
                      <w:sz w:val="18"/>
                      <w:szCs w:val="18"/>
                      <w:highlight w:val="none"/>
                      <w:lang w:val="en-US" w:eastAsia="zh-CN"/>
                    </w:rPr>
                    <w:t>5</w:t>
                  </w:r>
                </w:p>
              </w:tc>
              <w:tc>
                <w:tcPr>
                  <w:tcW w:w="2333" w:type="pct"/>
                  <w:shd w:val="clear" w:color="auto" w:fill="auto"/>
                  <w:noWrap w:val="0"/>
                  <w:vAlign w:val="center"/>
                </w:tcPr>
                <w:p w14:paraId="2CDE0866">
                  <w:pPr>
                    <w:adjustRightInd w:val="0"/>
                    <w:snapToGrid w:val="0"/>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硫酸雾</w:t>
                  </w:r>
                </w:p>
              </w:tc>
              <w:tc>
                <w:tcPr>
                  <w:tcW w:w="2131" w:type="pct"/>
                  <w:noWrap w:val="0"/>
                  <w:vAlign w:val="center"/>
                </w:tcPr>
                <w:p w14:paraId="24741341">
                  <w:pPr>
                    <w:adjustRightInd w:val="0"/>
                    <w:snapToGrid w:val="0"/>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0.083</w:t>
                  </w:r>
                </w:p>
              </w:tc>
            </w:tr>
            <w:tr w14:paraId="5A7648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pct"/>
                  <w:noWrap w:val="0"/>
                  <w:vAlign w:val="center"/>
                </w:tcPr>
                <w:p w14:paraId="6D7F9DDC">
                  <w:pPr>
                    <w:pStyle w:val="4"/>
                    <w:adjustRightInd w:val="0"/>
                    <w:snapToGrid w:val="0"/>
                    <w:spacing w:before="0" w:after="0" w:line="240" w:lineRule="auto"/>
                    <w:jc w:val="center"/>
                    <w:rPr>
                      <w:rFonts w:hint="default" w:ascii="Times New Roman" w:hAnsi="Times New Roman" w:cs="Times New Roman"/>
                      <w:b w:val="0"/>
                      <w:color w:val="auto"/>
                      <w:sz w:val="18"/>
                      <w:szCs w:val="18"/>
                      <w:highlight w:val="none"/>
                      <w:lang w:val="en-US" w:eastAsia="zh-CN"/>
                    </w:rPr>
                  </w:pPr>
                  <w:r>
                    <w:rPr>
                      <w:rFonts w:hint="eastAsia" w:ascii="Times New Roman" w:hAnsi="Times New Roman" w:cs="Times New Roman"/>
                      <w:b w:val="0"/>
                      <w:color w:val="auto"/>
                      <w:sz w:val="18"/>
                      <w:szCs w:val="18"/>
                      <w:highlight w:val="none"/>
                      <w:lang w:val="en-US" w:eastAsia="zh-CN"/>
                    </w:rPr>
                    <w:t>6</w:t>
                  </w:r>
                </w:p>
              </w:tc>
              <w:tc>
                <w:tcPr>
                  <w:tcW w:w="2333" w:type="pct"/>
                  <w:shd w:val="clear" w:color="auto" w:fill="auto"/>
                  <w:noWrap w:val="0"/>
                  <w:vAlign w:val="center"/>
                </w:tcPr>
                <w:p w14:paraId="5905173A">
                  <w:pPr>
                    <w:adjustRightInd w:val="0"/>
                    <w:snapToGrid w:val="0"/>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油雾</w:t>
                  </w:r>
                </w:p>
              </w:tc>
              <w:tc>
                <w:tcPr>
                  <w:tcW w:w="2131" w:type="pct"/>
                  <w:noWrap w:val="0"/>
                  <w:vAlign w:val="center"/>
                </w:tcPr>
                <w:p w14:paraId="734439B8">
                  <w:pPr>
                    <w:adjustRightInd w:val="0"/>
                    <w:snapToGrid w:val="0"/>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1.4</w:t>
                  </w:r>
                </w:p>
              </w:tc>
            </w:tr>
            <w:tr w14:paraId="36206B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pct"/>
                  <w:noWrap w:val="0"/>
                  <w:vAlign w:val="center"/>
                </w:tcPr>
                <w:p w14:paraId="4FC220B9">
                  <w:pPr>
                    <w:pStyle w:val="4"/>
                    <w:adjustRightInd w:val="0"/>
                    <w:snapToGrid w:val="0"/>
                    <w:spacing w:before="0" w:after="0" w:line="240" w:lineRule="auto"/>
                    <w:jc w:val="center"/>
                    <w:rPr>
                      <w:rFonts w:hint="default" w:ascii="Times New Roman" w:hAnsi="Times New Roman" w:cs="Times New Roman"/>
                      <w:b w:val="0"/>
                      <w:color w:val="auto"/>
                      <w:sz w:val="18"/>
                      <w:szCs w:val="18"/>
                      <w:highlight w:val="none"/>
                      <w:lang w:val="en-US" w:eastAsia="zh-CN"/>
                    </w:rPr>
                  </w:pPr>
                  <w:r>
                    <w:rPr>
                      <w:rFonts w:hint="eastAsia" w:ascii="Times New Roman" w:hAnsi="Times New Roman" w:cs="Times New Roman"/>
                      <w:b w:val="0"/>
                      <w:color w:val="auto"/>
                      <w:sz w:val="18"/>
                      <w:szCs w:val="18"/>
                      <w:highlight w:val="none"/>
                      <w:lang w:val="en-US" w:eastAsia="zh-CN"/>
                    </w:rPr>
                    <w:t>7</w:t>
                  </w:r>
                </w:p>
              </w:tc>
              <w:tc>
                <w:tcPr>
                  <w:tcW w:w="2333" w:type="pct"/>
                  <w:shd w:val="clear" w:color="auto" w:fill="auto"/>
                  <w:noWrap w:val="0"/>
                  <w:vAlign w:val="center"/>
                </w:tcPr>
                <w:p w14:paraId="32A2E7CC">
                  <w:pPr>
                    <w:adjustRightInd w:val="0"/>
                    <w:snapToGrid w:val="0"/>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碱雾</w:t>
                  </w:r>
                </w:p>
              </w:tc>
              <w:tc>
                <w:tcPr>
                  <w:tcW w:w="2131" w:type="pct"/>
                  <w:noWrap w:val="0"/>
                  <w:vAlign w:val="center"/>
                </w:tcPr>
                <w:p w14:paraId="3A188EBD">
                  <w:pPr>
                    <w:adjustRightInd w:val="0"/>
                    <w:snapToGrid w:val="0"/>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0.62</w:t>
                  </w:r>
                </w:p>
              </w:tc>
            </w:tr>
            <w:tr w14:paraId="5CEF10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pct"/>
                  <w:noWrap w:val="0"/>
                  <w:vAlign w:val="center"/>
                </w:tcPr>
                <w:p w14:paraId="63CB721F">
                  <w:pPr>
                    <w:pStyle w:val="4"/>
                    <w:adjustRightInd w:val="0"/>
                    <w:snapToGrid w:val="0"/>
                    <w:spacing w:before="0" w:after="0" w:line="240" w:lineRule="auto"/>
                    <w:jc w:val="center"/>
                    <w:rPr>
                      <w:rFonts w:hint="default" w:ascii="Times New Roman" w:hAnsi="Times New Roman" w:cs="Times New Roman"/>
                      <w:b w:val="0"/>
                      <w:color w:val="auto"/>
                      <w:sz w:val="18"/>
                      <w:szCs w:val="18"/>
                      <w:highlight w:val="none"/>
                      <w:lang w:val="en-US" w:eastAsia="zh-CN"/>
                    </w:rPr>
                  </w:pPr>
                  <w:r>
                    <w:rPr>
                      <w:rFonts w:hint="eastAsia" w:ascii="Times New Roman" w:hAnsi="Times New Roman" w:cs="Times New Roman"/>
                      <w:b w:val="0"/>
                      <w:color w:val="auto"/>
                      <w:sz w:val="18"/>
                      <w:szCs w:val="18"/>
                      <w:highlight w:val="none"/>
                      <w:lang w:val="en-US" w:eastAsia="zh-CN"/>
                    </w:rPr>
                    <w:t>8</w:t>
                  </w:r>
                </w:p>
              </w:tc>
              <w:tc>
                <w:tcPr>
                  <w:tcW w:w="2333" w:type="pct"/>
                  <w:shd w:val="clear" w:color="auto" w:fill="auto"/>
                  <w:noWrap w:val="0"/>
                  <w:vAlign w:val="center"/>
                </w:tcPr>
                <w:p w14:paraId="57E33376">
                  <w:pPr>
                    <w:adjustRightInd w:val="0"/>
                    <w:snapToGrid w:val="0"/>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氨</w:t>
                  </w:r>
                </w:p>
              </w:tc>
              <w:tc>
                <w:tcPr>
                  <w:tcW w:w="2131" w:type="pct"/>
                  <w:noWrap w:val="0"/>
                  <w:vAlign w:val="center"/>
                </w:tcPr>
                <w:p w14:paraId="51D7F37B">
                  <w:pPr>
                    <w:adjustRightInd w:val="0"/>
                    <w:snapToGrid w:val="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0.13</w:t>
                  </w:r>
                </w:p>
              </w:tc>
            </w:tr>
          </w:tbl>
          <w:p w14:paraId="3A54D235">
            <w:pPr>
              <w:spacing w:line="360" w:lineRule="auto"/>
              <w:ind w:firstLine="422" w:firstLineChars="200"/>
              <w:jc w:val="left"/>
              <w:rPr>
                <w:rFonts w:ascii="Times New Roman" w:hAnsi="Times New Roman"/>
                <w:b/>
                <w:bCs/>
                <w:color w:val="auto"/>
                <w:sz w:val="21"/>
                <w:szCs w:val="21"/>
                <w:highlight w:val="none"/>
              </w:rPr>
            </w:pPr>
            <w:r>
              <w:rPr>
                <w:rFonts w:hint="eastAsia" w:ascii="Times New Roman" w:hAnsi="Times New Roman"/>
                <w:b/>
                <w:bCs/>
                <w:color w:val="auto"/>
                <w:sz w:val="21"/>
                <w:szCs w:val="21"/>
                <w:highlight w:val="none"/>
                <w:lang w:val="en-US" w:eastAsia="zh-CN"/>
              </w:rPr>
              <w:t>6</w:t>
            </w:r>
            <w:r>
              <w:rPr>
                <w:rFonts w:ascii="Times New Roman" w:hAnsi="Times New Roman"/>
                <w:b/>
                <w:bCs/>
                <w:color w:val="auto"/>
                <w:sz w:val="21"/>
                <w:szCs w:val="21"/>
                <w:highlight w:val="none"/>
              </w:rPr>
              <w:t>、非正常工况</w:t>
            </w:r>
          </w:p>
          <w:p w14:paraId="2111D466">
            <w:pPr>
              <w:spacing w:line="360" w:lineRule="auto"/>
              <w:ind w:firstLine="420" w:firstLineChars="200"/>
              <w:jc w:val="both"/>
              <w:rPr>
                <w:rFonts w:ascii="Times New Roman" w:hAnsi="Times New Roman"/>
                <w:color w:val="auto"/>
                <w:sz w:val="21"/>
                <w:szCs w:val="21"/>
                <w:highlight w:val="none"/>
              </w:rPr>
            </w:pPr>
            <w:r>
              <w:rPr>
                <w:rFonts w:ascii="Times New Roman" w:hAnsi="Times New Roman"/>
                <w:color w:val="auto"/>
                <w:sz w:val="21"/>
                <w:szCs w:val="21"/>
                <w:highlight w:val="none"/>
              </w:rPr>
              <w:t>非正常工况是指生产设施非正常工况或污染防治（控制）设施非正常工况，其中生产设施非正常工况指开停炉（机）、设备检修、工艺设备运转异常等工况，污染防治（控制）设施非正常状况达不到应有治理效率或同步运转率等情况。</w:t>
            </w:r>
          </w:p>
          <w:p w14:paraId="073A02DE">
            <w:pPr>
              <w:spacing w:line="360" w:lineRule="auto"/>
              <w:ind w:firstLine="420" w:firstLineChars="200"/>
              <w:jc w:val="both"/>
              <w:rPr>
                <w:rFonts w:hint="eastAsia" w:ascii="Times New Roman" w:hAnsi="Times New Roman" w:eastAsia="宋体"/>
                <w:color w:val="auto"/>
                <w:sz w:val="21"/>
                <w:szCs w:val="21"/>
                <w:highlight w:val="none"/>
                <w:lang w:val="en-US" w:eastAsia="zh-CN"/>
              </w:rPr>
            </w:pPr>
            <w:r>
              <w:rPr>
                <w:rFonts w:ascii="Times New Roman" w:hAnsi="Times New Roman"/>
                <w:color w:val="auto"/>
                <w:sz w:val="21"/>
                <w:szCs w:val="21"/>
                <w:highlight w:val="none"/>
              </w:rPr>
              <w:t>在设备开停车、检修的过程中一直开启废气治理设施，并保持其正常运转；在工艺设备运转异常的情形下，立即停止设备运行；同时废气治理设施保持运行状态。因此在两种情形下的非正常工况排污均可以得到有效治理，对环境影响较小。</w:t>
            </w:r>
          </w:p>
          <w:p w14:paraId="2E2A2FF3">
            <w:pPr>
              <w:spacing w:line="360" w:lineRule="auto"/>
              <w:ind w:firstLine="420" w:firstLineChars="200"/>
              <w:jc w:val="both"/>
              <w:rPr>
                <w:rFonts w:ascii="Times New Roman" w:hAnsi="Times New Roman"/>
                <w:color w:val="auto"/>
                <w:sz w:val="21"/>
                <w:szCs w:val="21"/>
                <w:highlight w:val="none"/>
              </w:rPr>
            </w:pPr>
            <w:r>
              <w:rPr>
                <w:rFonts w:ascii="Times New Roman" w:hAnsi="Times New Roman"/>
                <w:color w:val="auto"/>
                <w:sz w:val="21"/>
                <w:szCs w:val="21"/>
                <w:highlight w:val="none"/>
              </w:rPr>
              <w:t>（1）根据工程实际情况，结合国内同类生产装置的运行情况，确定以下几种非正常状况。</w:t>
            </w:r>
          </w:p>
          <w:p w14:paraId="3BEC5FB8">
            <w:pPr>
              <w:spacing w:line="360" w:lineRule="auto"/>
              <w:ind w:firstLine="420" w:firstLineChars="200"/>
              <w:jc w:val="both"/>
              <w:rPr>
                <w:rFonts w:ascii="Times New Roman" w:hAnsi="Times New Roman"/>
                <w:color w:val="auto"/>
                <w:sz w:val="21"/>
                <w:szCs w:val="21"/>
                <w:highlight w:val="none"/>
              </w:rPr>
            </w:pPr>
            <w:r>
              <w:rPr>
                <w:rFonts w:hint="eastAsia" w:ascii="宋体" w:hAnsi="宋体" w:cs="宋体"/>
                <w:color w:val="auto"/>
                <w:sz w:val="21"/>
                <w:szCs w:val="21"/>
                <w:highlight w:val="none"/>
              </w:rPr>
              <w:t>①</w:t>
            </w:r>
            <w:r>
              <w:rPr>
                <w:rFonts w:ascii="Times New Roman" w:hAnsi="Times New Roman"/>
                <w:color w:val="auto"/>
                <w:sz w:val="21"/>
                <w:szCs w:val="21"/>
                <w:highlight w:val="none"/>
              </w:rPr>
              <w:t>临时停工</w:t>
            </w:r>
          </w:p>
          <w:p w14:paraId="3CE0B7A2">
            <w:pPr>
              <w:spacing w:line="360" w:lineRule="auto"/>
              <w:ind w:firstLine="420" w:firstLineChars="200"/>
              <w:jc w:val="both"/>
              <w:rPr>
                <w:rFonts w:ascii="Times New Roman" w:hAnsi="Times New Roman"/>
                <w:color w:val="auto"/>
                <w:sz w:val="21"/>
                <w:szCs w:val="21"/>
                <w:highlight w:val="none"/>
              </w:rPr>
            </w:pPr>
            <w:r>
              <w:rPr>
                <w:rFonts w:ascii="Times New Roman" w:hAnsi="Times New Roman"/>
                <w:color w:val="auto"/>
                <w:sz w:val="21"/>
                <w:szCs w:val="21"/>
                <w:highlight w:val="none"/>
              </w:rPr>
              <w:t>在生产过程中，停电、停水或某一设备发生故障，可导致整套装置临时停工。根据现场勘查，企业在临时停工时不会造成环境风险或环境污染，等故障排除后，恢复正常生产。</w:t>
            </w:r>
          </w:p>
          <w:p w14:paraId="225B6E96">
            <w:pPr>
              <w:spacing w:line="360" w:lineRule="auto"/>
              <w:ind w:firstLine="420" w:firstLineChars="200"/>
              <w:jc w:val="both"/>
              <w:rPr>
                <w:rFonts w:ascii="Times New Roman" w:hAnsi="Times New Roman"/>
                <w:color w:val="auto"/>
                <w:sz w:val="21"/>
                <w:szCs w:val="21"/>
                <w:highlight w:val="none"/>
              </w:rPr>
            </w:pPr>
            <w:r>
              <w:rPr>
                <w:rFonts w:hint="eastAsia" w:ascii="宋体" w:hAnsi="宋体" w:cs="宋体"/>
                <w:color w:val="auto"/>
                <w:sz w:val="21"/>
                <w:szCs w:val="21"/>
                <w:highlight w:val="none"/>
              </w:rPr>
              <w:t>②</w:t>
            </w:r>
            <w:r>
              <w:rPr>
                <w:rFonts w:ascii="Times New Roman" w:hAnsi="Times New Roman"/>
                <w:color w:val="auto"/>
                <w:sz w:val="21"/>
                <w:szCs w:val="21"/>
                <w:highlight w:val="none"/>
              </w:rPr>
              <w:t>设备检修</w:t>
            </w:r>
          </w:p>
          <w:p w14:paraId="1E58BA03">
            <w:pPr>
              <w:spacing w:line="360" w:lineRule="auto"/>
              <w:ind w:firstLine="420" w:firstLineChars="200"/>
              <w:jc w:val="both"/>
              <w:rPr>
                <w:rFonts w:ascii="Times New Roman" w:hAnsi="Times New Roman"/>
                <w:color w:val="auto"/>
                <w:sz w:val="21"/>
                <w:szCs w:val="21"/>
                <w:highlight w:val="none"/>
              </w:rPr>
            </w:pPr>
            <w:r>
              <w:rPr>
                <w:rFonts w:ascii="Times New Roman" w:hAnsi="Times New Roman"/>
                <w:color w:val="auto"/>
                <w:sz w:val="21"/>
                <w:szCs w:val="21"/>
                <w:highlight w:val="none"/>
              </w:rPr>
              <w:t>生产装置检修时，首先保证整批物料加工结束后停工，待各个设备检修、保养后再开工生产。本项目设备检修不需做设备内部冲洗，主要是设备零部件更换，更换的零部件集中收集，送往指定地点集中处理。</w:t>
            </w:r>
          </w:p>
          <w:p w14:paraId="237C2424">
            <w:pPr>
              <w:spacing w:line="360" w:lineRule="auto"/>
              <w:ind w:firstLine="420" w:firstLineChars="200"/>
              <w:jc w:val="both"/>
              <w:rPr>
                <w:rFonts w:ascii="Times New Roman" w:hAnsi="Times New Roman"/>
                <w:color w:val="auto"/>
                <w:sz w:val="21"/>
                <w:szCs w:val="21"/>
                <w:highlight w:val="none"/>
              </w:rPr>
            </w:pPr>
            <w:r>
              <w:rPr>
                <w:rFonts w:ascii="Times New Roman" w:hAnsi="Times New Roman"/>
                <w:color w:val="auto"/>
                <w:sz w:val="21"/>
                <w:szCs w:val="21"/>
                <w:highlight w:val="none"/>
              </w:rPr>
              <w:t>（2）根据项目特征，本项目在非正常工况下可能排放的污染物对环境影响较大的主要为车间废气治理设施运行出现事故，达不到设计要求处理效率时的污染物排放。</w:t>
            </w:r>
          </w:p>
          <w:p w14:paraId="09FB01EA">
            <w:pPr>
              <w:spacing w:line="360" w:lineRule="auto"/>
              <w:ind w:firstLine="420" w:firstLineChars="200"/>
              <w:jc w:val="both"/>
              <w:rPr>
                <w:rFonts w:ascii="Times New Roman" w:hAnsi="Times New Roman"/>
                <w:color w:val="auto"/>
                <w:sz w:val="21"/>
                <w:szCs w:val="21"/>
                <w:highlight w:val="none"/>
              </w:rPr>
            </w:pPr>
            <w:r>
              <w:rPr>
                <w:rFonts w:hint="eastAsia" w:ascii="Times New Roman" w:hAnsi="Times New Roman"/>
                <w:color w:val="auto"/>
                <w:sz w:val="21"/>
                <w:szCs w:val="21"/>
                <w:highlight w:val="none"/>
              </w:rPr>
              <w:t>本项目</w:t>
            </w:r>
            <w:r>
              <w:rPr>
                <w:rFonts w:ascii="Times New Roman" w:hAnsi="Times New Roman"/>
                <w:color w:val="auto"/>
                <w:sz w:val="21"/>
                <w:szCs w:val="21"/>
                <w:highlight w:val="none"/>
              </w:rPr>
              <w:t>非正常排放情况假设是废气处理设施全部失效，去除率为0%。</w:t>
            </w:r>
            <w:r>
              <w:rPr>
                <w:rFonts w:hint="eastAsia" w:ascii="Times New Roman" w:hAnsi="Times New Roman"/>
                <w:color w:val="auto"/>
                <w:sz w:val="21"/>
                <w:szCs w:val="21"/>
                <w:highlight w:val="none"/>
              </w:rPr>
              <w:t>非正常</w:t>
            </w:r>
            <w:r>
              <w:rPr>
                <w:rFonts w:ascii="Times New Roman" w:hAnsi="Times New Roman"/>
                <w:color w:val="auto"/>
                <w:sz w:val="21"/>
                <w:szCs w:val="21"/>
                <w:highlight w:val="none"/>
              </w:rPr>
              <w:t>情况下，废气污染物排放量见下表。</w:t>
            </w:r>
          </w:p>
          <w:p w14:paraId="5659F3F1">
            <w:pPr>
              <w:spacing w:line="360" w:lineRule="auto"/>
              <w:jc w:val="center"/>
              <w:rPr>
                <w:rFonts w:ascii="Times New Roman" w:hAnsi="Times New Roman" w:eastAsia="黑体"/>
                <w:bCs/>
                <w:color w:val="auto"/>
                <w:spacing w:val="2"/>
                <w:sz w:val="21"/>
                <w:szCs w:val="21"/>
                <w:highlight w:val="none"/>
              </w:rPr>
            </w:pPr>
            <w:bookmarkStart w:id="7" w:name="_Ref427691311"/>
            <w:r>
              <w:rPr>
                <w:rFonts w:ascii="Times New Roman" w:hAnsi="Times New Roman" w:eastAsia="黑体"/>
                <w:bCs/>
                <w:color w:val="auto"/>
                <w:spacing w:val="2"/>
                <w:sz w:val="21"/>
                <w:szCs w:val="21"/>
                <w:highlight w:val="none"/>
              </w:rPr>
              <w:t>表</w:t>
            </w:r>
            <w:bookmarkEnd w:id="7"/>
            <w:r>
              <w:rPr>
                <w:rFonts w:ascii="Times New Roman" w:hAnsi="Times New Roman" w:eastAsia="黑体"/>
                <w:bCs/>
                <w:color w:val="auto"/>
                <w:spacing w:val="2"/>
                <w:sz w:val="21"/>
                <w:szCs w:val="21"/>
                <w:highlight w:val="none"/>
              </w:rPr>
              <w:t>4-</w:t>
            </w:r>
            <w:r>
              <w:rPr>
                <w:rFonts w:hint="eastAsia" w:eastAsia="黑体"/>
                <w:bCs/>
                <w:color w:val="auto"/>
                <w:spacing w:val="2"/>
                <w:sz w:val="21"/>
                <w:szCs w:val="21"/>
                <w:highlight w:val="none"/>
                <w:lang w:val="en-US" w:eastAsia="zh-CN"/>
              </w:rPr>
              <w:t xml:space="preserve">14  </w:t>
            </w:r>
            <w:r>
              <w:rPr>
                <w:rFonts w:ascii="Times New Roman" w:hAnsi="Times New Roman" w:eastAsia="黑体"/>
                <w:bCs/>
                <w:color w:val="auto"/>
                <w:spacing w:val="2"/>
                <w:sz w:val="21"/>
                <w:szCs w:val="21"/>
                <w:highlight w:val="none"/>
              </w:rPr>
              <w:t>非正常工况下废气污染物排放情况</w:t>
            </w:r>
          </w:p>
          <w:tbl>
            <w:tblPr>
              <w:tblStyle w:val="3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28" w:type="dxa"/>
                <w:bottom w:w="0" w:type="dxa"/>
                <w:right w:w="28" w:type="dxa"/>
              </w:tblCellMar>
            </w:tblPr>
            <w:tblGrid>
              <w:gridCol w:w="1491"/>
              <w:gridCol w:w="1489"/>
              <w:gridCol w:w="1840"/>
              <w:gridCol w:w="1747"/>
              <w:gridCol w:w="1732"/>
            </w:tblGrid>
            <w:tr w14:paraId="2F4DC1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898" w:type="pct"/>
                  <w:vMerge w:val="restart"/>
                  <w:noWrap w:val="0"/>
                  <w:vAlign w:val="center"/>
                </w:tcPr>
                <w:p w14:paraId="247FF41D">
                  <w:pPr>
                    <w:jc w:val="center"/>
                    <w:rPr>
                      <w:rFonts w:ascii="Times New Roman" w:hAnsi="Times New Roman"/>
                      <w:snapToGrid w:val="0"/>
                      <w:color w:val="auto"/>
                      <w:sz w:val="18"/>
                      <w:szCs w:val="18"/>
                      <w:highlight w:val="none"/>
                    </w:rPr>
                  </w:pPr>
                  <w:r>
                    <w:rPr>
                      <w:rFonts w:ascii="Times New Roman" w:hAnsi="Times New Roman"/>
                      <w:snapToGrid w:val="0"/>
                      <w:color w:val="auto"/>
                      <w:sz w:val="18"/>
                      <w:szCs w:val="18"/>
                      <w:highlight w:val="none"/>
                    </w:rPr>
                    <w:t>排气筒编号</w:t>
                  </w:r>
                </w:p>
              </w:tc>
              <w:tc>
                <w:tcPr>
                  <w:tcW w:w="897" w:type="pct"/>
                  <w:vMerge w:val="restart"/>
                  <w:noWrap w:val="0"/>
                  <w:vAlign w:val="center"/>
                </w:tcPr>
                <w:p w14:paraId="6C97976B">
                  <w:pPr>
                    <w:jc w:val="center"/>
                    <w:rPr>
                      <w:rFonts w:ascii="Times New Roman" w:hAnsi="Times New Roman"/>
                      <w:snapToGrid w:val="0"/>
                      <w:color w:val="auto"/>
                      <w:sz w:val="18"/>
                      <w:szCs w:val="18"/>
                      <w:highlight w:val="none"/>
                    </w:rPr>
                  </w:pPr>
                  <w:r>
                    <w:rPr>
                      <w:rFonts w:ascii="Times New Roman" w:hAnsi="Times New Roman"/>
                      <w:snapToGrid w:val="0"/>
                      <w:color w:val="auto"/>
                      <w:sz w:val="18"/>
                      <w:szCs w:val="18"/>
                      <w:highlight w:val="none"/>
                    </w:rPr>
                    <w:t>污染物</w:t>
                  </w:r>
                </w:p>
              </w:tc>
              <w:tc>
                <w:tcPr>
                  <w:tcW w:w="1108" w:type="pct"/>
                  <w:noWrap w:val="0"/>
                  <w:vAlign w:val="center"/>
                </w:tcPr>
                <w:p w14:paraId="6C253988">
                  <w:pPr>
                    <w:jc w:val="center"/>
                    <w:rPr>
                      <w:rFonts w:ascii="Times New Roman" w:hAnsi="Times New Roman"/>
                      <w:snapToGrid w:val="0"/>
                      <w:color w:val="auto"/>
                      <w:sz w:val="18"/>
                      <w:szCs w:val="18"/>
                      <w:highlight w:val="none"/>
                    </w:rPr>
                  </w:pPr>
                  <w:r>
                    <w:rPr>
                      <w:rFonts w:ascii="Times New Roman" w:hAnsi="Times New Roman"/>
                      <w:snapToGrid w:val="0"/>
                      <w:color w:val="auto"/>
                      <w:sz w:val="18"/>
                      <w:szCs w:val="18"/>
                      <w:highlight w:val="none"/>
                    </w:rPr>
                    <w:t>污染物排放速率（kg/h）</w:t>
                  </w:r>
                </w:p>
              </w:tc>
              <w:tc>
                <w:tcPr>
                  <w:tcW w:w="1052" w:type="pct"/>
                  <w:vMerge w:val="restart"/>
                  <w:noWrap w:val="0"/>
                  <w:vAlign w:val="center"/>
                </w:tcPr>
                <w:p w14:paraId="3E465E81">
                  <w:pPr>
                    <w:jc w:val="center"/>
                    <w:rPr>
                      <w:rFonts w:ascii="Times New Roman" w:hAnsi="Times New Roman"/>
                      <w:snapToGrid w:val="0"/>
                      <w:color w:val="auto"/>
                      <w:sz w:val="18"/>
                      <w:szCs w:val="18"/>
                      <w:highlight w:val="none"/>
                    </w:rPr>
                  </w:pPr>
                  <w:r>
                    <w:rPr>
                      <w:rFonts w:ascii="Times New Roman" w:hAnsi="Times New Roman"/>
                      <w:snapToGrid w:val="0"/>
                      <w:color w:val="auto"/>
                      <w:sz w:val="18"/>
                      <w:szCs w:val="18"/>
                      <w:highlight w:val="none"/>
                    </w:rPr>
                    <w:t>单次持续时间/h</w:t>
                  </w:r>
                </w:p>
              </w:tc>
              <w:tc>
                <w:tcPr>
                  <w:tcW w:w="1043" w:type="pct"/>
                  <w:vMerge w:val="restart"/>
                  <w:noWrap w:val="0"/>
                  <w:vAlign w:val="center"/>
                </w:tcPr>
                <w:p w14:paraId="6E580CD7">
                  <w:pPr>
                    <w:jc w:val="center"/>
                    <w:rPr>
                      <w:rFonts w:ascii="Times New Roman" w:hAnsi="Times New Roman"/>
                      <w:snapToGrid w:val="0"/>
                      <w:color w:val="auto"/>
                      <w:sz w:val="18"/>
                      <w:szCs w:val="18"/>
                      <w:highlight w:val="none"/>
                    </w:rPr>
                  </w:pPr>
                  <w:r>
                    <w:rPr>
                      <w:rFonts w:ascii="Times New Roman" w:hAnsi="Times New Roman"/>
                      <w:snapToGrid w:val="0"/>
                      <w:color w:val="auto"/>
                      <w:sz w:val="18"/>
                      <w:szCs w:val="18"/>
                      <w:highlight w:val="none"/>
                    </w:rPr>
                    <w:t>年发生频次/次</w:t>
                  </w:r>
                </w:p>
              </w:tc>
            </w:tr>
            <w:tr w14:paraId="3C7840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898" w:type="pct"/>
                  <w:vMerge w:val="continue"/>
                  <w:noWrap w:val="0"/>
                  <w:vAlign w:val="center"/>
                </w:tcPr>
                <w:p w14:paraId="223DACBC">
                  <w:pPr>
                    <w:widowControl/>
                    <w:jc w:val="center"/>
                    <w:rPr>
                      <w:rFonts w:ascii="Times New Roman" w:hAnsi="Times New Roman"/>
                      <w:snapToGrid w:val="0"/>
                      <w:color w:val="auto"/>
                      <w:sz w:val="18"/>
                      <w:szCs w:val="18"/>
                      <w:highlight w:val="none"/>
                    </w:rPr>
                  </w:pPr>
                </w:p>
              </w:tc>
              <w:tc>
                <w:tcPr>
                  <w:tcW w:w="897" w:type="pct"/>
                  <w:vMerge w:val="continue"/>
                  <w:noWrap w:val="0"/>
                  <w:vAlign w:val="center"/>
                </w:tcPr>
                <w:p w14:paraId="3C4B1BF8">
                  <w:pPr>
                    <w:widowControl/>
                    <w:jc w:val="center"/>
                    <w:rPr>
                      <w:rFonts w:ascii="Times New Roman" w:hAnsi="Times New Roman"/>
                      <w:snapToGrid w:val="0"/>
                      <w:color w:val="auto"/>
                      <w:sz w:val="18"/>
                      <w:szCs w:val="18"/>
                      <w:highlight w:val="none"/>
                    </w:rPr>
                  </w:pPr>
                </w:p>
              </w:tc>
              <w:tc>
                <w:tcPr>
                  <w:tcW w:w="1108" w:type="pct"/>
                  <w:noWrap w:val="0"/>
                  <w:vAlign w:val="center"/>
                </w:tcPr>
                <w:p w14:paraId="2129DCD3">
                  <w:pPr>
                    <w:jc w:val="center"/>
                    <w:rPr>
                      <w:rFonts w:ascii="Times New Roman" w:hAnsi="Times New Roman"/>
                      <w:snapToGrid w:val="0"/>
                      <w:color w:val="auto"/>
                      <w:sz w:val="18"/>
                      <w:szCs w:val="18"/>
                      <w:highlight w:val="none"/>
                    </w:rPr>
                  </w:pPr>
                  <w:r>
                    <w:rPr>
                      <w:rFonts w:ascii="Times New Roman" w:hAnsi="Times New Roman"/>
                      <w:snapToGrid w:val="0"/>
                      <w:color w:val="auto"/>
                      <w:sz w:val="18"/>
                      <w:szCs w:val="18"/>
                      <w:highlight w:val="none"/>
                    </w:rPr>
                    <w:t>η=0</w:t>
                  </w:r>
                </w:p>
              </w:tc>
              <w:tc>
                <w:tcPr>
                  <w:tcW w:w="1052" w:type="pct"/>
                  <w:vMerge w:val="continue"/>
                  <w:noWrap w:val="0"/>
                  <w:vAlign w:val="center"/>
                </w:tcPr>
                <w:p w14:paraId="2503B484">
                  <w:pPr>
                    <w:widowControl/>
                    <w:jc w:val="center"/>
                    <w:rPr>
                      <w:rFonts w:ascii="Times New Roman" w:hAnsi="Times New Roman"/>
                      <w:snapToGrid w:val="0"/>
                      <w:color w:val="auto"/>
                      <w:sz w:val="18"/>
                      <w:szCs w:val="18"/>
                      <w:highlight w:val="none"/>
                    </w:rPr>
                  </w:pPr>
                </w:p>
              </w:tc>
              <w:tc>
                <w:tcPr>
                  <w:tcW w:w="1043" w:type="pct"/>
                  <w:vMerge w:val="continue"/>
                  <w:noWrap w:val="0"/>
                  <w:vAlign w:val="center"/>
                </w:tcPr>
                <w:p w14:paraId="47167071">
                  <w:pPr>
                    <w:widowControl/>
                    <w:jc w:val="center"/>
                    <w:rPr>
                      <w:rFonts w:ascii="Times New Roman" w:hAnsi="Times New Roman"/>
                      <w:snapToGrid w:val="0"/>
                      <w:color w:val="auto"/>
                      <w:sz w:val="18"/>
                      <w:szCs w:val="18"/>
                      <w:highlight w:val="none"/>
                    </w:rPr>
                  </w:pPr>
                </w:p>
              </w:tc>
            </w:tr>
            <w:tr w14:paraId="722F35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898" w:type="pct"/>
                  <w:noWrap w:val="0"/>
                  <w:vAlign w:val="center"/>
                </w:tcPr>
                <w:p w14:paraId="720D09F8">
                  <w:pPr>
                    <w:jc w:val="center"/>
                    <w:rPr>
                      <w:rFonts w:ascii="Times New Roman" w:hAnsi="Times New Roman"/>
                      <w:color w:val="auto"/>
                      <w:sz w:val="18"/>
                      <w:szCs w:val="18"/>
                      <w:highlight w:val="none"/>
                    </w:rPr>
                  </w:pPr>
                  <w:r>
                    <w:rPr>
                      <w:rFonts w:hint="eastAsia" w:ascii="Times New Roman" w:hAnsi="Times New Roman" w:eastAsia="宋体"/>
                      <w:color w:val="auto"/>
                      <w:sz w:val="18"/>
                      <w:szCs w:val="18"/>
                      <w:highlight w:val="none"/>
                      <w:lang w:val="en-US" w:eastAsia="zh-CN"/>
                    </w:rPr>
                    <w:t>DA00</w:t>
                  </w:r>
                  <w:r>
                    <w:rPr>
                      <w:rFonts w:hint="eastAsia"/>
                      <w:color w:val="auto"/>
                      <w:sz w:val="18"/>
                      <w:szCs w:val="18"/>
                      <w:highlight w:val="none"/>
                      <w:lang w:val="en-US" w:eastAsia="zh-CN"/>
                    </w:rPr>
                    <w:t>3</w:t>
                  </w:r>
                </w:p>
              </w:tc>
              <w:tc>
                <w:tcPr>
                  <w:tcW w:w="897" w:type="pct"/>
                  <w:noWrap w:val="0"/>
                  <w:vAlign w:val="center"/>
                </w:tcPr>
                <w:p w14:paraId="033916B9">
                  <w:pPr>
                    <w:jc w:val="center"/>
                    <w:rPr>
                      <w:rFonts w:ascii="Times New Roman" w:hAnsi="Times New Roman"/>
                      <w:snapToGrid w:val="0"/>
                      <w:color w:val="auto"/>
                      <w:sz w:val="18"/>
                      <w:szCs w:val="18"/>
                      <w:highlight w:val="none"/>
                    </w:rPr>
                  </w:pPr>
                  <w:r>
                    <w:rPr>
                      <w:rFonts w:hint="eastAsia"/>
                      <w:color w:val="auto"/>
                      <w:sz w:val="18"/>
                      <w:szCs w:val="18"/>
                      <w:highlight w:val="none"/>
                      <w:lang w:val="en-US" w:eastAsia="zh-CN"/>
                    </w:rPr>
                    <w:t>颗粒物</w:t>
                  </w:r>
                </w:p>
              </w:tc>
              <w:tc>
                <w:tcPr>
                  <w:tcW w:w="1108" w:type="pct"/>
                  <w:shd w:val="clear" w:color="auto" w:fill="auto"/>
                  <w:noWrap w:val="0"/>
                  <w:vAlign w:val="center"/>
                </w:tcPr>
                <w:p w14:paraId="3AF34EA3">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30.57</w:t>
                  </w:r>
                </w:p>
              </w:tc>
              <w:tc>
                <w:tcPr>
                  <w:tcW w:w="1052" w:type="pct"/>
                  <w:noWrap w:val="0"/>
                  <w:vAlign w:val="center"/>
                </w:tcPr>
                <w:p w14:paraId="0E8D3DCB">
                  <w:pPr>
                    <w:jc w:val="center"/>
                    <w:rPr>
                      <w:rFonts w:ascii="Times New Roman" w:hAnsi="Times New Roman"/>
                      <w:color w:val="auto"/>
                      <w:sz w:val="18"/>
                      <w:szCs w:val="18"/>
                      <w:highlight w:val="none"/>
                    </w:rPr>
                  </w:pPr>
                  <w:r>
                    <w:rPr>
                      <w:rFonts w:ascii="Times New Roman" w:hAnsi="Times New Roman"/>
                      <w:snapToGrid w:val="0"/>
                      <w:color w:val="auto"/>
                      <w:sz w:val="18"/>
                      <w:szCs w:val="18"/>
                      <w:highlight w:val="none"/>
                    </w:rPr>
                    <w:t>0.5</w:t>
                  </w:r>
                </w:p>
              </w:tc>
              <w:tc>
                <w:tcPr>
                  <w:tcW w:w="1043" w:type="pct"/>
                  <w:noWrap w:val="0"/>
                  <w:vAlign w:val="center"/>
                </w:tcPr>
                <w:p w14:paraId="5FB6FFC6">
                  <w:pPr>
                    <w:jc w:val="center"/>
                    <w:rPr>
                      <w:rFonts w:ascii="Times New Roman" w:hAnsi="Times New Roman"/>
                      <w:snapToGrid w:val="0"/>
                      <w:color w:val="auto"/>
                      <w:sz w:val="18"/>
                      <w:szCs w:val="18"/>
                      <w:highlight w:val="none"/>
                    </w:rPr>
                  </w:pPr>
                  <w:r>
                    <w:rPr>
                      <w:rFonts w:ascii="Times New Roman" w:hAnsi="Times New Roman"/>
                      <w:snapToGrid w:val="0"/>
                      <w:color w:val="auto"/>
                      <w:sz w:val="18"/>
                      <w:szCs w:val="18"/>
                      <w:highlight w:val="none"/>
                    </w:rPr>
                    <w:t>1</w:t>
                  </w:r>
                </w:p>
              </w:tc>
            </w:tr>
            <w:tr w14:paraId="0001AB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898" w:type="pct"/>
                  <w:noWrap w:val="0"/>
                  <w:vAlign w:val="center"/>
                </w:tcPr>
                <w:p w14:paraId="7F9842BB">
                  <w:pPr>
                    <w:jc w:val="center"/>
                    <w:rPr>
                      <w:rFonts w:ascii="Times New Roman" w:hAnsi="Times New Roman"/>
                      <w:color w:val="auto"/>
                      <w:sz w:val="18"/>
                      <w:szCs w:val="18"/>
                      <w:highlight w:val="none"/>
                    </w:rPr>
                  </w:pPr>
                  <w:r>
                    <w:rPr>
                      <w:rFonts w:hint="eastAsia" w:ascii="Times New Roman" w:hAnsi="Times New Roman" w:eastAsia="宋体"/>
                      <w:color w:val="auto"/>
                      <w:sz w:val="18"/>
                      <w:szCs w:val="18"/>
                      <w:highlight w:val="none"/>
                      <w:lang w:val="en-US" w:eastAsia="zh-CN"/>
                    </w:rPr>
                    <w:t>DA0</w:t>
                  </w:r>
                  <w:r>
                    <w:rPr>
                      <w:rFonts w:hint="eastAsia"/>
                      <w:color w:val="auto"/>
                      <w:sz w:val="18"/>
                      <w:szCs w:val="18"/>
                      <w:highlight w:val="none"/>
                      <w:lang w:val="en-US" w:eastAsia="zh-CN"/>
                    </w:rPr>
                    <w:t>10</w:t>
                  </w:r>
                </w:p>
              </w:tc>
              <w:tc>
                <w:tcPr>
                  <w:tcW w:w="897" w:type="pct"/>
                  <w:noWrap w:val="0"/>
                  <w:vAlign w:val="center"/>
                </w:tcPr>
                <w:p w14:paraId="2AEB934F">
                  <w:pPr>
                    <w:jc w:val="center"/>
                    <w:rPr>
                      <w:rFonts w:ascii="Times New Roman" w:hAnsi="Times New Roman"/>
                      <w:snapToGrid w:val="0"/>
                      <w:color w:val="auto"/>
                      <w:sz w:val="18"/>
                      <w:szCs w:val="18"/>
                      <w:highlight w:val="none"/>
                    </w:rPr>
                  </w:pPr>
                  <w:r>
                    <w:rPr>
                      <w:rFonts w:hint="eastAsia"/>
                      <w:color w:val="auto"/>
                      <w:sz w:val="18"/>
                      <w:szCs w:val="18"/>
                      <w:highlight w:val="none"/>
                      <w:lang w:val="en-US" w:eastAsia="zh-CN"/>
                    </w:rPr>
                    <w:t>颗粒物</w:t>
                  </w:r>
                </w:p>
              </w:tc>
              <w:tc>
                <w:tcPr>
                  <w:tcW w:w="1108" w:type="pct"/>
                  <w:shd w:val="clear" w:color="auto" w:fill="auto"/>
                  <w:noWrap w:val="0"/>
                  <w:vAlign w:val="center"/>
                </w:tcPr>
                <w:p w14:paraId="2B9CC7DE">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8</w:t>
                  </w:r>
                </w:p>
              </w:tc>
              <w:tc>
                <w:tcPr>
                  <w:tcW w:w="1052" w:type="pct"/>
                  <w:noWrap w:val="0"/>
                  <w:vAlign w:val="center"/>
                </w:tcPr>
                <w:p w14:paraId="474958FD">
                  <w:pPr>
                    <w:jc w:val="center"/>
                    <w:rPr>
                      <w:rFonts w:ascii="Times New Roman" w:hAnsi="Times New Roman"/>
                      <w:color w:val="auto"/>
                      <w:sz w:val="18"/>
                      <w:szCs w:val="18"/>
                      <w:highlight w:val="none"/>
                    </w:rPr>
                  </w:pPr>
                  <w:r>
                    <w:rPr>
                      <w:rFonts w:ascii="Times New Roman" w:hAnsi="Times New Roman"/>
                      <w:snapToGrid w:val="0"/>
                      <w:color w:val="auto"/>
                      <w:sz w:val="18"/>
                      <w:szCs w:val="18"/>
                      <w:highlight w:val="none"/>
                    </w:rPr>
                    <w:t>0.5</w:t>
                  </w:r>
                </w:p>
              </w:tc>
              <w:tc>
                <w:tcPr>
                  <w:tcW w:w="1043" w:type="pct"/>
                  <w:noWrap w:val="0"/>
                  <w:vAlign w:val="center"/>
                </w:tcPr>
                <w:p w14:paraId="36D59144">
                  <w:pPr>
                    <w:jc w:val="center"/>
                    <w:rPr>
                      <w:rFonts w:ascii="Times New Roman" w:hAnsi="Times New Roman"/>
                      <w:snapToGrid w:val="0"/>
                      <w:color w:val="auto"/>
                      <w:sz w:val="18"/>
                      <w:szCs w:val="18"/>
                      <w:highlight w:val="none"/>
                    </w:rPr>
                  </w:pPr>
                  <w:r>
                    <w:rPr>
                      <w:rFonts w:ascii="Times New Roman" w:hAnsi="Times New Roman"/>
                      <w:snapToGrid w:val="0"/>
                      <w:color w:val="auto"/>
                      <w:sz w:val="18"/>
                      <w:szCs w:val="18"/>
                      <w:highlight w:val="none"/>
                    </w:rPr>
                    <w:t>1</w:t>
                  </w:r>
                </w:p>
              </w:tc>
            </w:tr>
            <w:tr w14:paraId="5EF647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898" w:type="pct"/>
                  <w:noWrap w:val="0"/>
                  <w:vAlign w:val="center"/>
                </w:tcPr>
                <w:p w14:paraId="12952AA6">
                  <w:pPr>
                    <w:jc w:val="center"/>
                    <w:rPr>
                      <w:rFonts w:hint="default" w:ascii="Times New Roman" w:hAnsi="Times New Roman"/>
                      <w:color w:val="auto"/>
                      <w:sz w:val="18"/>
                      <w:szCs w:val="18"/>
                      <w:highlight w:val="none"/>
                      <w:lang w:val="en-US" w:eastAsia="zh-CN"/>
                    </w:rPr>
                  </w:pPr>
                  <w:r>
                    <w:rPr>
                      <w:rFonts w:hint="eastAsia"/>
                      <w:color w:val="auto"/>
                      <w:sz w:val="18"/>
                      <w:szCs w:val="18"/>
                      <w:highlight w:val="none"/>
                      <w:lang w:val="en-US" w:eastAsia="zh-CN"/>
                    </w:rPr>
                    <w:t>DA012</w:t>
                  </w:r>
                </w:p>
              </w:tc>
              <w:tc>
                <w:tcPr>
                  <w:tcW w:w="897" w:type="pct"/>
                  <w:noWrap w:val="0"/>
                  <w:vAlign w:val="center"/>
                </w:tcPr>
                <w:p w14:paraId="669D6028">
                  <w:pPr>
                    <w:jc w:val="center"/>
                    <w:rPr>
                      <w:rFonts w:ascii="Times New Roman" w:hAnsi="Times New Roman"/>
                      <w:snapToGrid w:val="0"/>
                      <w:color w:val="auto"/>
                      <w:sz w:val="18"/>
                      <w:szCs w:val="18"/>
                      <w:highlight w:val="none"/>
                    </w:rPr>
                  </w:pPr>
                  <w:r>
                    <w:rPr>
                      <w:rFonts w:hint="eastAsia"/>
                      <w:color w:val="auto"/>
                      <w:sz w:val="18"/>
                      <w:szCs w:val="18"/>
                      <w:highlight w:val="none"/>
                      <w:lang w:val="en-US" w:eastAsia="zh-CN"/>
                    </w:rPr>
                    <w:t>颗粒物</w:t>
                  </w:r>
                </w:p>
              </w:tc>
              <w:tc>
                <w:tcPr>
                  <w:tcW w:w="1108" w:type="pct"/>
                  <w:shd w:val="clear" w:color="auto" w:fill="auto"/>
                  <w:noWrap w:val="0"/>
                  <w:vAlign w:val="center"/>
                </w:tcPr>
                <w:p w14:paraId="68F073F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3</w:t>
                  </w:r>
                </w:p>
              </w:tc>
              <w:tc>
                <w:tcPr>
                  <w:tcW w:w="1052" w:type="pct"/>
                  <w:shd w:val="clear" w:color="auto" w:fill="auto"/>
                  <w:noWrap w:val="0"/>
                  <w:vAlign w:val="center"/>
                </w:tcPr>
                <w:p w14:paraId="1FDF16F2">
                  <w:pPr>
                    <w:jc w:val="center"/>
                    <w:rPr>
                      <w:rFonts w:ascii="Times New Roman" w:hAnsi="Times New Roman" w:eastAsia="宋体" w:cs="Times New Roman"/>
                      <w:color w:val="auto"/>
                      <w:kern w:val="2"/>
                      <w:sz w:val="18"/>
                      <w:szCs w:val="18"/>
                      <w:highlight w:val="none"/>
                      <w:lang w:val="en-US" w:eastAsia="zh-CN" w:bidi="ar-SA"/>
                    </w:rPr>
                  </w:pPr>
                  <w:r>
                    <w:rPr>
                      <w:rFonts w:ascii="Times New Roman" w:hAnsi="Times New Roman"/>
                      <w:snapToGrid w:val="0"/>
                      <w:color w:val="auto"/>
                      <w:sz w:val="18"/>
                      <w:szCs w:val="18"/>
                      <w:highlight w:val="none"/>
                    </w:rPr>
                    <w:t>0.5</w:t>
                  </w:r>
                </w:p>
              </w:tc>
              <w:tc>
                <w:tcPr>
                  <w:tcW w:w="1043" w:type="pct"/>
                  <w:shd w:val="clear" w:color="auto" w:fill="auto"/>
                  <w:noWrap w:val="0"/>
                  <w:vAlign w:val="center"/>
                </w:tcPr>
                <w:p w14:paraId="2C184935">
                  <w:pPr>
                    <w:jc w:val="center"/>
                    <w:rPr>
                      <w:rFonts w:ascii="Times New Roman" w:hAnsi="Times New Roman" w:eastAsia="宋体" w:cs="Times New Roman"/>
                      <w:snapToGrid w:val="0"/>
                      <w:color w:val="auto"/>
                      <w:kern w:val="2"/>
                      <w:sz w:val="18"/>
                      <w:szCs w:val="18"/>
                      <w:highlight w:val="none"/>
                      <w:lang w:val="en-US" w:eastAsia="zh-CN" w:bidi="ar-SA"/>
                    </w:rPr>
                  </w:pPr>
                  <w:r>
                    <w:rPr>
                      <w:rFonts w:ascii="Times New Roman" w:hAnsi="Times New Roman"/>
                      <w:snapToGrid w:val="0"/>
                      <w:color w:val="auto"/>
                      <w:sz w:val="18"/>
                      <w:szCs w:val="18"/>
                      <w:highlight w:val="none"/>
                    </w:rPr>
                    <w:t>1</w:t>
                  </w:r>
                </w:p>
              </w:tc>
            </w:tr>
            <w:tr w14:paraId="433282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898" w:type="pct"/>
                  <w:noWrap w:val="0"/>
                  <w:vAlign w:val="center"/>
                </w:tcPr>
                <w:p w14:paraId="55D7AE3E">
                  <w:pPr>
                    <w:jc w:val="center"/>
                    <w:rPr>
                      <w:rFonts w:hint="eastAsia"/>
                      <w:color w:val="auto"/>
                      <w:sz w:val="18"/>
                      <w:szCs w:val="18"/>
                      <w:highlight w:val="none"/>
                      <w:lang w:val="en-US" w:eastAsia="zh-CN"/>
                    </w:rPr>
                  </w:pPr>
                  <w:r>
                    <w:rPr>
                      <w:rFonts w:hint="eastAsia"/>
                      <w:color w:val="auto"/>
                      <w:sz w:val="18"/>
                      <w:szCs w:val="18"/>
                      <w:highlight w:val="none"/>
                      <w:lang w:val="en-US" w:eastAsia="zh-CN"/>
                    </w:rPr>
                    <w:t>DA014</w:t>
                  </w:r>
                </w:p>
              </w:tc>
              <w:tc>
                <w:tcPr>
                  <w:tcW w:w="897" w:type="pct"/>
                  <w:noWrap w:val="0"/>
                  <w:vAlign w:val="center"/>
                </w:tcPr>
                <w:p w14:paraId="7E303FBD">
                  <w:pPr>
                    <w:jc w:val="center"/>
                    <w:rPr>
                      <w:rFonts w:ascii="Times New Roman" w:hAnsi="Times New Roman"/>
                      <w:snapToGrid w:val="0"/>
                      <w:color w:val="auto"/>
                      <w:sz w:val="18"/>
                      <w:szCs w:val="18"/>
                      <w:highlight w:val="none"/>
                    </w:rPr>
                  </w:pPr>
                  <w:r>
                    <w:rPr>
                      <w:rFonts w:hint="eastAsia"/>
                      <w:color w:val="auto"/>
                      <w:sz w:val="18"/>
                      <w:szCs w:val="18"/>
                      <w:highlight w:val="none"/>
                      <w:lang w:val="en-US" w:eastAsia="zh-CN"/>
                    </w:rPr>
                    <w:t>颗粒物</w:t>
                  </w:r>
                </w:p>
              </w:tc>
              <w:tc>
                <w:tcPr>
                  <w:tcW w:w="1108" w:type="pct"/>
                  <w:shd w:val="clear" w:color="auto" w:fill="auto"/>
                  <w:noWrap w:val="0"/>
                  <w:vAlign w:val="center"/>
                </w:tcPr>
                <w:p w14:paraId="7DFFDFB6">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5.3</w:t>
                  </w:r>
                </w:p>
              </w:tc>
              <w:tc>
                <w:tcPr>
                  <w:tcW w:w="1782" w:type="dxa"/>
                  <w:shd w:val="clear" w:color="auto" w:fill="auto"/>
                  <w:noWrap w:val="0"/>
                  <w:vAlign w:val="center"/>
                </w:tcPr>
                <w:p w14:paraId="56DEEBE4">
                  <w:pPr>
                    <w:jc w:val="center"/>
                    <w:rPr>
                      <w:rFonts w:ascii="Times New Roman" w:hAnsi="Times New Roman"/>
                      <w:snapToGrid w:val="0"/>
                      <w:color w:val="auto"/>
                      <w:sz w:val="18"/>
                      <w:szCs w:val="18"/>
                      <w:highlight w:val="none"/>
                    </w:rPr>
                  </w:pPr>
                  <w:r>
                    <w:rPr>
                      <w:rFonts w:ascii="Times New Roman" w:hAnsi="Times New Roman"/>
                      <w:snapToGrid w:val="0"/>
                      <w:color w:val="auto"/>
                      <w:sz w:val="18"/>
                      <w:szCs w:val="18"/>
                      <w:highlight w:val="none"/>
                    </w:rPr>
                    <w:t>0.5</w:t>
                  </w:r>
                </w:p>
              </w:tc>
              <w:tc>
                <w:tcPr>
                  <w:tcW w:w="1768" w:type="dxa"/>
                  <w:shd w:val="clear" w:color="auto" w:fill="auto"/>
                  <w:noWrap w:val="0"/>
                  <w:vAlign w:val="center"/>
                </w:tcPr>
                <w:p w14:paraId="4030B56F">
                  <w:pPr>
                    <w:jc w:val="center"/>
                    <w:rPr>
                      <w:rFonts w:ascii="Times New Roman" w:hAnsi="Times New Roman"/>
                      <w:snapToGrid w:val="0"/>
                      <w:color w:val="auto"/>
                      <w:sz w:val="18"/>
                      <w:szCs w:val="18"/>
                      <w:highlight w:val="none"/>
                    </w:rPr>
                  </w:pPr>
                  <w:r>
                    <w:rPr>
                      <w:rFonts w:ascii="Times New Roman" w:hAnsi="Times New Roman"/>
                      <w:snapToGrid w:val="0"/>
                      <w:color w:val="auto"/>
                      <w:sz w:val="18"/>
                      <w:szCs w:val="18"/>
                      <w:highlight w:val="none"/>
                    </w:rPr>
                    <w:t>1</w:t>
                  </w:r>
                </w:p>
              </w:tc>
            </w:tr>
            <w:tr w14:paraId="1CCB55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898" w:type="pct"/>
                  <w:shd w:val="clear" w:color="auto" w:fill="auto"/>
                  <w:noWrap w:val="0"/>
                  <w:vAlign w:val="center"/>
                </w:tcPr>
                <w:p w14:paraId="5365389A">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olor w:val="auto"/>
                      <w:sz w:val="18"/>
                      <w:szCs w:val="18"/>
                      <w:highlight w:val="none"/>
                      <w:lang w:val="en-US" w:eastAsia="zh-CN"/>
                    </w:rPr>
                    <w:t>DA004</w:t>
                  </w:r>
                </w:p>
              </w:tc>
              <w:tc>
                <w:tcPr>
                  <w:tcW w:w="897" w:type="pct"/>
                  <w:shd w:val="clear" w:color="auto" w:fill="auto"/>
                  <w:noWrap w:val="0"/>
                  <w:vAlign w:val="center"/>
                </w:tcPr>
                <w:p w14:paraId="6D021770">
                  <w:pPr>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olor w:val="auto"/>
                      <w:sz w:val="18"/>
                      <w:szCs w:val="18"/>
                      <w:highlight w:val="none"/>
                      <w:lang w:val="en-US" w:eastAsia="zh-CN"/>
                    </w:rPr>
                    <w:t>氯化氢</w:t>
                  </w:r>
                </w:p>
              </w:tc>
              <w:tc>
                <w:tcPr>
                  <w:tcW w:w="1108" w:type="pct"/>
                  <w:shd w:val="clear" w:color="auto" w:fill="auto"/>
                  <w:noWrap w:val="0"/>
                  <w:vAlign w:val="center"/>
                </w:tcPr>
                <w:p w14:paraId="4E96BD67">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5.61</w:t>
                  </w:r>
                </w:p>
              </w:tc>
              <w:tc>
                <w:tcPr>
                  <w:tcW w:w="1782" w:type="dxa"/>
                  <w:shd w:val="clear" w:color="auto" w:fill="auto"/>
                  <w:noWrap w:val="0"/>
                  <w:vAlign w:val="center"/>
                </w:tcPr>
                <w:p w14:paraId="515C501D">
                  <w:pPr>
                    <w:jc w:val="center"/>
                    <w:rPr>
                      <w:rFonts w:ascii="Times New Roman" w:hAnsi="Times New Roman"/>
                      <w:snapToGrid w:val="0"/>
                      <w:color w:val="auto"/>
                      <w:sz w:val="18"/>
                      <w:szCs w:val="18"/>
                      <w:highlight w:val="none"/>
                    </w:rPr>
                  </w:pPr>
                  <w:r>
                    <w:rPr>
                      <w:rFonts w:ascii="Times New Roman" w:hAnsi="Times New Roman"/>
                      <w:snapToGrid w:val="0"/>
                      <w:color w:val="auto"/>
                      <w:sz w:val="18"/>
                      <w:szCs w:val="18"/>
                      <w:highlight w:val="none"/>
                    </w:rPr>
                    <w:t>0.5</w:t>
                  </w:r>
                </w:p>
              </w:tc>
              <w:tc>
                <w:tcPr>
                  <w:tcW w:w="1768" w:type="dxa"/>
                  <w:shd w:val="clear" w:color="auto" w:fill="auto"/>
                  <w:noWrap w:val="0"/>
                  <w:vAlign w:val="center"/>
                </w:tcPr>
                <w:p w14:paraId="3068E9C9">
                  <w:pPr>
                    <w:jc w:val="center"/>
                    <w:rPr>
                      <w:rFonts w:ascii="Times New Roman" w:hAnsi="Times New Roman"/>
                      <w:snapToGrid w:val="0"/>
                      <w:color w:val="auto"/>
                      <w:sz w:val="18"/>
                      <w:szCs w:val="18"/>
                      <w:highlight w:val="none"/>
                    </w:rPr>
                  </w:pPr>
                  <w:r>
                    <w:rPr>
                      <w:rFonts w:ascii="Times New Roman" w:hAnsi="Times New Roman"/>
                      <w:snapToGrid w:val="0"/>
                      <w:color w:val="auto"/>
                      <w:sz w:val="18"/>
                      <w:szCs w:val="18"/>
                      <w:highlight w:val="none"/>
                    </w:rPr>
                    <w:t>1</w:t>
                  </w:r>
                </w:p>
              </w:tc>
            </w:tr>
            <w:tr w14:paraId="57D5D2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898" w:type="pct"/>
                  <w:shd w:val="clear" w:color="auto" w:fill="auto"/>
                  <w:noWrap w:val="0"/>
                  <w:vAlign w:val="center"/>
                </w:tcPr>
                <w:p w14:paraId="5ABF274E">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olor w:val="auto"/>
                      <w:sz w:val="18"/>
                      <w:szCs w:val="18"/>
                      <w:highlight w:val="none"/>
                      <w:lang w:val="en-US" w:eastAsia="zh-CN"/>
                    </w:rPr>
                    <w:t>DA009</w:t>
                  </w:r>
                </w:p>
              </w:tc>
              <w:tc>
                <w:tcPr>
                  <w:tcW w:w="897" w:type="pct"/>
                  <w:shd w:val="clear" w:color="auto" w:fill="auto"/>
                  <w:noWrap w:val="0"/>
                  <w:vAlign w:val="center"/>
                </w:tcPr>
                <w:p w14:paraId="7A27A703">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olor w:val="auto"/>
                      <w:sz w:val="18"/>
                      <w:szCs w:val="18"/>
                      <w:highlight w:val="none"/>
                      <w:lang w:val="en-US" w:eastAsia="zh-CN"/>
                    </w:rPr>
                    <w:t>硫酸雾</w:t>
                  </w:r>
                </w:p>
              </w:tc>
              <w:tc>
                <w:tcPr>
                  <w:tcW w:w="1108" w:type="pct"/>
                  <w:shd w:val="clear" w:color="auto" w:fill="auto"/>
                  <w:noWrap w:val="0"/>
                  <w:vAlign w:val="center"/>
                </w:tcPr>
                <w:p w14:paraId="0771E29B">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0.12</w:t>
                  </w:r>
                </w:p>
              </w:tc>
              <w:tc>
                <w:tcPr>
                  <w:tcW w:w="1782" w:type="dxa"/>
                  <w:shd w:val="clear" w:color="auto" w:fill="auto"/>
                  <w:noWrap w:val="0"/>
                  <w:vAlign w:val="center"/>
                </w:tcPr>
                <w:p w14:paraId="609D6FC0">
                  <w:pPr>
                    <w:jc w:val="center"/>
                    <w:rPr>
                      <w:rFonts w:ascii="Times New Roman" w:hAnsi="Times New Roman"/>
                      <w:snapToGrid w:val="0"/>
                      <w:color w:val="auto"/>
                      <w:sz w:val="18"/>
                      <w:szCs w:val="18"/>
                      <w:highlight w:val="none"/>
                    </w:rPr>
                  </w:pPr>
                  <w:r>
                    <w:rPr>
                      <w:rFonts w:ascii="Times New Roman" w:hAnsi="Times New Roman"/>
                      <w:snapToGrid w:val="0"/>
                      <w:color w:val="auto"/>
                      <w:sz w:val="18"/>
                      <w:szCs w:val="18"/>
                      <w:highlight w:val="none"/>
                    </w:rPr>
                    <w:t>0.5</w:t>
                  </w:r>
                </w:p>
              </w:tc>
              <w:tc>
                <w:tcPr>
                  <w:tcW w:w="1768" w:type="dxa"/>
                  <w:shd w:val="clear" w:color="auto" w:fill="auto"/>
                  <w:noWrap w:val="0"/>
                  <w:vAlign w:val="center"/>
                </w:tcPr>
                <w:p w14:paraId="303AFF11">
                  <w:pPr>
                    <w:jc w:val="center"/>
                    <w:rPr>
                      <w:rFonts w:ascii="Times New Roman" w:hAnsi="Times New Roman"/>
                      <w:snapToGrid w:val="0"/>
                      <w:color w:val="auto"/>
                      <w:sz w:val="18"/>
                      <w:szCs w:val="18"/>
                      <w:highlight w:val="none"/>
                    </w:rPr>
                  </w:pPr>
                  <w:r>
                    <w:rPr>
                      <w:rFonts w:ascii="Times New Roman" w:hAnsi="Times New Roman"/>
                      <w:snapToGrid w:val="0"/>
                      <w:color w:val="auto"/>
                      <w:sz w:val="18"/>
                      <w:szCs w:val="18"/>
                      <w:highlight w:val="none"/>
                    </w:rPr>
                    <w:t>1</w:t>
                  </w:r>
                </w:p>
              </w:tc>
            </w:tr>
            <w:tr w14:paraId="1FEC20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898" w:type="pct"/>
                  <w:shd w:val="clear" w:color="auto" w:fill="auto"/>
                  <w:noWrap w:val="0"/>
                  <w:vAlign w:val="center"/>
                </w:tcPr>
                <w:p w14:paraId="1286EF75">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olor w:val="auto"/>
                      <w:sz w:val="18"/>
                      <w:szCs w:val="18"/>
                      <w:highlight w:val="none"/>
                      <w:lang w:val="en-US" w:eastAsia="zh-CN"/>
                    </w:rPr>
                    <w:t>DA005</w:t>
                  </w:r>
                </w:p>
              </w:tc>
              <w:tc>
                <w:tcPr>
                  <w:tcW w:w="897" w:type="pct"/>
                  <w:shd w:val="clear" w:color="auto" w:fill="auto"/>
                  <w:noWrap w:val="0"/>
                  <w:vAlign w:val="center"/>
                </w:tcPr>
                <w:p w14:paraId="74E52A9C">
                  <w:pPr>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olor w:val="auto"/>
                      <w:sz w:val="18"/>
                      <w:szCs w:val="18"/>
                      <w:highlight w:val="none"/>
                      <w:lang w:val="en-US" w:eastAsia="zh-CN"/>
                    </w:rPr>
                    <w:t>油雾</w:t>
                  </w:r>
                </w:p>
              </w:tc>
              <w:tc>
                <w:tcPr>
                  <w:tcW w:w="1108" w:type="pct"/>
                  <w:noWrap w:val="0"/>
                  <w:vAlign w:val="center"/>
                </w:tcPr>
                <w:p w14:paraId="1547B3C0">
                  <w:pPr>
                    <w:jc w:val="center"/>
                    <w:rPr>
                      <w:rFonts w:hint="default"/>
                      <w:color w:val="auto"/>
                      <w:sz w:val="18"/>
                      <w:szCs w:val="18"/>
                      <w:highlight w:val="none"/>
                      <w:lang w:val="en-US" w:eastAsia="zh-CN"/>
                    </w:rPr>
                  </w:pPr>
                  <w:r>
                    <w:rPr>
                      <w:rFonts w:hint="eastAsia"/>
                      <w:color w:val="auto"/>
                      <w:sz w:val="18"/>
                      <w:szCs w:val="18"/>
                      <w:highlight w:val="none"/>
                      <w:lang w:val="en-US" w:eastAsia="zh-CN"/>
                    </w:rPr>
                    <w:t>2.1</w:t>
                  </w:r>
                </w:p>
              </w:tc>
              <w:tc>
                <w:tcPr>
                  <w:tcW w:w="1782" w:type="dxa"/>
                  <w:shd w:val="clear" w:color="auto" w:fill="auto"/>
                  <w:noWrap w:val="0"/>
                  <w:vAlign w:val="center"/>
                </w:tcPr>
                <w:p w14:paraId="049C2747">
                  <w:pPr>
                    <w:jc w:val="center"/>
                    <w:rPr>
                      <w:rFonts w:ascii="Times New Roman" w:hAnsi="Times New Roman"/>
                      <w:snapToGrid w:val="0"/>
                      <w:color w:val="auto"/>
                      <w:sz w:val="18"/>
                      <w:szCs w:val="18"/>
                      <w:highlight w:val="none"/>
                    </w:rPr>
                  </w:pPr>
                  <w:r>
                    <w:rPr>
                      <w:rFonts w:ascii="Times New Roman" w:hAnsi="Times New Roman"/>
                      <w:snapToGrid w:val="0"/>
                      <w:color w:val="auto"/>
                      <w:sz w:val="18"/>
                      <w:szCs w:val="18"/>
                      <w:highlight w:val="none"/>
                    </w:rPr>
                    <w:t>0.5</w:t>
                  </w:r>
                </w:p>
              </w:tc>
              <w:tc>
                <w:tcPr>
                  <w:tcW w:w="1768" w:type="dxa"/>
                  <w:shd w:val="clear" w:color="auto" w:fill="auto"/>
                  <w:noWrap w:val="0"/>
                  <w:vAlign w:val="center"/>
                </w:tcPr>
                <w:p w14:paraId="7FCADB3D">
                  <w:pPr>
                    <w:jc w:val="center"/>
                    <w:rPr>
                      <w:rFonts w:ascii="Times New Roman" w:hAnsi="Times New Roman"/>
                      <w:snapToGrid w:val="0"/>
                      <w:color w:val="auto"/>
                      <w:sz w:val="18"/>
                      <w:szCs w:val="18"/>
                      <w:highlight w:val="none"/>
                    </w:rPr>
                  </w:pPr>
                  <w:r>
                    <w:rPr>
                      <w:rFonts w:ascii="Times New Roman" w:hAnsi="Times New Roman"/>
                      <w:snapToGrid w:val="0"/>
                      <w:color w:val="auto"/>
                      <w:sz w:val="18"/>
                      <w:szCs w:val="18"/>
                      <w:highlight w:val="none"/>
                    </w:rPr>
                    <w:t>1</w:t>
                  </w:r>
                </w:p>
              </w:tc>
            </w:tr>
            <w:tr w14:paraId="70EE11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898" w:type="pct"/>
                  <w:noWrap w:val="0"/>
                  <w:vAlign w:val="center"/>
                </w:tcPr>
                <w:p w14:paraId="74DDEDF3">
                  <w:pPr>
                    <w:jc w:val="center"/>
                    <w:rPr>
                      <w:rFonts w:hint="default"/>
                      <w:color w:val="auto"/>
                      <w:sz w:val="18"/>
                      <w:szCs w:val="18"/>
                      <w:highlight w:val="none"/>
                      <w:lang w:val="en-US" w:eastAsia="zh-CN"/>
                    </w:rPr>
                  </w:pPr>
                  <w:r>
                    <w:rPr>
                      <w:rFonts w:hint="eastAsia"/>
                      <w:color w:val="auto"/>
                      <w:sz w:val="18"/>
                      <w:szCs w:val="18"/>
                      <w:highlight w:val="none"/>
                      <w:lang w:val="en-US" w:eastAsia="zh-CN"/>
                    </w:rPr>
                    <w:t>DA006</w:t>
                  </w:r>
                </w:p>
              </w:tc>
              <w:tc>
                <w:tcPr>
                  <w:tcW w:w="897" w:type="pct"/>
                  <w:noWrap w:val="0"/>
                  <w:vAlign w:val="center"/>
                </w:tcPr>
                <w:p w14:paraId="4A285635">
                  <w:pPr>
                    <w:jc w:val="center"/>
                    <w:rPr>
                      <w:rFonts w:hint="eastAsia" w:ascii="Times New Roman" w:hAnsi="Times New Roman" w:eastAsia="宋体"/>
                      <w:snapToGrid w:val="0"/>
                      <w:color w:val="auto"/>
                      <w:sz w:val="18"/>
                      <w:szCs w:val="18"/>
                      <w:highlight w:val="none"/>
                      <w:lang w:val="en-US" w:eastAsia="zh-CN"/>
                    </w:rPr>
                  </w:pPr>
                  <w:r>
                    <w:rPr>
                      <w:rFonts w:hint="eastAsia"/>
                      <w:snapToGrid w:val="0"/>
                      <w:color w:val="auto"/>
                      <w:sz w:val="18"/>
                      <w:szCs w:val="18"/>
                      <w:highlight w:val="none"/>
                      <w:lang w:val="en-US" w:eastAsia="zh-CN"/>
                    </w:rPr>
                    <w:t>碱雾</w:t>
                  </w:r>
                </w:p>
              </w:tc>
              <w:tc>
                <w:tcPr>
                  <w:tcW w:w="1108" w:type="pct"/>
                  <w:noWrap w:val="0"/>
                  <w:vAlign w:val="center"/>
                </w:tcPr>
                <w:p w14:paraId="09C894F6">
                  <w:pPr>
                    <w:jc w:val="center"/>
                    <w:rPr>
                      <w:rFonts w:hint="default"/>
                      <w:color w:val="auto"/>
                      <w:sz w:val="18"/>
                      <w:szCs w:val="18"/>
                      <w:highlight w:val="none"/>
                      <w:lang w:val="en-US" w:eastAsia="zh-CN"/>
                    </w:rPr>
                  </w:pPr>
                  <w:r>
                    <w:rPr>
                      <w:rFonts w:hint="eastAsia"/>
                      <w:color w:val="auto"/>
                      <w:sz w:val="18"/>
                      <w:szCs w:val="18"/>
                      <w:highlight w:val="none"/>
                      <w:lang w:val="en-US" w:eastAsia="zh-CN"/>
                    </w:rPr>
                    <w:t>1.86</w:t>
                  </w:r>
                </w:p>
              </w:tc>
              <w:tc>
                <w:tcPr>
                  <w:tcW w:w="1782" w:type="dxa"/>
                  <w:shd w:val="clear" w:color="auto" w:fill="auto"/>
                  <w:noWrap w:val="0"/>
                  <w:vAlign w:val="center"/>
                </w:tcPr>
                <w:p w14:paraId="7DDD41BE">
                  <w:pPr>
                    <w:jc w:val="center"/>
                    <w:rPr>
                      <w:rFonts w:ascii="Times New Roman" w:hAnsi="Times New Roman"/>
                      <w:snapToGrid w:val="0"/>
                      <w:color w:val="auto"/>
                      <w:sz w:val="18"/>
                      <w:szCs w:val="18"/>
                      <w:highlight w:val="none"/>
                    </w:rPr>
                  </w:pPr>
                  <w:r>
                    <w:rPr>
                      <w:rFonts w:ascii="Times New Roman" w:hAnsi="Times New Roman"/>
                      <w:snapToGrid w:val="0"/>
                      <w:color w:val="auto"/>
                      <w:sz w:val="18"/>
                      <w:szCs w:val="18"/>
                      <w:highlight w:val="none"/>
                    </w:rPr>
                    <w:t>0.5</w:t>
                  </w:r>
                </w:p>
              </w:tc>
              <w:tc>
                <w:tcPr>
                  <w:tcW w:w="1768" w:type="dxa"/>
                  <w:shd w:val="clear" w:color="auto" w:fill="auto"/>
                  <w:noWrap w:val="0"/>
                  <w:vAlign w:val="center"/>
                </w:tcPr>
                <w:p w14:paraId="3EC7F21E">
                  <w:pPr>
                    <w:jc w:val="center"/>
                    <w:rPr>
                      <w:rFonts w:ascii="Times New Roman" w:hAnsi="Times New Roman"/>
                      <w:snapToGrid w:val="0"/>
                      <w:color w:val="auto"/>
                      <w:sz w:val="18"/>
                      <w:szCs w:val="18"/>
                      <w:highlight w:val="none"/>
                    </w:rPr>
                  </w:pPr>
                  <w:r>
                    <w:rPr>
                      <w:rFonts w:ascii="Times New Roman" w:hAnsi="Times New Roman"/>
                      <w:snapToGrid w:val="0"/>
                      <w:color w:val="auto"/>
                      <w:sz w:val="18"/>
                      <w:szCs w:val="18"/>
                      <w:highlight w:val="none"/>
                    </w:rPr>
                    <w:t>1</w:t>
                  </w:r>
                </w:p>
              </w:tc>
            </w:tr>
          </w:tbl>
          <w:p w14:paraId="432732B0">
            <w:pPr>
              <w:adjustRightInd w:val="0"/>
              <w:snapToGrid w:val="0"/>
              <w:spacing w:line="360" w:lineRule="auto"/>
              <w:ind w:firstLine="420" w:firstLineChars="200"/>
              <w:jc w:val="both"/>
              <w:rPr>
                <w:rFonts w:ascii="Times New Roman" w:hAnsi="Times New Roman"/>
                <w:color w:val="auto"/>
                <w:sz w:val="21"/>
                <w:szCs w:val="21"/>
                <w:highlight w:val="none"/>
              </w:rPr>
            </w:pPr>
            <w:r>
              <w:rPr>
                <w:rFonts w:ascii="Times New Roman" w:hAnsi="Times New Roman"/>
                <w:color w:val="auto"/>
                <w:sz w:val="21"/>
                <w:szCs w:val="21"/>
                <w:highlight w:val="none"/>
              </w:rPr>
              <w:t>由上表可知，当非正常排放工况去除率为0时，污染物排放浓度及排放速率均明显增加，</w:t>
            </w:r>
            <w:r>
              <w:rPr>
                <w:rFonts w:hint="eastAsia" w:ascii="Times New Roman" w:hAnsi="Times New Roman"/>
                <w:color w:val="auto"/>
                <w:sz w:val="21"/>
                <w:szCs w:val="21"/>
                <w:highlight w:val="none"/>
              </w:rPr>
              <w:t>会出现超标现象，</w:t>
            </w:r>
            <w:r>
              <w:rPr>
                <w:rFonts w:ascii="Times New Roman" w:hAnsi="Times New Roman"/>
                <w:color w:val="auto"/>
                <w:sz w:val="21"/>
                <w:szCs w:val="21"/>
                <w:highlight w:val="none"/>
              </w:rPr>
              <w:t>对周边环境的影响明显加大。建设单位应加强对废气处理设备的管理，一旦发现异常，应立即查明事故工段，派专业维修人员进行迅速维修，保障设备正常运行，可减少非正常工况下废气对环境的影响</w:t>
            </w:r>
            <w:r>
              <w:rPr>
                <w:rFonts w:ascii="Times New Roman" w:hAnsi="Times New Roman"/>
                <w:bCs/>
                <w:color w:val="auto"/>
                <w:spacing w:val="2"/>
                <w:sz w:val="21"/>
                <w:szCs w:val="21"/>
                <w:highlight w:val="none"/>
              </w:rPr>
              <w:t>。</w:t>
            </w:r>
          </w:p>
          <w:p w14:paraId="3ECFDF5B">
            <w:pPr>
              <w:spacing w:line="360" w:lineRule="auto"/>
              <w:ind w:firstLine="422" w:firstLineChars="200"/>
              <w:jc w:val="left"/>
              <w:rPr>
                <w:rFonts w:ascii="Times New Roman" w:hAnsi="Times New Roman"/>
                <w:b/>
                <w:bCs/>
                <w:color w:val="auto"/>
                <w:sz w:val="21"/>
                <w:szCs w:val="21"/>
                <w:highlight w:val="none"/>
              </w:rPr>
            </w:pPr>
            <w:r>
              <w:rPr>
                <w:rFonts w:hint="eastAsia" w:ascii="Times New Roman" w:hAnsi="Times New Roman"/>
                <w:b/>
                <w:bCs/>
                <w:color w:val="auto"/>
                <w:sz w:val="21"/>
                <w:szCs w:val="21"/>
                <w:highlight w:val="none"/>
                <w:lang w:val="en-US" w:eastAsia="zh-CN"/>
              </w:rPr>
              <w:t>7</w:t>
            </w:r>
            <w:r>
              <w:rPr>
                <w:rFonts w:ascii="Times New Roman" w:hAnsi="Times New Roman"/>
                <w:b/>
                <w:bCs/>
                <w:color w:val="auto"/>
                <w:sz w:val="21"/>
                <w:szCs w:val="21"/>
                <w:highlight w:val="none"/>
              </w:rPr>
              <w:t>、污染防治措施及技术可行性论证</w:t>
            </w:r>
          </w:p>
          <w:p w14:paraId="7885B118">
            <w:pPr>
              <w:adjustRightInd w:val="0"/>
              <w:snapToGrid w:val="0"/>
              <w:spacing w:line="360" w:lineRule="auto"/>
              <w:ind w:firstLine="420" w:firstLineChars="200"/>
              <w:jc w:val="both"/>
              <w:rPr>
                <w:rFonts w:hint="eastAsia" w:ascii="Times New Roman" w:hAnsi="Times New Roman"/>
                <w:bCs/>
                <w:color w:val="auto"/>
                <w:spacing w:val="2"/>
                <w:sz w:val="21"/>
                <w:szCs w:val="21"/>
                <w:highlight w:val="none"/>
              </w:rPr>
            </w:pPr>
            <w:r>
              <w:rPr>
                <w:rFonts w:hint="eastAsia"/>
                <w:color w:val="auto"/>
                <w:sz w:val="21"/>
                <w:szCs w:val="21"/>
                <w:highlight w:val="none"/>
                <w:lang w:val="en-US" w:eastAsia="zh-CN"/>
              </w:rPr>
              <w:t>本项目采取的污染防治措施与</w:t>
            </w:r>
            <w:r>
              <w:rPr>
                <w:rFonts w:hint="eastAsia" w:ascii="Times New Roman" w:hAnsi="Times New Roman"/>
                <w:color w:val="auto"/>
                <w:sz w:val="21"/>
                <w:szCs w:val="21"/>
                <w:highlight w:val="none"/>
              </w:rPr>
              <w:t>《排污许可证申请与核发技术规范</w:t>
            </w:r>
            <w:r>
              <w:rPr>
                <w:rFonts w:hint="eastAsia"/>
                <w:color w:val="auto"/>
                <w:sz w:val="21"/>
                <w:szCs w:val="21"/>
                <w:highlight w:val="none"/>
                <w:lang w:val="en-US" w:eastAsia="zh-CN"/>
              </w:rPr>
              <w:t>钢铁工业</w:t>
            </w:r>
            <w:r>
              <w:rPr>
                <w:rFonts w:hint="eastAsia" w:ascii="Times New Roman" w:hAnsi="Times New Roman"/>
                <w:color w:val="auto"/>
                <w:sz w:val="21"/>
                <w:szCs w:val="21"/>
                <w:highlight w:val="none"/>
              </w:rPr>
              <w:t>》（HJ</w:t>
            </w:r>
            <w:r>
              <w:rPr>
                <w:rFonts w:hint="eastAsia"/>
                <w:color w:val="auto"/>
                <w:sz w:val="21"/>
                <w:szCs w:val="21"/>
                <w:highlight w:val="none"/>
                <w:lang w:val="en-US" w:eastAsia="zh-CN"/>
              </w:rPr>
              <w:t>846</w:t>
            </w:r>
            <w:r>
              <w:rPr>
                <w:rFonts w:hint="eastAsia" w:ascii="Times New Roman" w:hAnsi="Times New Roman"/>
                <w:color w:val="auto"/>
                <w:sz w:val="21"/>
                <w:szCs w:val="21"/>
                <w:highlight w:val="none"/>
              </w:rPr>
              <w:t>-201</w:t>
            </w:r>
            <w:r>
              <w:rPr>
                <w:rFonts w:hint="eastAsia"/>
                <w:color w:val="auto"/>
                <w:sz w:val="21"/>
                <w:szCs w:val="21"/>
                <w:highlight w:val="none"/>
                <w:lang w:val="en-US" w:eastAsia="zh-CN"/>
              </w:rPr>
              <w:t>7</w:t>
            </w:r>
            <w:r>
              <w:rPr>
                <w:rFonts w:hint="eastAsia" w:ascii="Times New Roman" w:hAnsi="Times New Roman"/>
                <w:color w:val="auto"/>
                <w:sz w:val="21"/>
                <w:szCs w:val="21"/>
                <w:highlight w:val="none"/>
              </w:rPr>
              <w:t>）</w:t>
            </w:r>
            <w:r>
              <w:rPr>
                <w:rFonts w:hint="eastAsia"/>
                <w:color w:val="auto"/>
                <w:sz w:val="21"/>
                <w:szCs w:val="21"/>
                <w:highlight w:val="none"/>
                <w:lang w:eastAsia="zh-CN"/>
              </w:rPr>
              <w:t>、《</w:t>
            </w:r>
            <w:r>
              <w:rPr>
                <w:rFonts w:hint="eastAsia"/>
                <w:color w:val="auto"/>
                <w:sz w:val="21"/>
                <w:szCs w:val="21"/>
                <w:highlight w:val="none"/>
                <w:lang w:val="en-US" w:eastAsia="zh-CN"/>
              </w:rPr>
              <w:t>钢铁行业轧钢工艺污染防治最佳可行技术指南</w:t>
            </w:r>
            <w:r>
              <w:rPr>
                <w:rFonts w:hint="eastAsia"/>
                <w:color w:val="auto"/>
                <w:sz w:val="21"/>
                <w:szCs w:val="21"/>
                <w:highlight w:val="none"/>
                <w:lang w:eastAsia="zh-CN"/>
              </w:rPr>
              <w:t>》</w:t>
            </w:r>
            <w:r>
              <w:rPr>
                <w:rFonts w:hint="eastAsia"/>
                <w:color w:val="auto"/>
                <w:sz w:val="21"/>
                <w:szCs w:val="21"/>
                <w:highlight w:val="none"/>
                <w:lang w:val="en-US" w:eastAsia="zh-CN"/>
              </w:rPr>
              <w:t>等文件要求对比见下表</w:t>
            </w:r>
            <w:r>
              <w:rPr>
                <w:rFonts w:hint="eastAsia" w:ascii="Times New Roman" w:hAnsi="Times New Roman"/>
                <w:bCs/>
                <w:color w:val="auto"/>
                <w:spacing w:val="2"/>
                <w:sz w:val="21"/>
                <w:szCs w:val="21"/>
                <w:highlight w:val="none"/>
              </w:rPr>
              <w:t>。</w:t>
            </w:r>
          </w:p>
          <w:p w14:paraId="7773C070">
            <w:pPr>
              <w:spacing w:line="360" w:lineRule="auto"/>
              <w:jc w:val="center"/>
              <w:rPr>
                <w:rFonts w:hint="default" w:ascii="Times New Roman" w:hAnsi="Times New Roman" w:eastAsia="黑体"/>
                <w:bCs/>
                <w:color w:val="auto"/>
                <w:spacing w:val="2"/>
                <w:sz w:val="21"/>
                <w:szCs w:val="21"/>
                <w:highlight w:val="none"/>
                <w:lang w:val="en-US" w:eastAsia="zh-CN"/>
              </w:rPr>
            </w:pPr>
            <w:r>
              <w:rPr>
                <w:rFonts w:ascii="Times New Roman" w:hAnsi="Times New Roman" w:eastAsia="黑体"/>
                <w:bCs/>
                <w:color w:val="auto"/>
                <w:spacing w:val="2"/>
                <w:sz w:val="21"/>
                <w:szCs w:val="21"/>
                <w:highlight w:val="none"/>
              </w:rPr>
              <w:t>表4-</w:t>
            </w:r>
            <w:r>
              <w:rPr>
                <w:rFonts w:hint="eastAsia" w:eastAsia="黑体"/>
                <w:bCs/>
                <w:color w:val="auto"/>
                <w:spacing w:val="2"/>
                <w:sz w:val="21"/>
                <w:szCs w:val="21"/>
                <w:highlight w:val="none"/>
                <w:lang w:val="en-US" w:eastAsia="zh-CN"/>
              </w:rPr>
              <w:t xml:space="preserve">15  </w:t>
            </w:r>
            <w:r>
              <w:rPr>
                <w:rFonts w:hint="eastAsia" w:ascii="Times New Roman" w:hAnsi="Times New Roman" w:eastAsia="黑体"/>
                <w:bCs/>
                <w:color w:val="auto"/>
                <w:spacing w:val="2"/>
                <w:sz w:val="21"/>
                <w:szCs w:val="21"/>
                <w:highlight w:val="none"/>
                <w:lang w:val="en-US" w:eastAsia="zh-CN"/>
              </w:rPr>
              <w:t>污染防治</w:t>
            </w:r>
            <w:r>
              <w:rPr>
                <w:rFonts w:hint="eastAsia" w:eastAsia="黑体"/>
                <w:bCs/>
                <w:color w:val="auto"/>
                <w:spacing w:val="2"/>
                <w:sz w:val="21"/>
                <w:szCs w:val="21"/>
                <w:highlight w:val="none"/>
                <w:lang w:val="en-US" w:eastAsia="zh-CN"/>
              </w:rPr>
              <w:t>措施</w:t>
            </w:r>
            <w:r>
              <w:rPr>
                <w:rFonts w:hint="eastAsia" w:ascii="Times New Roman" w:hAnsi="Times New Roman" w:eastAsia="黑体"/>
                <w:bCs/>
                <w:color w:val="auto"/>
                <w:spacing w:val="2"/>
                <w:sz w:val="21"/>
                <w:szCs w:val="21"/>
                <w:highlight w:val="none"/>
                <w:lang w:val="en-US" w:eastAsia="zh-CN"/>
              </w:rPr>
              <w:t>可行性分析</w:t>
            </w:r>
          </w:p>
          <w:tbl>
            <w:tblPr>
              <w:tblStyle w:val="33"/>
              <w:tblW w:w="0" w:type="auto"/>
              <w:tblInd w:w="-8" w:type="dxa"/>
              <w:tblBorders>
                <w:top w:val="single" w:color="080000" w:sz="12" w:space="0"/>
                <w:left w:val="single" w:color="080000" w:sz="12" w:space="0"/>
                <w:bottom w:val="single" w:color="080000" w:sz="12" w:space="0"/>
                <w:right w:val="single" w:color="080000" w:sz="12" w:space="0"/>
                <w:insideH w:val="single" w:color="080000" w:sz="4" w:space="0"/>
                <w:insideV w:val="single" w:color="080000" w:sz="4" w:space="0"/>
              </w:tblBorders>
              <w:shd w:val="clear" w:color="auto" w:fill="auto"/>
              <w:tblLayout w:type="autofit"/>
              <w:tblCellMar>
                <w:top w:w="0" w:type="dxa"/>
                <w:left w:w="0" w:type="dxa"/>
                <w:bottom w:w="0" w:type="dxa"/>
                <w:right w:w="0" w:type="dxa"/>
              </w:tblCellMar>
            </w:tblPr>
            <w:tblGrid>
              <w:gridCol w:w="2525"/>
              <w:gridCol w:w="1916"/>
              <w:gridCol w:w="1428"/>
              <w:gridCol w:w="1672"/>
              <w:gridCol w:w="761"/>
            </w:tblGrid>
            <w:tr w14:paraId="70EF3FA6">
              <w:tblPrEx>
                <w:tblBorders>
                  <w:top w:val="single" w:color="080000" w:sz="12" w:space="0"/>
                  <w:left w:val="single" w:color="080000" w:sz="12" w:space="0"/>
                  <w:bottom w:val="single" w:color="080000" w:sz="12" w:space="0"/>
                  <w:right w:val="single" w:color="080000" w:sz="12" w:space="0"/>
                  <w:insideH w:val="single" w:color="080000" w:sz="4" w:space="0"/>
                  <w:insideV w:val="single" w:color="080000" w:sz="4" w:space="0"/>
                </w:tblBorders>
                <w:shd w:val="clear" w:color="auto" w:fill="auto"/>
                <w:tblCellMar>
                  <w:top w:w="0" w:type="dxa"/>
                  <w:left w:w="0" w:type="dxa"/>
                  <w:bottom w:w="0" w:type="dxa"/>
                  <w:right w:w="0" w:type="dxa"/>
                </w:tblCellMar>
              </w:tblPrEx>
              <w:trPr>
                <w:trHeight w:val="23" w:hRule="atLeast"/>
              </w:trPr>
              <w:tc>
                <w:tcPr>
                  <w:tcW w:w="0" w:type="auto"/>
                  <w:tcBorders>
                    <w:tl2br w:val="nil"/>
                    <w:tr2bl w:val="nil"/>
                  </w:tcBorders>
                  <w:shd w:val="clear" w:color="auto" w:fill="auto"/>
                  <w:tcMar>
                    <w:left w:w="108" w:type="dxa"/>
                    <w:right w:w="108" w:type="dxa"/>
                  </w:tcMar>
                  <w:vAlign w:val="center"/>
                </w:tcPr>
                <w:p w14:paraId="3F050AE7">
                  <w:pPr>
                    <w:pStyle w:val="29"/>
                    <w:keepNext w:val="0"/>
                    <w:keepLines w:val="0"/>
                    <w:widowControl/>
                    <w:suppressLineNumbers w:val="0"/>
                    <w:kinsoku/>
                    <w:wordWrap/>
                    <w:overflowPunct/>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废气类别</w:t>
                  </w:r>
                </w:p>
              </w:tc>
              <w:tc>
                <w:tcPr>
                  <w:tcW w:w="0" w:type="auto"/>
                  <w:tcBorders>
                    <w:tl2br w:val="nil"/>
                    <w:tr2bl w:val="nil"/>
                  </w:tcBorders>
                  <w:shd w:val="clear" w:color="auto" w:fill="auto"/>
                  <w:tcMar>
                    <w:left w:w="108" w:type="dxa"/>
                    <w:right w:w="108" w:type="dxa"/>
                  </w:tcMar>
                  <w:vAlign w:val="center"/>
                </w:tcPr>
                <w:p w14:paraId="6C4799D9">
                  <w:pPr>
                    <w:pStyle w:val="29"/>
                    <w:keepNext w:val="0"/>
                    <w:keepLines w:val="0"/>
                    <w:widowControl/>
                    <w:suppressLineNumbers w:val="0"/>
                    <w:kinsoku/>
                    <w:wordWrap/>
                    <w:overflowPunct/>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主要污染物</w:t>
                  </w:r>
                </w:p>
              </w:tc>
              <w:tc>
                <w:tcPr>
                  <w:tcW w:w="0" w:type="auto"/>
                  <w:tcBorders>
                    <w:tl2br w:val="nil"/>
                    <w:tr2bl w:val="nil"/>
                  </w:tcBorders>
                  <w:shd w:val="clear" w:color="auto" w:fill="auto"/>
                  <w:tcMar>
                    <w:left w:w="108" w:type="dxa"/>
                    <w:right w:w="108" w:type="dxa"/>
                  </w:tcMar>
                  <w:vAlign w:val="center"/>
                </w:tcPr>
                <w:p w14:paraId="24EDEA84">
                  <w:pPr>
                    <w:pStyle w:val="29"/>
                    <w:keepNext w:val="0"/>
                    <w:keepLines w:val="0"/>
                    <w:widowControl/>
                    <w:suppressLineNumbers w:val="0"/>
                    <w:kinsoku/>
                    <w:wordWrap/>
                    <w:overflowPunct/>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可行技术</w:t>
                  </w:r>
                </w:p>
              </w:tc>
              <w:tc>
                <w:tcPr>
                  <w:tcW w:w="0" w:type="auto"/>
                  <w:tcBorders>
                    <w:tl2br w:val="nil"/>
                    <w:tr2bl w:val="nil"/>
                  </w:tcBorders>
                  <w:shd w:val="clear" w:color="auto" w:fill="auto"/>
                  <w:tcMar>
                    <w:left w:w="108" w:type="dxa"/>
                    <w:right w:w="108" w:type="dxa"/>
                  </w:tcMar>
                  <w:vAlign w:val="center"/>
                </w:tcPr>
                <w:p w14:paraId="16AC2CD1">
                  <w:pPr>
                    <w:pStyle w:val="29"/>
                    <w:keepNext w:val="0"/>
                    <w:keepLines w:val="0"/>
                    <w:widowControl/>
                    <w:suppressLineNumbers w:val="0"/>
                    <w:kinsoku/>
                    <w:wordWrap/>
                    <w:overflowPunct/>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本项目采用污染防治技术</w:t>
                  </w:r>
                </w:p>
              </w:tc>
              <w:tc>
                <w:tcPr>
                  <w:tcW w:w="0" w:type="auto"/>
                  <w:tcBorders>
                    <w:tl2br w:val="nil"/>
                    <w:tr2bl w:val="nil"/>
                  </w:tcBorders>
                  <w:shd w:val="clear" w:color="auto" w:fill="auto"/>
                  <w:tcMar>
                    <w:left w:w="108" w:type="dxa"/>
                    <w:right w:w="108" w:type="dxa"/>
                  </w:tcMar>
                  <w:vAlign w:val="center"/>
                </w:tcPr>
                <w:p w14:paraId="3D6CEB3B">
                  <w:pPr>
                    <w:pStyle w:val="29"/>
                    <w:keepNext w:val="0"/>
                    <w:keepLines w:val="0"/>
                    <w:widowControl/>
                    <w:suppressLineNumbers w:val="0"/>
                    <w:kinsoku/>
                    <w:wordWrap/>
                    <w:overflowPunct/>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是否可行</w:t>
                  </w:r>
                </w:p>
              </w:tc>
            </w:tr>
            <w:tr w14:paraId="4F807BC0">
              <w:tblPrEx>
                <w:tblBorders>
                  <w:top w:val="single" w:color="080000" w:sz="12" w:space="0"/>
                  <w:left w:val="single" w:color="080000" w:sz="12" w:space="0"/>
                  <w:bottom w:val="single" w:color="080000" w:sz="12" w:space="0"/>
                  <w:right w:val="single" w:color="080000" w:sz="12" w:space="0"/>
                  <w:insideH w:val="single" w:color="080000" w:sz="4" w:space="0"/>
                  <w:insideV w:val="single" w:color="080000" w:sz="4" w:space="0"/>
                </w:tblBorders>
                <w:tblCellMar>
                  <w:top w:w="0" w:type="dxa"/>
                  <w:left w:w="0" w:type="dxa"/>
                  <w:bottom w:w="0" w:type="dxa"/>
                  <w:right w:w="0" w:type="dxa"/>
                </w:tblCellMar>
              </w:tblPrEx>
              <w:trPr>
                <w:trHeight w:val="23" w:hRule="atLeast"/>
              </w:trPr>
              <w:tc>
                <w:tcPr>
                  <w:tcW w:w="0" w:type="auto"/>
                  <w:tcBorders>
                    <w:tl2br w:val="nil"/>
                    <w:tr2bl w:val="nil"/>
                  </w:tcBorders>
                  <w:shd w:val="clear" w:color="auto" w:fill="auto"/>
                  <w:tcMar>
                    <w:left w:w="108" w:type="dxa"/>
                    <w:right w:w="108" w:type="dxa"/>
                  </w:tcMar>
                  <w:vAlign w:val="center"/>
                </w:tcPr>
                <w:p w14:paraId="728CD38B">
                  <w:pPr>
                    <w:pStyle w:val="29"/>
                    <w:keepNext w:val="0"/>
                    <w:keepLines w:val="0"/>
                    <w:widowControl/>
                    <w:suppressLineNumbers w:val="0"/>
                    <w:kinsoku/>
                    <w:wordWrap/>
                    <w:overflowPunct/>
                    <w:jc w:val="center"/>
                    <w:rPr>
                      <w:rFonts w:hint="default" w:ascii="Times New Roman" w:hAnsi="Times New Roman" w:cs="Times New Roman" w:eastAsiaTheme="minorEastAsia"/>
                      <w:color w:val="auto"/>
                      <w:sz w:val="18"/>
                      <w:szCs w:val="18"/>
                      <w:highlight w:val="none"/>
                      <w:lang w:val="en-US" w:eastAsia="zh-CN"/>
                    </w:rPr>
                  </w:pPr>
                  <w:r>
                    <w:rPr>
                      <w:rFonts w:hint="eastAsia" w:ascii="Times New Roman" w:hAnsi="Times New Roman" w:cs="Times New Roman" w:eastAsiaTheme="minorEastAsia"/>
                      <w:color w:val="auto"/>
                      <w:sz w:val="18"/>
                      <w:szCs w:val="18"/>
                      <w:highlight w:val="none"/>
                      <w:lang w:val="en-US" w:eastAsia="zh-CN"/>
                    </w:rPr>
                    <w:t>加热炉/热处理炉废气</w:t>
                  </w:r>
                </w:p>
              </w:tc>
              <w:tc>
                <w:tcPr>
                  <w:tcW w:w="0" w:type="auto"/>
                  <w:tcBorders>
                    <w:tl2br w:val="nil"/>
                    <w:tr2bl w:val="nil"/>
                  </w:tcBorders>
                  <w:shd w:val="clear" w:color="auto" w:fill="auto"/>
                  <w:tcMar>
                    <w:left w:w="108" w:type="dxa"/>
                    <w:right w:w="108" w:type="dxa"/>
                  </w:tcMar>
                  <w:vAlign w:val="center"/>
                </w:tcPr>
                <w:p w14:paraId="245709B5">
                  <w:pPr>
                    <w:pStyle w:val="29"/>
                    <w:keepNext w:val="0"/>
                    <w:keepLines w:val="0"/>
                    <w:widowControl/>
                    <w:suppressLineNumbers w:val="0"/>
                    <w:kinsoku/>
                    <w:wordWrap/>
                    <w:overflowPunct/>
                    <w:jc w:val="center"/>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rPr>
                    <w:t>颗粒物</w:t>
                  </w:r>
                  <w:r>
                    <w:rPr>
                      <w:rFonts w:hint="eastAsia" w:ascii="Times New Roman" w:hAnsi="Times New Roman" w:cs="Times New Roman" w:eastAsiaTheme="minorEastAsia"/>
                      <w:color w:val="auto"/>
                      <w:sz w:val="18"/>
                      <w:szCs w:val="18"/>
                      <w:highlight w:val="none"/>
                      <w:lang w:eastAsia="zh-CN"/>
                    </w:rPr>
                    <w:t>、</w:t>
                  </w:r>
                  <w:r>
                    <w:rPr>
                      <w:rFonts w:hint="eastAsia" w:ascii="Times New Roman" w:hAnsi="Times New Roman" w:cs="Times New Roman" w:eastAsiaTheme="minorEastAsia"/>
                      <w:color w:val="auto"/>
                      <w:sz w:val="18"/>
                      <w:szCs w:val="18"/>
                      <w:highlight w:val="none"/>
                      <w:lang w:val="en-US" w:eastAsia="zh-CN"/>
                    </w:rPr>
                    <w:t>二氧化硫、氮氧化物</w:t>
                  </w:r>
                </w:p>
              </w:tc>
              <w:tc>
                <w:tcPr>
                  <w:tcW w:w="0" w:type="auto"/>
                  <w:tcBorders>
                    <w:tl2br w:val="nil"/>
                    <w:tr2bl w:val="nil"/>
                  </w:tcBorders>
                  <w:shd w:val="clear" w:color="auto" w:fill="auto"/>
                  <w:tcMar>
                    <w:left w:w="108" w:type="dxa"/>
                    <w:right w:w="108" w:type="dxa"/>
                  </w:tcMar>
                  <w:vAlign w:val="center"/>
                </w:tcPr>
                <w:p w14:paraId="3CE0FA74">
                  <w:pPr>
                    <w:pStyle w:val="29"/>
                    <w:keepNext w:val="0"/>
                    <w:keepLines w:val="0"/>
                    <w:widowControl/>
                    <w:suppressLineNumbers w:val="0"/>
                    <w:kinsoku/>
                    <w:wordWrap/>
                    <w:overflowPunct/>
                    <w:jc w:val="center"/>
                    <w:rPr>
                      <w:rFonts w:hint="default" w:ascii="Times New Roman" w:hAnsi="Times New Roman" w:cs="Times New Roman" w:eastAsiaTheme="minorEastAsia"/>
                      <w:color w:val="auto"/>
                      <w:sz w:val="18"/>
                      <w:szCs w:val="18"/>
                      <w:highlight w:val="none"/>
                      <w:lang w:val="en-US" w:eastAsia="zh-CN"/>
                    </w:rPr>
                  </w:pPr>
                  <w:r>
                    <w:rPr>
                      <w:rFonts w:hint="eastAsia" w:ascii="Times New Roman" w:hAnsi="Times New Roman" w:cs="Times New Roman" w:eastAsiaTheme="minorEastAsia"/>
                      <w:color w:val="auto"/>
                      <w:sz w:val="18"/>
                      <w:szCs w:val="18"/>
                      <w:highlight w:val="none"/>
                      <w:lang w:val="en-US" w:eastAsia="zh-CN"/>
                    </w:rPr>
                    <w:t>低氮燃烧技术</w:t>
                  </w:r>
                </w:p>
              </w:tc>
              <w:tc>
                <w:tcPr>
                  <w:tcW w:w="0" w:type="auto"/>
                  <w:tcBorders>
                    <w:tl2br w:val="nil"/>
                    <w:tr2bl w:val="nil"/>
                  </w:tcBorders>
                  <w:shd w:val="clear" w:color="auto" w:fill="auto"/>
                  <w:tcMar>
                    <w:left w:w="108" w:type="dxa"/>
                    <w:right w:w="108" w:type="dxa"/>
                  </w:tcMar>
                  <w:vAlign w:val="center"/>
                </w:tcPr>
                <w:p w14:paraId="23C06B37">
                  <w:pPr>
                    <w:pStyle w:val="29"/>
                    <w:keepNext w:val="0"/>
                    <w:keepLines w:val="0"/>
                    <w:widowControl/>
                    <w:suppressLineNumbers w:val="0"/>
                    <w:kinsoku/>
                    <w:wordWrap/>
                    <w:overflowPunct/>
                    <w:jc w:val="center"/>
                    <w:rPr>
                      <w:rFonts w:hint="default" w:ascii="Times New Roman" w:hAnsi="Times New Roman" w:cs="Times New Roman" w:eastAsiaTheme="minorEastAsia"/>
                      <w:color w:val="auto"/>
                      <w:sz w:val="18"/>
                      <w:szCs w:val="18"/>
                      <w:highlight w:val="none"/>
                    </w:rPr>
                  </w:pPr>
                  <w:r>
                    <w:rPr>
                      <w:rFonts w:hint="eastAsia" w:ascii="Times New Roman" w:hAnsi="Times New Roman" w:cs="Times New Roman" w:eastAsiaTheme="minorEastAsia"/>
                      <w:color w:val="auto"/>
                      <w:sz w:val="18"/>
                      <w:szCs w:val="18"/>
                      <w:highlight w:val="none"/>
                      <w:lang w:val="en-US" w:eastAsia="zh-CN"/>
                    </w:rPr>
                    <w:t>低氮燃烧技术</w:t>
                  </w:r>
                </w:p>
              </w:tc>
              <w:tc>
                <w:tcPr>
                  <w:tcW w:w="0" w:type="auto"/>
                  <w:tcBorders>
                    <w:tl2br w:val="nil"/>
                    <w:tr2bl w:val="nil"/>
                  </w:tcBorders>
                  <w:shd w:val="clear" w:color="auto" w:fill="auto"/>
                  <w:tcMar>
                    <w:left w:w="108" w:type="dxa"/>
                    <w:right w:w="108" w:type="dxa"/>
                  </w:tcMar>
                  <w:vAlign w:val="center"/>
                </w:tcPr>
                <w:p w14:paraId="0BEA60A4">
                  <w:pPr>
                    <w:pStyle w:val="29"/>
                    <w:keepNext w:val="0"/>
                    <w:keepLines w:val="0"/>
                    <w:widowControl/>
                    <w:suppressLineNumbers w:val="0"/>
                    <w:kinsoku/>
                    <w:wordWrap/>
                    <w:overflowPunct/>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是</w:t>
                  </w:r>
                </w:p>
              </w:tc>
            </w:tr>
            <w:tr w14:paraId="086E543F">
              <w:tblPrEx>
                <w:tblBorders>
                  <w:top w:val="single" w:color="080000" w:sz="12" w:space="0"/>
                  <w:left w:val="single" w:color="080000" w:sz="12" w:space="0"/>
                  <w:bottom w:val="single" w:color="080000" w:sz="12" w:space="0"/>
                  <w:right w:val="single" w:color="080000" w:sz="12" w:space="0"/>
                  <w:insideH w:val="single" w:color="080000" w:sz="4" w:space="0"/>
                  <w:insideV w:val="single" w:color="080000" w:sz="4" w:space="0"/>
                </w:tblBorders>
                <w:shd w:val="clear" w:color="auto" w:fill="auto"/>
                <w:tblCellMar>
                  <w:top w:w="0" w:type="dxa"/>
                  <w:left w:w="0" w:type="dxa"/>
                  <w:bottom w:w="0" w:type="dxa"/>
                  <w:right w:w="0" w:type="dxa"/>
                </w:tblCellMar>
              </w:tblPrEx>
              <w:trPr>
                <w:trHeight w:val="23" w:hRule="atLeast"/>
              </w:trPr>
              <w:tc>
                <w:tcPr>
                  <w:tcW w:w="0" w:type="auto"/>
                  <w:tcBorders>
                    <w:tl2br w:val="nil"/>
                    <w:tr2bl w:val="nil"/>
                  </w:tcBorders>
                  <w:shd w:val="clear" w:color="auto" w:fill="auto"/>
                  <w:tcMar>
                    <w:left w:w="108" w:type="dxa"/>
                    <w:right w:w="108" w:type="dxa"/>
                  </w:tcMar>
                  <w:vAlign w:val="center"/>
                </w:tcPr>
                <w:p w14:paraId="0F6A9AC9">
                  <w:pPr>
                    <w:pStyle w:val="29"/>
                    <w:keepNext w:val="0"/>
                    <w:keepLines w:val="0"/>
                    <w:widowControl/>
                    <w:suppressLineNumbers w:val="0"/>
                    <w:kinsoku/>
                    <w:wordWrap/>
                    <w:overflowPunct/>
                    <w:jc w:val="center"/>
                    <w:rPr>
                      <w:rFonts w:hint="default" w:ascii="Times New Roman" w:hAnsi="Times New Roman" w:cs="Times New Roman" w:eastAsiaTheme="minorEastAsia"/>
                      <w:color w:val="auto"/>
                      <w:sz w:val="18"/>
                      <w:szCs w:val="18"/>
                      <w:highlight w:val="none"/>
                      <w:lang w:val="en-US" w:eastAsia="zh-CN"/>
                    </w:rPr>
                  </w:pPr>
                  <w:r>
                    <w:rPr>
                      <w:rFonts w:hint="eastAsia" w:ascii="Times New Roman" w:hAnsi="Times New Roman" w:cs="Times New Roman" w:eastAsiaTheme="minorEastAsia"/>
                      <w:color w:val="auto"/>
                      <w:sz w:val="18"/>
                      <w:szCs w:val="18"/>
                      <w:highlight w:val="none"/>
                      <w:lang w:val="en-US" w:eastAsia="zh-CN"/>
                    </w:rPr>
                    <w:t>抛丸、氧化铁粉仓、开卷、激光焊接废气</w:t>
                  </w:r>
                </w:p>
              </w:tc>
              <w:tc>
                <w:tcPr>
                  <w:tcW w:w="0" w:type="auto"/>
                  <w:tcBorders>
                    <w:tl2br w:val="nil"/>
                    <w:tr2bl w:val="nil"/>
                  </w:tcBorders>
                  <w:shd w:val="clear" w:color="auto" w:fill="auto"/>
                  <w:tcMar>
                    <w:left w:w="108" w:type="dxa"/>
                    <w:right w:w="108" w:type="dxa"/>
                  </w:tcMar>
                  <w:vAlign w:val="center"/>
                </w:tcPr>
                <w:p w14:paraId="78C5B1FA">
                  <w:pPr>
                    <w:pStyle w:val="29"/>
                    <w:keepNext w:val="0"/>
                    <w:keepLines w:val="0"/>
                    <w:widowControl/>
                    <w:suppressLineNumbers w:val="0"/>
                    <w:kinsoku/>
                    <w:wordWrap/>
                    <w:overflowPunct/>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颗粒物</w:t>
                  </w:r>
                </w:p>
              </w:tc>
              <w:tc>
                <w:tcPr>
                  <w:tcW w:w="0" w:type="auto"/>
                  <w:tcBorders>
                    <w:tl2br w:val="nil"/>
                    <w:tr2bl w:val="nil"/>
                  </w:tcBorders>
                  <w:shd w:val="clear" w:color="auto" w:fill="auto"/>
                  <w:tcMar>
                    <w:left w:w="108" w:type="dxa"/>
                    <w:right w:w="108" w:type="dxa"/>
                  </w:tcMar>
                  <w:vAlign w:val="center"/>
                </w:tcPr>
                <w:p w14:paraId="5FF0B135">
                  <w:pPr>
                    <w:pStyle w:val="29"/>
                    <w:keepNext w:val="0"/>
                    <w:keepLines w:val="0"/>
                    <w:widowControl/>
                    <w:suppressLineNumbers w:val="0"/>
                    <w:kinsoku/>
                    <w:wordWrap/>
                    <w:overflowPunct/>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袋式除尘</w:t>
                  </w:r>
                </w:p>
              </w:tc>
              <w:tc>
                <w:tcPr>
                  <w:tcW w:w="0" w:type="auto"/>
                  <w:tcBorders>
                    <w:tl2br w:val="nil"/>
                    <w:tr2bl w:val="nil"/>
                  </w:tcBorders>
                  <w:shd w:val="clear" w:color="auto" w:fill="auto"/>
                  <w:tcMar>
                    <w:left w:w="108" w:type="dxa"/>
                    <w:right w:w="108" w:type="dxa"/>
                  </w:tcMar>
                  <w:vAlign w:val="center"/>
                </w:tcPr>
                <w:p w14:paraId="4436BC8A">
                  <w:pPr>
                    <w:pStyle w:val="29"/>
                    <w:keepNext w:val="0"/>
                    <w:keepLines w:val="0"/>
                    <w:widowControl/>
                    <w:suppressLineNumbers w:val="0"/>
                    <w:kinsoku/>
                    <w:wordWrap/>
                    <w:overflowPunct/>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袋式除尘</w:t>
                  </w:r>
                </w:p>
              </w:tc>
              <w:tc>
                <w:tcPr>
                  <w:tcW w:w="0" w:type="auto"/>
                  <w:tcBorders>
                    <w:tl2br w:val="nil"/>
                    <w:tr2bl w:val="nil"/>
                  </w:tcBorders>
                  <w:shd w:val="clear" w:color="auto" w:fill="auto"/>
                  <w:tcMar>
                    <w:left w:w="108" w:type="dxa"/>
                    <w:right w:w="108" w:type="dxa"/>
                  </w:tcMar>
                  <w:vAlign w:val="center"/>
                </w:tcPr>
                <w:p w14:paraId="5DB2BA37">
                  <w:pPr>
                    <w:pStyle w:val="29"/>
                    <w:keepNext w:val="0"/>
                    <w:keepLines w:val="0"/>
                    <w:widowControl/>
                    <w:suppressLineNumbers w:val="0"/>
                    <w:kinsoku/>
                    <w:wordWrap/>
                    <w:overflowPunct/>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是</w:t>
                  </w:r>
                </w:p>
              </w:tc>
            </w:tr>
            <w:tr w14:paraId="6E26EA0B">
              <w:tblPrEx>
                <w:tblBorders>
                  <w:top w:val="single" w:color="080000" w:sz="12" w:space="0"/>
                  <w:left w:val="single" w:color="080000" w:sz="12" w:space="0"/>
                  <w:bottom w:val="single" w:color="080000" w:sz="12" w:space="0"/>
                  <w:right w:val="single" w:color="080000" w:sz="12" w:space="0"/>
                  <w:insideH w:val="single" w:color="080000" w:sz="4" w:space="0"/>
                  <w:insideV w:val="single" w:color="080000" w:sz="4" w:space="0"/>
                </w:tblBorders>
                <w:tblCellMar>
                  <w:top w:w="0" w:type="dxa"/>
                  <w:left w:w="0" w:type="dxa"/>
                  <w:bottom w:w="0" w:type="dxa"/>
                  <w:right w:w="0" w:type="dxa"/>
                </w:tblCellMar>
              </w:tblPrEx>
              <w:trPr>
                <w:trHeight w:val="23" w:hRule="atLeast"/>
              </w:trPr>
              <w:tc>
                <w:tcPr>
                  <w:tcW w:w="0" w:type="auto"/>
                  <w:tcBorders>
                    <w:tl2br w:val="nil"/>
                    <w:tr2bl w:val="nil"/>
                  </w:tcBorders>
                  <w:shd w:val="clear" w:color="auto" w:fill="auto"/>
                  <w:tcMar>
                    <w:left w:w="108" w:type="dxa"/>
                    <w:right w:w="108" w:type="dxa"/>
                  </w:tcMar>
                  <w:vAlign w:val="center"/>
                </w:tcPr>
                <w:p w14:paraId="63EB75BF">
                  <w:pPr>
                    <w:pStyle w:val="29"/>
                    <w:keepNext w:val="0"/>
                    <w:keepLines w:val="0"/>
                    <w:widowControl/>
                    <w:suppressLineNumbers w:val="0"/>
                    <w:kinsoku/>
                    <w:wordWrap/>
                    <w:overflowPunct/>
                    <w:jc w:val="center"/>
                    <w:rPr>
                      <w:rFonts w:hint="default" w:ascii="Times New Roman" w:hAnsi="Times New Roman" w:cs="Times New Roman" w:eastAsiaTheme="minorEastAsia"/>
                      <w:color w:val="auto"/>
                      <w:sz w:val="18"/>
                      <w:szCs w:val="18"/>
                      <w:highlight w:val="none"/>
                      <w:lang w:val="en-US" w:eastAsia="zh-CN"/>
                    </w:rPr>
                  </w:pPr>
                  <w:r>
                    <w:rPr>
                      <w:rFonts w:hint="eastAsia" w:ascii="Times New Roman" w:hAnsi="Times New Roman" w:cs="Times New Roman" w:eastAsiaTheme="minorEastAsia"/>
                      <w:color w:val="auto"/>
                      <w:sz w:val="18"/>
                      <w:szCs w:val="18"/>
                      <w:highlight w:val="none"/>
                      <w:lang w:val="en-US" w:eastAsia="zh-CN"/>
                    </w:rPr>
                    <w:t>酸雾、碱雾、油雾</w:t>
                  </w:r>
                </w:p>
              </w:tc>
              <w:tc>
                <w:tcPr>
                  <w:tcW w:w="0" w:type="auto"/>
                  <w:tcBorders>
                    <w:tl2br w:val="nil"/>
                    <w:tr2bl w:val="nil"/>
                  </w:tcBorders>
                  <w:shd w:val="clear" w:color="auto" w:fill="auto"/>
                  <w:tcMar>
                    <w:left w:w="108" w:type="dxa"/>
                    <w:right w:w="108" w:type="dxa"/>
                  </w:tcMar>
                  <w:vAlign w:val="center"/>
                </w:tcPr>
                <w:p w14:paraId="6A74B420">
                  <w:pPr>
                    <w:pStyle w:val="29"/>
                    <w:keepNext w:val="0"/>
                    <w:keepLines w:val="0"/>
                    <w:widowControl/>
                    <w:suppressLineNumbers w:val="0"/>
                    <w:kinsoku/>
                    <w:wordWrap/>
                    <w:overflowPunct/>
                    <w:jc w:val="center"/>
                    <w:rPr>
                      <w:rFonts w:hint="default" w:ascii="Times New Roman" w:hAnsi="Times New Roman" w:cs="Times New Roman" w:eastAsiaTheme="minorEastAsia"/>
                      <w:color w:val="auto"/>
                      <w:sz w:val="18"/>
                      <w:szCs w:val="18"/>
                      <w:highlight w:val="none"/>
                      <w:lang w:val="en-US" w:eastAsia="zh-CN"/>
                    </w:rPr>
                  </w:pPr>
                  <w:r>
                    <w:rPr>
                      <w:rFonts w:hint="eastAsia" w:ascii="Times New Roman" w:hAnsi="Times New Roman" w:cs="Times New Roman" w:eastAsiaTheme="minorEastAsia"/>
                      <w:color w:val="auto"/>
                      <w:sz w:val="18"/>
                      <w:szCs w:val="18"/>
                      <w:highlight w:val="none"/>
                      <w:lang w:val="en-US" w:eastAsia="zh-CN"/>
                    </w:rPr>
                    <w:t>氯化氢、硫酸、油雾</w:t>
                  </w:r>
                </w:p>
              </w:tc>
              <w:tc>
                <w:tcPr>
                  <w:tcW w:w="0" w:type="auto"/>
                  <w:tcBorders>
                    <w:tl2br w:val="nil"/>
                    <w:tr2bl w:val="nil"/>
                  </w:tcBorders>
                  <w:shd w:val="clear" w:color="auto" w:fill="auto"/>
                  <w:tcMar>
                    <w:left w:w="108" w:type="dxa"/>
                    <w:right w:w="108" w:type="dxa"/>
                  </w:tcMar>
                  <w:vAlign w:val="center"/>
                </w:tcPr>
                <w:p w14:paraId="5FB46AC3">
                  <w:pPr>
                    <w:pStyle w:val="29"/>
                    <w:keepNext w:val="0"/>
                    <w:keepLines w:val="0"/>
                    <w:widowControl/>
                    <w:suppressLineNumbers w:val="0"/>
                    <w:kinsoku/>
                    <w:wordWrap/>
                    <w:overflowPunct/>
                    <w:jc w:val="center"/>
                    <w:rPr>
                      <w:rFonts w:hint="default" w:ascii="Times New Roman" w:hAnsi="Times New Roman" w:cs="Times New Roman" w:eastAsiaTheme="minorEastAsia"/>
                      <w:color w:val="auto"/>
                      <w:sz w:val="18"/>
                      <w:szCs w:val="18"/>
                      <w:highlight w:val="none"/>
                      <w:lang w:val="en-US" w:eastAsia="zh-CN"/>
                    </w:rPr>
                  </w:pPr>
                  <w:r>
                    <w:rPr>
                      <w:rFonts w:hint="eastAsia" w:ascii="Times New Roman" w:hAnsi="Times New Roman" w:cs="Times New Roman" w:eastAsiaTheme="minorEastAsia"/>
                      <w:color w:val="auto"/>
                      <w:sz w:val="18"/>
                      <w:szCs w:val="18"/>
                      <w:highlight w:val="none"/>
                      <w:lang w:val="en-US" w:eastAsia="zh-CN"/>
                    </w:rPr>
                    <w:t>湿法喷淋、油雾净化</w:t>
                  </w:r>
                </w:p>
              </w:tc>
              <w:tc>
                <w:tcPr>
                  <w:tcW w:w="0" w:type="auto"/>
                  <w:tcBorders>
                    <w:tl2br w:val="nil"/>
                    <w:tr2bl w:val="nil"/>
                  </w:tcBorders>
                  <w:shd w:val="clear" w:color="auto" w:fill="auto"/>
                  <w:tcMar>
                    <w:left w:w="108" w:type="dxa"/>
                    <w:right w:w="108" w:type="dxa"/>
                  </w:tcMar>
                  <w:vAlign w:val="center"/>
                </w:tcPr>
                <w:p w14:paraId="2E66ADCE">
                  <w:pPr>
                    <w:pStyle w:val="29"/>
                    <w:keepNext w:val="0"/>
                    <w:keepLines w:val="0"/>
                    <w:widowControl/>
                    <w:suppressLineNumbers w:val="0"/>
                    <w:kinsoku/>
                    <w:wordWrap/>
                    <w:overflowPunct/>
                    <w:jc w:val="center"/>
                    <w:rPr>
                      <w:rFonts w:hint="default" w:ascii="Times New Roman" w:hAnsi="Times New Roman" w:cs="Times New Roman" w:eastAsiaTheme="minorEastAsia"/>
                      <w:color w:val="auto"/>
                      <w:sz w:val="18"/>
                      <w:szCs w:val="18"/>
                      <w:highlight w:val="none"/>
                    </w:rPr>
                  </w:pPr>
                  <w:r>
                    <w:rPr>
                      <w:rFonts w:hint="eastAsia" w:ascii="Times New Roman" w:hAnsi="Times New Roman" w:cs="Times New Roman" w:eastAsiaTheme="minorEastAsia"/>
                      <w:color w:val="auto"/>
                      <w:sz w:val="18"/>
                      <w:szCs w:val="18"/>
                      <w:highlight w:val="none"/>
                      <w:lang w:val="en-US" w:eastAsia="zh-CN"/>
                    </w:rPr>
                    <w:t>湿法喷淋、油雾净化</w:t>
                  </w:r>
                </w:p>
              </w:tc>
              <w:tc>
                <w:tcPr>
                  <w:tcW w:w="0" w:type="auto"/>
                  <w:tcBorders>
                    <w:tl2br w:val="nil"/>
                    <w:tr2bl w:val="nil"/>
                  </w:tcBorders>
                  <w:shd w:val="clear" w:color="auto" w:fill="auto"/>
                  <w:tcMar>
                    <w:left w:w="108" w:type="dxa"/>
                    <w:right w:w="108" w:type="dxa"/>
                  </w:tcMar>
                  <w:vAlign w:val="center"/>
                </w:tcPr>
                <w:p w14:paraId="33800E43">
                  <w:pPr>
                    <w:pStyle w:val="29"/>
                    <w:keepNext w:val="0"/>
                    <w:keepLines w:val="0"/>
                    <w:widowControl/>
                    <w:suppressLineNumbers w:val="0"/>
                    <w:kinsoku/>
                    <w:wordWrap/>
                    <w:overflowPunct/>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是</w:t>
                  </w:r>
                </w:p>
              </w:tc>
            </w:tr>
          </w:tbl>
          <w:p w14:paraId="46320FF7">
            <w:pPr>
              <w:spacing w:line="360" w:lineRule="auto"/>
              <w:ind w:firstLine="420" w:firstLineChars="200"/>
              <w:jc w:val="both"/>
              <w:rPr>
                <w:rFonts w:hint="eastAsia"/>
                <w:color w:val="auto"/>
                <w:sz w:val="21"/>
                <w:szCs w:val="21"/>
                <w:highlight w:val="none"/>
                <w:lang w:val="en-US" w:eastAsia="zh-CN"/>
              </w:rPr>
            </w:pPr>
            <w:r>
              <w:rPr>
                <w:rFonts w:hint="eastAsia"/>
                <w:color w:val="auto"/>
                <w:sz w:val="21"/>
                <w:szCs w:val="21"/>
                <w:highlight w:val="none"/>
                <w:lang w:val="en-US" w:eastAsia="zh-CN"/>
              </w:rPr>
              <w:t>1、袋式除尘技术是以纺织的滤布或非纺织的毡为滤袋，利用纤维织物的过滤作用对含尘气体进行过滤，粉尘在通过滤袋时被阻留，滤下的粉尘经重力沉降，落入灰斗，使气体得到净化。湿式电除尘器主要是通过高压静电场的作用，使气体中的悬浮粒子荷电，然后在电场力的作用下向集尘极运动，并沉积在收尘极上。随后，通过喷淋系统喷洒的水膜将捕获的粉尘冲刷到灰斗中，实现粉尘与烟气的分离，带有粉尘的喷淋水沉淀后在系统内循环使用。袋式除尘器、湿电除尘器除尘效率≥99%，本次评价除尘效率取99%，故项目采用的除尘设施可行。本项目通过增加集气罩的收集面积、实现精准收集的方式，提高收尘效率，且在密闭车间进行，非必要时门窗处于关闭状态。</w:t>
            </w:r>
          </w:p>
          <w:p w14:paraId="4AA8BF93">
            <w:pPr>
              <w:autoSpaceDE w:val="0"/>
              <w:autoSpaceDN w:val="0"/>
              <w:adjustRightInd w:val="0"/>
              <w:spacing w:line="360" w:lineRule="auto"/>
              <w:ind w:firstLine="420" w:firstLineChars="200"/>
              <w:rPr>
                <w:rFonts w:ascii="Times New Roman" w:hAnsi="Times New Roman"/>
                <w:color w:val="auto"/>
                <w:kern w:val="0"/>
                <w:sz w:val="21"/>
                <w:szCs w:val="16"/>
              </w:rPr>
            </w:pPr>
            <w:r>
              <w:rPr>
                <w:rFonts w:hint="eastAsia" w:ascii="Times New Roman" w:hAnsi="Times New Roman"/>
                <w:color w:val="auto"/>
                <w:kern w:val="0"/>
                <w:sz w:val="21"/>
                <w:szCs w:val="16"/>
                <w:lang w:val="en-US" w:eastAsia="zh-CN"/>
              </w:rPr>
              <w:t>2</w:t>
            </w:r>
            <w:r>
              <w:rPr>
                <w:rFonts w:hint="eastAsia" w:ascii="Times New Roman" w:hAnsi="Times New Roman"/>
                <w:color w:val="auto"/>
                <w:kern w:val="0"/>
                <w:sz w:val="21"/>
                <w:szCs w:val="16"/>
              </w:rPr>
              <w:t>、</w:t>
            </w:r>
            <w:r>
              <w:rPr>
                <w:rFonts w:ascii="Times New Roman" w:hAnsi="Times New Roman"/>
                <w:color w:val="auto"/>
                <w:kern w:val="0"/>
                <w:sz w:val="21"/>
                <w:szCs w:val="16"/>
              </w:rPr>
              <w:t>水</w:t>
            </w:r>
            <w:r>
              <w:rPr>
                <w:rFonts w:hint="eastAsia" w:ascii="Times New Roman" w:hAnsi="Times New Roman"/>
                <w:color w:val="auto"/>
                <w:kern w:val="0"/>
                <w:sz w:val="21"/>
                <w:szCs w:val="16"/>
              </w:rPr>
              <w:t>喷淋</w:t>
            </w:r>
            <w:r>
              <w:rPr>
                <w:rFonts w:ascii="Times New Roman" w:hAnsi="Times New Roman"/>
                <w:color w:val="auto"/>
                <w:kern w:val="0"/>
                <w:sz w:val="21"/>
                <w:szCs w:val="16"/>
              </w:rPr>
              <w:t>、碱</w:t>
            </w:r>
            <w:r>
              <w:rPr>
                <w:rFonts w:hint="eastAsia" w:ascii="Times New Roman" w:hAnsi="Times New Roman"/>
                <w:color w:val="auto"/>
                <w:kern w:val="0"/>
                <w:sz w:val="21"/>
                <w:szCs w:val="16"/>
              </w:rPr>
              <w:t>喷淋</w:t>
            </w:r>
          </w:p>
          <w:p w14:paraId="594AA1B5">
            <w:pPr>
              <w:adjustRightInd w:val="0"/>
              <w:spacing w:line="360" w:lineRule="auto"/>
              <w:ind w:firstLine="420" w:firstLineChars="200"/>
              <w:rPr>
                <w:rFonts w:ascii="Times New Roman" w:hAnsi="Times New Roman"/>
                <w:color w:val="auto"/>
                <w:sz w:val="21"/>
                <w:szCs w:val="18"/>
              </w:rPr>
            </w:pPr>
            <w:r>
              <w:rPr>
                <w:rFonts w:hint="eastAsia" w:ascii="Times New Roman" w:hAnsi="Times New Roman"/>
                <w:color w:val="auto"/>
                <w:sz w:val="21"/>
                <w:szCs w:val="18"/>
              </w:rPr>
              <w:t>水或</w:t>
            </w:r>
            <w:r>
              <w:rPr>
                <w:rFonts w:ascii="Times New Roman" w:hAnsi="Times New Roman"/>
                <w:color w:val="auto"/>
                <w:sz w:val="21"/>
                <w:szCs w:val="18"/>
              </w:rPr>
              <w:t>酸碱吸收法是使用酸性或碱性溶液吸收废气中的</w:t>
            </w:r>
            <w:r>
              <w:rPr>
                <w:rFonts w:hint="eastAsia" w:ascii="Times New Roman" w:hAnsi="Times New Roman"/>
                <w:color w:val="auto"/>
                <w:sz w:val="21"/>
                <w:szCs w:val="18"/>
              </w:rPr>
              <w:t>易溶于水的、</w:t>
            </w:r>
            <w:r>
              <w:rPr>
                <w:rFonts w:ascii="Times New Roman" w:hAnsi="Times New Roman"/>
                <w:color w:val="auto"/>
                <w:sz w:val="21"/>
                <w:szCs w:val="18"/>
              </w:rPr>
              <w:t>碱性或酸性成分，与废气直接接触，气液传质、中和吸收的分离方法。处理酸性尾气时，为显著减少浓盐水的产生，宜首先采用中性溶剂（如水）预先吸收酸性物质，制得一定浓度的溶液回收利用，最后采用酸性或碱性溶液吸收捕集废气中的残存的碱性或酸性物质。采用多级吸收以保证尾气达标排放。采用不同的吸收剂净化效率有区别，单级处理效果可达85%～95%，根据不同的吸收剂及处理需求</w:t>
            </w:r>
            <w:r>
              <w:rPr>
                <w:rFonts w:hint="eastAsia" w:ascii="Times New Roman" w:hAnsi="Times New Roman"/>
                <w:color w:val="auto"/>
                <w:sz w:val="21"/>
                <w:szCs w:val="18"/>
              </w:rPr>
              <w:t>，需</w:t>
            </w:r>
            <w:r>
              <w:rPr>
                <w:rFonts w:ascii="Times New Roman" w:hAnsi="Times New Roman"/>
                <w:color w:val="auto"/>
                <w:sz w:val="21"/>
                <w:szCs w:val="18"/>
              </w:rPr>
              <w:t>考虑</w:t>
            </w:r>
            <w:r>
              <w:rPr>
                <w:rFonts w:hint="eastAsia" w:ascii="Times New Roman" w:hAnsi="Times New Roman"/>
                <w:color w:val="auto"/>
                <w:sz w:val="21"/>
                <w:szCs w:val="18"/>
              </w:rPr>
              <w:t>单级</w:t>
            </w:r>
            <w:r>
              <w:rPr>
                <w:rFonts w:ascii="Times New Roman" w:hAnsi="Times New Roman"/>
                <w:color w:val="auto"/>
                <w:sz w:val="21"/>
                <w:szCs w:val="18"/>
              </w:rPr>
              <w:t>或多级组合吸收以达到净化的目的，组合吸收净化效率可达9</w:t>
            </w:r>
            <w:r>
              <w:rPr>
                <w:rFonts w:hint="eastAsia" w:ascii="Times New Roman" w:hAnsi="Times New Roman"/>
                <w:color w:val="auto"/>
                <w:sz w:val="21"/>
                <w:szCs w:val="18"/>
                <w:lang w:val="en-US" w:eastAsia="zh-CN"/>
              </w:rPr>
              <w:t>0</w:t>
            </w:r>
            <w:r>
              <w:rPr>
                <w:rFonts w:ascii="Times New Roman" w:hAnsi="Times New Roman"/>
                <w:color w:val="auto"/>
                <w:sz w:val="21"/>
                <w:szCs w:val="18"/>
              </w:rPr>
              <w:t>%以上。</w:t>
            </w:r>
          </w:p>
          <w:p w14:paraId="62D77C7D">
            <w:pPr>
              <w:adjustRightInd w:val="0"/>
              <w:spacing w:line="360" w:lineRule="auto"/>
              <w:ind w:firstLine="420" w:firstLineChars="200"/>
              <w:rPr>
                <w:rFonts w:ascii="Times New Roman" w:hAnsi="Times New Roman"/>
                <w:color w:val="auto"/>
                <w:sz w:val="21"/>
                <w:szCs w:val="18"/>
              </w:rPr>
            </w:pPr>
            <w:r>
              <w:rPr>
                <w:rFonts w:ascii="Times New Roman" w:hAnsi="Times New Roman"/>
                <w:color w:val="auto"/>
                <w:sz w:val="21"/>
                <w:szCs w:val="18"/>
              </w:rPr>
              <w:t>因此，</w:t>
            </w:r>
            <w:r>
              <w:rPr>
                <w:rFonts w:hint="eastAsia" w:ascii="Times New Roman" w:hAnsi="Times New Roman"/>
                <w:color w:val="auto"/>
                <w:sz w:val="21"/>
                <w:szCs w:val="18"/>
              </w:rPr>
              <w:t>本</w:t>
            </w:r>
            <w:r>
              <w:rPr>
                <w:rFonts w:ascii="Times New Roman" w:hAnsi="Times New Roman"/>
                <w:color w:val="auto"/>
                <w:sz w:val="21"/>
                <w:szCs w:val="18"/>
              </w:rPr>
              <w:t>项目生产过程含有</w:t>
            </w:r>
            <w:r>
              <w:rPr>
                <w:rFonts w:hint="eastAsia" w:ascii="Times New Roman" w:hAnsi="Times New Roman"/>
                <w:color w:val="auto"/>
                <w:sz w:val="21"/>
                <w:szCs w:val="18"/>
                <w:lang w:val="en-US" w:eastAsia="zh-CN"/>
              </w:rPr>
              <w:t>氯化氢</w:t>
            </w:r>
            <w:r>
              <w:rPr>
                <w:rFonts w:hint="eastAsia" w:ascii="Times New Roman" w:hAnsi="Times New Roman"/>
                <w:color w:val="auto"/>
                <w:sz w:val="21"/>
                <w:szCs w:val="18"/>
              </w:rPr>
              <w:t>、</w:t>
            </w:r>
            <w:r>
              <w:rPr>
                <w:rFonts w:hint="eastAsia" w:ascii="Times New Roman" w:hAnsi="Times New Roman"/>
                <w:color w:val="auto"/>
                <w:sz w:val="21"/>
                <w:szCs w:val="18"/>
                <w:lang w:val="en-US" w:eastAsia="zh-CN"/>
              </w:rPr>
              <w:t>硫酸雾、碱雾</w:t>
            </w:r>
            <w:r>
              <w:rPr>
                <w:rFonts w:ascii="Times New Roman" w:hAnsi="Times New Roman"/>
                <w:color w:val="auto"/>
                <w:sz w:val="21"/>
                <w:szCs w:val="18"/>
              </w:rPr>
              <w:t>等酸</w:t>
            </w:r>
            <w:r>
              <w:rPr>
                <w:rFonts w:hint="eastAsia" w:ascii="Times New Roman" w:hAnsi="Times New Roman"/>
                <w:color w:val="auto"/>
                <w:sz w:val="21"/>
                <w:szCs w:val="18"/>
                <w:lang w:eastAsia="zh-CN"/>
              </w:rPr>
              <w:t>、</w:t>
            </w:r>
            <w:r>
              <w:rPr>
                <w:rFonts w:hint="eastAsia" w:ascii="Times New Roman" w:hAnsi="Times New Roman"/>
                <w:color w:val="auto"/>
                <w:sz w:val="21"/>
                <w:szCs w:val="18"/>
                <w:lang w:val="en-US" w:eastAsia="zh-CN"/>
              </w:rPr>
              <w:t>碱</w:t>
            </w:r>
            <w:r>
              <w:rPr>
                <w:rFonts w:ascii="Times New Roman" w:hAnsi="Times New Roman"/>
                <w:color w:val="auto"/>
                <w:sz w:val="21"/>
                <w:szCs w:val="18"/>
              </w:rPr>
              <w:t>性及溶于水的废气采取吸收法处理措施，可得到较好的吸收效果，</w:t>
            </w:r>
            <w:r>
              <w:rPr>
                <w:rFonts w:hint="eastAsia" w:ascii="Times New Roman" w:hAnsi="Times New Roman"/>
                <w:color w:val="auto"/>
                <w:sz w:val="21"/>
                <w:szCs w:val="18"/>
              </w:rPr>
              <w:t>吸收</w:t>
            </w:r>
            <w:r>
              <w:rPr>
                <w:rFonts w:ascii="Times New Roman" w:hAnsi="Times New Roman"/>
                <w:color w:val="auto"/>
                <w:sz w:val="21"/>
                <w:szCs w:val="18"/>
              </w:rPr>
              <w:t>装置结构简单，且较为常规，在许多企业均已实施，具有较强的可操作性。</w:t>
            </w:r>
          </w:p>
          <w:p w14:paraId="182BBB78">
            <w:pPr>
              <w:adjustRightInd w:val="0"/>
              <w:spacing w:line="360" w:lineRule="auto"/>
              <w:ind w:firstLine="420" w:firstLineChars="200"/>
              <w:rPr>
                <w:rFonts w:ascii="Times New Roman" w:hAnsi="Times New Roman"/>
                <w:color w:val="auto"/>
                <w:sz w:val="21"/>
                <w:szCs w:val="18"/>
              </w:rPr>
            </w:pPr>
            <w:r>
              <w:rPr>
                <w:rFonts w:ascii="Times New Roman" w:hAnsi="Times New Roman"/>
                <w:color w:val="auto"/>
                <w:sz w:val="21"/>
                <w:szCs w:val="18"/>
              </w:rPr>
              <w:t>高效废气洗涤塔是用来处理腐蚀性、毒性或可溶性气体液滴或者是微粒的空气污染防治设备。废气进入洗涤塔后，废气流经填充层时，洗涤液自喷嘴均匀喷洒于填充材的表面以保持湿润；同时废气与洗涤液在充分润湿的填充层相互接触，籍由物理与化学吸收作用将废气中的污染物吸收于洗涤液中，达到</w:t>
            </w:r>
            <w:r>
              <w:rPr>
                <w:rFonts w:hint="eastAsia" w:ascii="Times New Roman" w:hAnsi="Times New Roman"/>
                <w:color w:val="auto"/>
                <w:sz w:val="21"/>
                <w:szCs w:val="18"/>
              </w:rPr>
              <w:t>去除</w:t>
            </w:r>
            <w:r>
              <w:rPr>
                <w:rFonts w:ascii="Times New Roman" w:hAnsi="Times New Roman"/>
                <w:color w:val="auto"/>
                <w:sz w:val="21"/>
                <w:szCs w:val="18"/>
              </w:rPr>
              <w:t>污染物质的目的；然后此饱含水分的气体必须经过除雾器以便移除多余的水分；经过洗涤塔洗净并移除水分后的洁净气体即可直接排放大气中。</w:t>
            </w:r>
          </w:p>
          <w:p w14:paraId="092DD949">
            <w:pPr>
              <w:adjustRightInd w:val="0"/>
              <w:spacing w:line="360" w:lineRule="auto"/>
              <w:ind w:firstLine="420" w:firstLineChars="200"/>
              <w:jc w:val="both"/>
              <w:rPr>
                <w:rFonts w:hint="eastAsia"/>
                <w:color w:val="auto"/>
                <w:lang w:val="en-US" w:eastAsia="zh-CN"/>
              </w:rPr>
            </w:pPr>
            <w:r>
              <w:rPr>
                <w:rFonts w:hint="eastAsia"/>
                <w:color w:val="auto"/>
                <w:lang w:val="en-US" w:eastAsia="zh-CN"/>
              </w:rPr>
              <w:t>3、油雾净化器</w:t>
            </w:r>
          </w:p>
          <w:p w14:paraId="1ED18931">
            <w:pPr>
              <w:adjustRightInd w:val="0"/>
              <w:spacing w:line="360" w:lineRule="auto"/>
              <w:ind w:firstLine="420" w:firstLineChars="200"/>
              <w:rPr>
                <w:rFonts w:hint="default" w:ascii="Times New Roman" w:hAnsi="Times New Roman" w:eastAsia="宋体" w:cs="Times New Roman"/>
                <w:color w:val="auto"/>
                <w:sz w:val="21"/>
                <w:szCs w:val="18"/>
                <w:lang w:val="en-US" w:eastAsia="zh-CN"/>
              </w:rPr>
            </w:pPr>
            <w:r>
              <w:rPr>
                <w:rFonts w:ascii="Times New Roman" w:hAnsi="Times New Roman" w:eastAsia="宋体" w:cs="Times New Roman"/>
                <w:color w:val="auto"/>
                <w:sz w:val="21"/>
                <w:szCs w:val="18"/>
              </w:rPr>
              <w:t>含油雾废气经风机吸入后，依次通过初效滤网拦截大颗粒杂质，再经亲油聚结滤芯使微小油雾吸附、聚结为油滴并靠重力沉降回收，最后经精滤后排出洁净空气，实现油雾净化与油液回收。过滤式油雾净化器的核心原理是：多级拦截+油雾聚结+重力沉降，完全依靠物理过滤实现油雾分离，无高压、无旋转部件，结构简单、运行稳定。</w:t>
            </w:r>
          </w:p>
          <w:p w14:paraId="463A487F">
            <w:pPr>
              <w:spacing w:line="360" w:lineRule="auto"/>
              <w:ind w:firstLine="420" w:firstLineChars="200"/>
              <w:jc w:val="both"/>
              <w:rPr>
                <w:rFonts w:hint="default"/>
                <w:color w:val="auto"/>
                <w:sz w:val="21"/>
                <w:szCs w:val="21"/>
                <w:highlight w:val="none"/>
                <w:lang w:val="en-US" w:eastAsia="zh-CN"/>
              </w:rPr>
            </w:pPr>
            <w:r>
              <w:rPr>
                <w:rFonts w:hint="eastAsia"/>
                <w:color w:val="auto"/>
                <w:sz w:val="21"/>
                <w:szCs w:val="21"/>
                <w:highlight w:val="none"/>
                <w:lang w:val="en-US" w:eastAsia="zh-CN"/>
              </w:rPr>
              <w:t>根据《轧钢工业大气污染物排放标准》（GB28665-2012）及其修改单：产生大气污染物的生产工艺装置必须设立局部气体收集系统和集中净化处理装置，达标排放。所有排气筒高度应不低于15m。排气筒周围半径200m范围内有建筑物时，排气筒高度还应高出最高建筑物3m以上。</w:t>
            </w:r>
          </w:p>
          <w:p w14:paraId="72BFD11B">
            <w:pPr>
              <w:spacing w:line="360" w:lineRule="auto"/>
              <w:ind w:firstLine="420" w:firstLineChars="200"/>
              <w:jc w:val="both"/>
              <w:rPr>
                <w:rFonts w:ascii="Times New Roman" w:hAnsi="Times New Roman"/>
                <w:color w:val="auto"/>
                <w:sz w:val="21"/>
                <w:szCs w:val="21"/>
                <w:highlight w:val="none"/>
              </w:rPr>
            </w:pPr>
            <w:r>
              <w:rPr>
                <w:rFonts w:hint="eastAsia"/>
                <w:color w:val="auto"/>
                <w:sz w:val="21"/>
                <w:szCs w:val="21"/>
                <w:highlight w:val="none"/>
                <w:lang w:val="en-US" w:eastAsia="zh-CN"/>
              </w:rPr>
              <w:t>经计算，各排气筒不低于24m，高于周围200m范围最高建筑物3m以上，且污染物均能达标排放，综上，</w:t>
            </w:r>
            <w:r>
              <w:rPr>
                <w:rFonts w:ascii="Times New Roman" w:hAnsi="Times New Roman"/>
                <w:color w:val="auto"/>
                <w:sz w:val="21"/>
                <w:szCs w:val="21"/>
                <w:highlight w:val="none"/>
              </w:rPr>
              <w:t>本项目配套的</w:t>
            </w:r>
            <w:r>
              <w:rPr>
                <w:rFonts w:hint="eastAsia"/>
                <w:color w:val="auto"/>
                <w:sz w:val="21"/>
                <w:szCs w:val="21"/>
                <w:highlight w:val="none"/>
                <w:lang w:val="en-US" w:eastAsia="zh-CN"/>
              </w:rPr>
              <w:t>废气治理措施均为可行技术，且本项目采用的</w:t>
            </w:r>
            <w:r>
              <w:rPr>
                <w:rFonts w:ascii="Times New Roman" w:hAnsi="Times New Roman"/>
                <w:color w:val="auto"/>
                <w:sz w:val="21"/>
                <w:szCs w:val="21"/>
                <w:highlight w:val="none"/>
              </w:rPr>
              <w:t>处理工艺均为常见的、工艺成熟的废气处理工艺，污染物经处理后能够满足达标排放要求，采取的废气治理措施可行。</w:t>
            </w:r>
          </w:p>
          <w:p w14:paraId="44D713C2">
            <w:pPr>
              <w:tabs>
                <w:tab w:val="left" w:pos="1260"/>
              </w:tabs>
              <w:spacing w:line="360" w:lineRule="auto"/>
              <w:ind w:firstLine="430" w:firstLineChars="200"/>
              <w:jc w:val="both"/>
              <w:rPr>
                <w:rFonts w:ascii="Times New Roman" w:hAnsi="Times New Roman"/>
                <w:b/>
                <w:bCs/>
                <w:color w:val="auto"/>
                <w:spacing w:val="2"/>
                <w:sz w:val="21"/>
                <w:szCs w:val="21"/>
                <w:highlight w:val="none"/>
              </w:rPr>
            </w:pPr>
            <w:r>
              <w:rPr>
                <w:rFonts w:hint="eastAsia" w:ascii="Times New Roman" w:hAnsi="Times New Roman"/>
                <w:b/>
                <w:bCs/>
                <w:color w:val="auto"/>
                <w:spacing w:val="2"/>
                <w:sz w:val="21"/>
                <w:szCs w:val="21"/>
                <w:highlight w:val="none"/>
                <w:lang w:val="en-US" w:eastAsia="zh-CN"/>
              </w:rPr>
              <w:t>8</w:t>
            </w:r>
            <w:r>
              <w:rPr>
                <w:rFonts w:ascii="Times New Roman" w:hAnsi="Times New Roman"/>
                <w:b/>
                <w:bCs/>
                <w:color w:val="auto"/>
                <w:spacing w:val="2"/>
                <w:sz w:val="21"/>
                <w:szCs w:val="21"/>
                <w:highlight w:val="none"/>
              </w:rPr>
              <w:t>、周边环境影响</w:t>
            </w:r>
          </w:p>
          <w:p w14:paraId="1F78388F">
            <w:pPr>
              <w:spacing w:line="360" w:lineRule="auto"/>
              <w:ind w:firstLine="420" w:firstLineChars="200"/>
              <w:jc w:val="both"/>
              <w:rPr>
                <w:rFonts w:ascii="Times New Roman" w:hAnsi="Times New Roman"/>
                <w:color w:val="auto"/>
                <w:kern w:val="0"/>
                <w:sz w:val="21"/>
                <w:szCs w:val="21"/>
                <w:highlight w:val="none"/>
              </w:rPr>
            </w:pPr>
            <w:r>
              <w:rPr>
                <w:rFonts w:hint="eastAsia" w:ascii="Times New Roman" w:hAnsi="Times New Roman"/>
                <w:bCs/>
                <w:color w:val="auto"/>
                <w:sz w:val="21"/>
                <w:szCs w:val="21"/>
                <w:highlight w:val="none"/>
              </w:rPr>
              <w:t>拟建项目废气</w:t>
            </w:r>
            <w:r>
              <w:rPr>
                <w:rFonts w:ascii="Times New Roman" w:hAnsi="Times New Roman"/>
                <w:bCs/>
                <w:color w:val="auto"/>
                <w:spacing w:val="2"/>
                <w:kern w:val="0"/>
                <w:sz w:val="21"/>
                <w:szCs w:val="21"/>
                <w:highlight w:val="none"/>
              </w:rPr>
              <w:t>经废气处理措施处理后污染物能够满足达标排放。企业应加强日常管理，建立环境保护管理台账，定期检查，发现问题及时检修，对周围环境的影响较小，可以接受。</w:t>
            </w:r>
          </w:p>
          <w:p w14:paraId="534E8C51">
            <w:pPr>
              <w:pStyle w:val="166"/>
              <w:keepNext w:val="0"/>
              <w:keepLines w:val="0"/>
              <w:pageBreakBefore w:val="0"/>
              <w:widowControl w:val="0"/>
              <w:kinsoku/>
              <w:wordWrap/>
              <w:overflowPunct/>
              <w:topLinePunct w:val="0"/>
              <w:autoSpaceDE/>
              <w:autoSpaceDN/>
              <w:bidi w:val="0"/>
              <w:adjustRightInd w:val="0"/>
              <w:snapToGrid w:val="0"/>
              <w:spacing w:line="360" w:lineRule="auto"/>
              <w:ind w:left="0" w:leftChars="0" w:firstLine="422" w:firstLineChars="200"/>
              <w:jc w:val="left"/>
              <w:textAlignment w:val="baseline"/>
              <w:rPr>
                <w:rFonts w:hint="default" w:ascii="Times New Roman" w:hAnsi="Times New Roman" w:eastAsia="宋体" w:cs="Times New Roman"/>
                <w:b/>
                <w:bCs/>
                <w:color w:val="auto"/>
                <w:sz w:val="21"/>
                <w:szCs w:val="21"/>
                <w:highlight w:val="none"/>
                <w:lang w:val="en-US" w:eastAsia="zh-CN"/>
              </w:rPr>
            </w:pPr>
            <w:r>
              <w:rPr>
                <w:rFonts w:hint="eastAsia" w:eastAsia="宋体" w:cs="Times New Roman"/>
                <w:b/>
                <w:bCs/>
                <w:color w:val="auto"/>
                <w:sz w:val="21"/>
                <w:szCs w:val="21"/>
                <w:highlight w:val="none"/>
                <w:lang w:val="en-US" w:eastAsia="zh-CN"/>
              </w:rPr>
              <w:t>二、</w:t>
            </w:r>
            <w:r>
              <w:rPr>
                <w:rFonts w:hint="default" w:ascii="Times New Roman" w:hAnsi="Times New Roman" w:eastAsia="宋体" w:cs="Times New Roman"/>
                <w:b/>
                <w:bCs/>
                <w:color w:val="auto"/>
                <w:sz w:val="21"/>
                <w:szCs w:val="21"/>
                <w:highlight w:val="none"/>
                <w:lang w:val="en-US" w:eastAsia="zh-CN"/>
              </w:rPr>
              <w:t>废水</w:t>
            </w:r>
          </w:p>
          <w:p w14:paraId="0D9747DF">
            <w:pPr>
              <w:spacing w:line="360" w:lineRule="auto"/>
              <w:ind w:firstLine="422" w:firstLineChars="200"/>
              <w:rPr>
                <w:rFonts w:ascii="宋体" w:hAnsi="宋体"/>
                <w:b/>
                <w:color w:val="auto"/>
                <w:kern w:val="0"/>
                <w:lang w:val="de-DE"/>
              </w:rPr>
            </w:pPr>
            <w:r>
              <w:rPr>
                <w:rFonts w:hint="eastAsia" w:ascii="宋体" w:hAnsi="宋体"/>
                <w:b/>
                <w:color w:val="auto"/>
                <w:kern w:val="0"/>
                <w:lang w:val="de-DE"/>
              </w:rPr>
              <w:t>1、废水</w:t>
            </w:r>
            <w:r>
              <w:rPr>
                <w:rFonts w:ascii="宋体" w:hAnsi="宋体"/>
                <w:b/>
                <w:color w:val="auto"/>
                <w:kern w:val="0"/>
                <w:lang w:val="de-DE"/>
              </w:rPr>
              <w:t>污染物产生情况</w:t>
            </w:r>
          </w:p>
          <w:p w14:paraId="4A19BEE0">
            <w:pPr>
              <w:spacing w:line="360" w:lineRule="auto"/>
              <w:ind w:firstLine="428" w:firstLineChars="200"/>
              <w:rPr>
                <w:rFonts w:cs="宋体"/>
                <w:color w:val="auto"/>
                <w:sz w:val="21"/>
              </w:rPr>
            </w:pPr>
            <w:r>
              <w:rPr>
                <w:rFonts w:hint="eastAsia" w:ascii="Times New Roman" w:hAnsi="Times New Roman"/>
                <w:bCs/>
                <w:color w:val="auto"/>
                <w:spacing w:val="2"/>
                <w:kern w:val="0"/>
                <w:sz w:val="21"/>
                <w:szCs w:val="21"/>
                <w:highlight w:val="none"/>
                <w:lang w:val="en-US" w:eastAsia="zh-CN"/>
              </w:rPr>
              <w:t>根据上述公用工程给排水分析可知，</w:t>
            </w:r>
            <w:r>
              <w:rPr>
                <w:rFonts w:hint="default" w:ascii="Times New Roman" w:hAnsi="Times New Roman" w:cs="Times New Roman"/>
                <w:color w:val="auto"/>
              </w:rPr>
              <w:t>本项目</w:t>
            </w:r>
            <w:r>
              <w:rPr>
                <w:rFonts w:hint="eastAsia" w:cs="Times New Roman"/>
                <w:color w:val="auto"/>
                <w:lang w:val="en-US" w:eastAsia="zh-CN"/>
              </w:rPr>
              <w:t>废水</w:t>
            </w:r>
            <w:r>
              <w:rPr>
                <w:rFonts w:hint="default" w:ascii="Times New Roman" w:hAnsi="Times New Roman" w:cs="Times New Roman"/>
                <w:color w:val="auto"/>
              </w:rPr>
              <w:t>主要</w:t>
            </w:r>
            <w:r>
              <w:rPr>
                <w:rFonts w:hint="eastAsia" w:cs="Times New Roman"/>
                <w:color w:val="auto"/>
                <w:lang w:val="en-US" w:eastAsia="zh-CN"/>
              </w:rPr>
              <w:t>包括酸性</w:t>
            </w:r>
            <w:r>
              <w:rPr>
                <w:rFonts w:hint="default" w:ascii="Times New Roman" w:hAnsi="Times New Roman" w:cs="Times New Roman"/>
                <w:color w:val="auto"/>
              </w:rPr>
              <w:t>废水、</w:t>
            </w:r>
            <w:r>
              <w:rPr>
                <w:rFonts w:hint="eastAsia" w:cs="Times New Roman"/>
                <w:color w:val="auto"/>
                <w:lang w:val="en-US" w:eastAsia="zh-CN"/>
              </w:rPr>
              <w:t>碱性含油和乳化液废水、MgO废水、带钢喷淋冷却清洗废水、</w:t>
            </w:r>
            <w:r>
              <w:rPr>
                <w:rFonts w:hint="default" w:ascii="Times New Roman" w:hAnsi="Times New Roman" w:cs="Times New Roman"/>
                <w:color w:val="auto"/>
              </w:rPr>
              <w:t>锅炉排污水、</w:t>
            </w:r>
            <w:r>
              <w:rPr>
                <w:rFonts w:hint="eastAsia" w:cs="Times New Roman"/>
                <w:color w:val="auto"/>
                <w:lang w:val="en-US" w:eastAsia="zh-CN"/>
              </w:rPr>
              <w:t>脱盐水</w:t>
            </w:r>
            <w:r>
              <w:rPr>
                <w:rFonts w:hint="default" w:ascii="Times New Roman" w:hAnsi="Times New Roman" w:cs="Times New Roman"/>
                <w:color w:val="auto"/>
              </w:rPr>
              <w:t>制备系统排水</w:t>
            </w:r>
            <w:r>
              <w:rPr>
                <w:rFonts w:hint="eastAsia" w:cs="Times New Roman"/>
                <w:color w:val="auto"/>
                <w:lang w:val="en-US" w:eastAsia="zh-CN"/>
              </w:rPr>
              <w:t>、净循环水系统排污水</w:t>
            </w:r>
            <w:r>
              <w:rPr>
                <w:rFonts w:hint="default" w:ascii="Times New Roman" w:hAnsi="Times New Roman" w:cs="Times New Roman"/>
                <w:color w:val="auto"/>
              </w:rPr>
              <w:t>及生活污水</w:t>
            </w:r>
            <w:r>
              <w:rPr>
                <w:rFonts w:hint="eastAsia" w:ascii="Times New Roman" w:hAnsi="Times New Roman"/>
                <w:bCs/>
                <w:color w:val="auto"/>
                <w:spacing w:val="2"/>
                <w:kern w:val="0"/>
                <w:sz w:val="21"/>
                <w:szCs w:val="21"/>
                <w:highlight w:val="none"/>
                <w:lang w:val="en-US" w:eastAsia="zh-CN"/>
              </w:rPr>
              <w:t>。</w:t>
            </w:r>
            <w:r>
              <w:rPr>
                <w:rFonts w:hint="eastAsia" w:cs="宋体"/>
                <w:color w:val="auto"/>
                <w:sz w:val="21"/>
              </w:rPr>
              <w:t>拟建项目废水产生情况见下表。</w:t>
            </w:r>
          </w:p>
          <w:p w14:paraId="0CD84AD4">
            <w:pPr>
              <w:spacing w:line="360" w:lineRule="auto"/>
              <w:jc w:val="center"/>
              <w:rPr>
                <w:rFonts w:hint="default" w:ascii="Times New Roman" w:hAnsi="Times New Roman" w:eastAsia="黑体" w:cs="Times New Roman"/>
                <w:color w:val="auto"/>
              </w:rPr>
            </w:pPr>
            <w:r>
              <w:rPr>
                <w:rFonts w:hint="default" w:ascii="Times New Roman" w:hAnsi="Times New Roman" w:eastAsia="黑体" w:cs="Times New Roman"/>
                <w:color w:val="auto"/>
              </w:rPr>
              <w:t>表</w:t>
            </w:r>
            <w:r>
              <w:rPr>
                <w:rFonts w:hint="default" w:ascii="Times New Roman" w:hAnsi="Times New Roman" w:eastAsia="黑体" w:cs="Times New Roman"/>
                <w:color w:val="auto"/>
                <w:lang w:val="en-US" w:eastAsia="zh-CN"/>
              </w:rPr>
              <w:t>4-16</w:t>
            </w:r>
            <w:r>
              <w:rPr>
                <w:rFonts w:hint="default" w:ascii="Times New Roman" w:hAnsi="Times New Roman" w:eastAsia="黑体" w:cs="Times New Roman"/>
                <w:color w:val="auto"/>
              </w:rPr>
              <w:t xml:space="preserve">  拟建项目废水产生情况一览表</w:t>
            </w:r>
          </w:p>
          <w:tbl>
            <w:tblPr>
              <w:tblStyle w:val="33"/>
              <w:tblW w:w="4995"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45"/>
              <w:gridCol w:w="930"/>
              <w:gridCol w:w="1057"/>
              <w:gridCol w:w="468"/>
              <w:gridCol w:w="853"/>
              <w:gridCol w:w="707"/>
              <w:gridCol w:w="717"/>
              <w:gridCol w:w="1541"/>
              <w:gridCol w:w="813"/>
              <w:gridCol w:w="763"/>
            </w:tblGrid>
            <w:tr w14:paraId="392C8A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 w:type="pct"/>
                  <w:vMerge w:val="restart"/>
                  <w:tcBorders>
                    <w:tl2br w:val="nil"/>
                    <w:tr2bl w:val="nil"/>
                  </w:tcBorders>
                  <w:noWrap w:val="0"/>
                  <w:vAlign w:val="center"/>
                </w:tcPr>
                <w:p w14:paraId="1C09884A">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序号</w:t>
                  </w:r>
                </w:p>
              </w:tc>
              <w:tc>
                <w:tcPr>
                  <w:tcW w:w="561" w:type="pct"/>
                  <w:vMerge w:val="restart"/>
                  <w:tcBorders>
                    <w:tl2br w:val="nil"/>
                    <w:tr2bl w:val="nil"/>
                  </w:tcBorders>
                  <w:noWrap w:val="0"/>
                  <w:vAlign w:val="center"/>
                </w:tcPr>
                <w:p w14:paraId="781E24DC">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废水环节</w:t>
                  </w:r>
                </w:p>
              </w:tc>
              <w:tc>
                <w:tcPr>
                  <w:tcW w:w="637" w:type="pct"/>
                  <w:vMerge w:val="restart"/>
                  <w:tcBorders>
                    <w:tl2br w:val="nil"/>
                    <w:tr2bl w:val="nil"/>
                  </w:tcBorders>
                  <w:noWrap w:val="0"/>
                  <w:vAlign w:val="center"/>
                </w:tcPr>
                <w:p w14:paraId="49E4D3D8">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排水量</w:t>
                  </w:r>
                </w:p>
                <w:p w14:paraId="21F302E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/a</w:t>
                  </w:r>
                </w:p>
              </w:tc>
              <w:tc>
                <w:tcPr>
                  <w:tcW w:w="282" w:type="pct"/>
                  <w:vMerge w:val="restart"/>
                  <w:tcBorders>
                    <w:tl2br w:val="nil"/>
                    <w:tr2bl w:val="nil"/>
                  </w:tcBorders>
                  <w:noWrap w:val="0"/>
                  <w:vAlign w:val="center"/>
                </w:tcPr>
                <w:p w14:paraId="66CC90D5">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排放方式</w:t>
                  </w:r>
                </w:p>
              </w:tc>
              <w:tc>
                <w:tcPr>
                  <w:tcW w:w="514" w:type="pct"/>
                  <w:vMerge w:val="restart"/>
                  <w:tcBorders>
                    <w:tl2br w:val="nil"/>
                    <w:tr2bl w:val="nil"/>
                  </w:tcBorders>
                  <w:noWrap w:val="0"/>
                  <w:vAlign w:val="center"/>
                </w:tcPr>
                <w:p w14:paraId="76191F7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lang w:val="en-US" w:eastAsia="zh-CN"/>
                    </w:rPr>
                    <w:t>处理措施及</w:t>
                  </w:r>
                  <w:r>
                    <w:rPr>
                      <w:rFonts w:hint="default" w:ascii="Times New Roman" w:hAnsi="Times New Roman" w:cs="Times New Roman"/>
                      <w:color w:val="auto"/>
                      <w:kern w:val="0"/>
                      <w:sz w:val="18"/>
                      <w:szCs w:val="18"/>
                    </w:rPr>
                    <w:t>排放去向</w:t>
                  </w:r>
                </w:p>
              </w:tc>
              <w:tc>
                <w:tcPr>
                  <w:tcW w:w="1787" w:type="pct"/>
                  <w:gridSpan w:val="3"/>
                  <w:tcBorders>
                    <w:tl2br w:val="nil"/>
                    <w:tr2bl w:val="nil"/>
                  </w:tcBorders>
                  <w:noWrap w:val="0"/>
                  <w:vAlign w:val="center"/>
                </w:tcPr>
                <w:p w14:paraId="08515B08">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污染物产生情况</w:t>
                  </w:r>
                </w:p>
              </w:tc>
              <w:tc>
                <w:tcPr>
                  <w:tcW w:w="947" w:type="pct"/>
                  <w:gridSpan w:val="2"/>
                  <w:tcBorders>
                    <w:tl2br w:val="nil"/>
                    <w:tr2bl w:val="nil"/>
                  </w:tcBorders>
                  <w:shd w:val="clear" w:color="auto" w:fill="auto"/>
                  <w:noWrap w:val="0"/>
                  <w:vAlign w:val="center"/>
                </w:tcPr>
                <w:p w14:paraId="4765BF6A">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污染物</w:t>
                  </w:r>
                  <w:r>
                    <w:rPr>
                      <w:rFonts w:hint="eastAsia" w:cs="Times New Roman"/>
                      <w:color w:val="auto"/>
                      <w:kern w:val="0"/>
                      <w:sz w:val="18"/>
                      <w:szCs w:val="18"/>
                      <w:lang w:val="en-US" w:eastAsia="zh-CN"/>
                    </w:rPr>
                    <w:t>排放</w:t>
                  </w:r>
                  <w:r>
                    <w:rPr>
                      <w:rFonts w:hint="default" w:ascii="Times New Roman" w:hAnsi="Times New Roman" w:cs="Times New Roman"/>
                      <w:color w:val="auto"/>
                      <w:kern w:val="0"/>
                      <w:sz w:val="18"/>
                      <w:szCs w:val="18"/>
                    </w:rPr>
                    <w:t>情况</w:t>
                  </w:r>
                </w:p>
              </w:tc>
            </w:tr>
            <w:tr w14:paraId="0F7EDB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69" w:type="pct"/>
                  <w:vMerge w:val="continue"/>
                  <w:tcBorders>
                    <w:tl2br w:val="nil"/>
                    <w:tr2bl w:val="nil"/>
                  </w:tcBorders>
                  <w:noWrap w:val="0"/>
                  <w:vAlign w:val="center"/>
                </w:tcPr>
                <w:p w14:paraId="6047E343">
                  <w:pPr>
                    <w:keepNext w:val="0"/>
                    <w:keepLines w:val="0"/>
                    <w:pageBreakBefore w:val="0"/>
                    <w:widowControl/>
                    <w:kinsoku/>
                    <w:wordWrap/>
                    <w:overflowPunct/>
                    <w:topLinePunct w:val="0"/>
                    <w:autoSpaceDE/>
                    <w:autoSpaceDN/>
                    <w:bidi w:val="0"/>
                    <w:spacing w:line="240" w:lineRule="auto"/>
                    <w:jc w:val="center"/>
                    <w:rPr>
                      <w:rFonts w:hint="default" w:ascii="Times New Roman" w:hAnsi="Times New Roman" w:cs="Times New Roman"/>
                      <w:color w:val="auto"/>
                      <w:kern w:val="0"/>
                      <w:sz w:val="18"/>
                      <w:szCs w:val="18"/>
                    </w:rPr>
                  </w:pPr>
                </w:p>
              </w:tc>
              <w:tc>
                <w:tcPr>
                  <w:tcW w:w="561" w:type="pct"/>
                  <w:vMerge w:val="continue"/>
                  <w:tcBorders>
                    <w:tl2br w:val="nil"/>
                    <w:tr2bl w:val="nil"/>
                  </w:tcBorders>
                  <w:noWrap w:val="0"/>
                  <w:vAlign w:val="center"/>
                </w:tcPr>
                <w:p w14:paraId="72F8EB08">
                  <w:pPr>
                    <w:keepNext w:val="0"/>
                    <w:keepLines w:val="0"/>
                    <w:pageBreakBefore w:val="0"/>
                    <w:widowControl/>
                    <w:kinsoku/>
                    <w:wordWrap/>
                    <w:overflowPunct/>
                    <w:topLinePunct w:val="0"/>
                    <w:autoSpaceDE/>
                    <w:autoSpaceDN/>
                    <w:bidi w:val="0"/>
                    <w:spacing w:line="240" w:lineRule="auto"/>
                    <w:jc w:val="center"/>
                    <w:rPr>
                      <w:rFonts w:hint="default" w:ascii="Times New Roman" w:hAnsi="Times New Roman" w:cs="Times New Roman"/>
                      <w:color w:val="auto"/>
                      <w:kern w:val="0"/>
                      <w:sz w:val="18"/>
                      <w:szCs w:val="18"/>
                    </w:rPr>
                  </w:pPr>
                </w:p>
              </w:tc>
              <w:tc>
                <w:tcPr>
                  <w:tcW w:w="637" w:type="pct"/>
                  <w:vMerge w:val="continue"/>
                  <w:tcBorders>
                    <w:tl2br w:val="nil"/>
                    <w:tr2bl w:val="nil"/>
                  </w:tcBorders>
                  <w:noWrap w:val="0"/>
                  <w:vAlign w:val="center"/>
                </w:tcPr>
                <w:p w14:paraId="235E3BE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282" w:type="pct"/>
                  <w:vMerge w:val="continue"/>
                  <w:tcBorders>
                    <w:tl2br w:val="nil"/>
                    <w:tr2bl w:val="nil"/>
                  </w:tcBorders>
                  <w:noWrap w:val="0"/>
                  <w:vAlign w:val="center"/>
                </w:tcPr>
                <w:p w14:paraId="19139EFD">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14" w:type="pct"/>
                  <w:vMerge w:val="continue"/>
                  <w:tcBorders>
                    <w:tl2br w:val="nil"/>
                    <w:tr2bl w:val="nil"/>
                  </w:tcBorders>
                  <w:noWrap w:val="0"/>
                  <w:vAlign w:val="center"/>
                </w:tcPr>
                <w:p w14:paraId="0D78361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426" w:type="pct"/>
                  <w:tcBorders>
                    <w:tl2br w:val="nil"/>
                    <w:tr2bl w:val="nil"/>
                  </w:tcBorders>
                  <w:noWrap w:val="0"/>
                  <w:vAlign w:val="center"/>
                </w:tcPr>
                <w:p w14:paraId="1744792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污染因子</w:t>
                  </w:r>
                </w:p>
              </w:tc>
              <w:tc>
                <w:tcPr>
                  <w:tcW w:w="432" w:type="pct"/>
                  <w:tcBorders>
                    <w:tl2br w:val="nil"/>
                    <w:tr2bl w:val="nil"/>
                  </w:tcBorders>
                  <w:noWrap w:val="0"/>
                  <w:vAlign w:val="center"/>
                </w:tcPr>
                <w:p w14:paraId="7194A719">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浓度mg/L</w:t>
                  </w:r>
                </w:p>
              </w:tc>
              <w:tc>
                <w:tcPr>
                  <w:tcW w:w="928" w:type="pct"/>
                  <w:tcBorders>
                    <w:tl2br w:val="nil"/>
                    <w:tr2bl w:val="nil"/>
                  </w:tcBorders>
                  <w:shd w:val="clear" w:color="auto" w:fill="auto"/>
                  <w:noWrap w:val="0"/>
                  <w:vAlign w:val="center"/>
                </w:tcPr>
                <w:p w14:paraId="0030806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eastAsia" w:cs="Times New Roman"/>
                      <w:color w:val="auto"/>
                      <w:kern w:val="0"/>
                      <w:sz w:val="18"/>
                      <w:szCs w:val="18"/>
                      <w:lang w:val="en-US" w:eastAsia="zh-CN"/>
                    </w:rPr>
                    <w:t>源强核算依据</w:t>
                  </w:r>
                </w:p>
              </w:tc>
              <w:tc>
                <w:tcPr>
                  <w:tcW w:w="490" w:type="pct"/>
                  <w:tcBorders>
                    <w:tl2br w:val="nil"/>
                    <w:tr2bl w:val="nil"/>
                  </w:tcBorders>
                  <w:shd w:val="clear" w:color="auto" w:fill="auto"/>
                  <w:noWrap w:val="0"/>
                  <w:vAlign w:val="center"/>
                </w:tcPr>
                <w:p w14:paraId="7B4CFA3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污染因子</w:t>
                  </w:r>
                </w:p>
              </w:tc>
              <w:tc>
                <w:tcPr>
                  <w:tcW w:w="456" w:type="pct"/>
                  <w:tcBorders>
                    <w:tl2br w:val="nil"/>
                    <w:tr2bl w:val="nil"/>
                  </w:tcBorders>
                  <w:shd w:val="clear" w:color="auto" w:fill="auto"/>
                  <w:noWrap w:val="0"/>
                  <w:vAlign w:val="center"/>
                </w:tcPr>
                <w:p w14:paraId="5970DF93">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浓度mg/L</w:t>
                  </w:r>
                </w:p>
              </w:tc>
            </w:tr>
            <w:tr w14:paraId="57CFC4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 w:type="pct"/>
                  <w:vMerge w:val="restart"/>
                  <w:tcBorders>
                    <w:tl2br w:val="nil"/>
                    <w:tr2bl w:val="nil"/>
                  </w:tcBorders>
                  <w:noWrap w:val="0"/>
                  <w:vAlign w:val="center"/>
                </w:tcPr>
                <w:p w14:paraId="103DC7E9">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w:t>
                  </w:r>
                </w:p>
              </w:tc>
              <w:tc>
                <w:tcPr>
                  <w:tcW w:w="561" w:type="pct"/>
                  <w:vMerge w:val="restart"/>
                  <w:tcBorders>
                    <w:tl2br w:val="nil"/>
                    <w:tr2bl w:val="nil"/>
                  </w:tcBorders>
                  <w:noWrap w:val="0"/>
                  <w:vAlign w:val="center"/>
                </w:tcPr>
                <w:p w14:paraId="4477201A">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生活污水</w:t>
                  </w:r>
                </w:p>
              </w:tc>
              <w:tc>
                <w:tcPr>
                  <w:tcW w:w="637" w:type="pct"/>
                  <w:vMerge w:val="restart"/>
                  <w:tcBorders>
                    <w:tl2br w:val="nil"/>
                    <w:tr2bl w:val="nil"/>
                  </w:tcBorders>
                  <w:noWrap w:val="0"/>
                  <w:vAlign w:val="center"/>
                </w:tcPr>
                <w:p w14:paraId="692A007D">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2580</w:t>
                  </w:r>
                </w:p>
              </w:tc>
              <w:tc>
                <w:tcPr>
                  <w:tcW w:w="282" w:type="pct"/>
                  <w:vMerge w:val="restart"/>
                  <w:tcBorders>
                    <w:tl2br w:val="nil"/>
                    <w:tr2bl w:val="nil"/>
                  </w:tcBorders>
                  <w:noWrap w:val="0"/>
                  <w:vAlign w:val="center"/>
                </w:tcPr>
                <w:p w14:paraId="4D2F1030">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eastAsia="zh-CN"/>
                    </w:rPr>
                  </w:pPr>
                  <w:r>
                    <w:rPr>
                      <w:rFonts w:hint="default" w:ascii="Times New Roman" w:hAnsi="Times New Roman" w:cs="Times New Roman"/>
                      <w:color w:val="auto"/>
                      <w:kern w:val="0"/>
                      <w:sz w:val="18"/>
                      <w:szCs w:val="18"/>
                      <w:lang w:val="en-US" w:eastAsia="zh-CN"/>
                    </w:rPr>
                    <w:t>间歇</w:t>
                  </w:r>
                </w:p>
              </w:tc>
              <w:tc>
                <w:tcPr>
                  <w:tcW w:w="514" w:type="pct"/>
                  <w:vMerge w:val="restart"/>
                  <w:tcBorders>
                    <w:tl2br w:val="nil"/>
                    <w:tr2bl w:val="nil"/>
                  </w:tcBorders>
                  <w:noWrap w:val="0"/>
                  <w:vAlign w:val="center"/>
                </w:tcPr>
                <w:p w14:paraId="1E665851">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化粪池+园区污水处理厂</w:t>
                  </w:r>
                </w:p>
              </w:tc>
              <w:tc>
                <w:tcPr>
                  <w:tcW w:w="426" w:type="pct"/>
                  <w:tcBorders>
                    <w:tl2br w:val="nil"/>
                    <w:tr2bl w:val="nil"/>
                  </w:tcBorders>
                  <w:noWrap w:val="0"/>
                  <w:vAlign w:val="center"/>
                </w:tcPr>
                <w:p w14:paraId="6582B47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pH</w:t>
                  </w:r>
                </w:p>
              </w:tc>
              <w:tc>
                <w:tcPr>
                  <w:tcW w:w="432" w:type="pct"/>
                  <w:tcBorders>
                    <w:tl2br w:val="nil"/>
                    <w:tr2bl w:val="nil"/>
                  </w:tcBorders>
                  <w:noWrap w:val="0"/>
                  <w:vAlign w:val="center"/>
                </w:tcPr>
                <w:p w14:paraId="6FE22F9E">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eastAsia" w:cs="Times New Roman"/>
                      <w:color w:val="auto"/>
                      <w:kern w:val="0"/>
                      <w:sz w:val="18"/>
                      <w:szCs w:val="18"/>
                      <w:lang w:val="en-US" w:eastAsia="zh-CN"/>
                    </w:rPr>
                    <w:t>6~9</w:t>
                  </w:r>
                </w:p>
              </w:tc>
              <w:tc>
                <w:tcPr>
                  <w:tcW w:w="928" w:type="pct"/>
                  <w:vMerge w:val="restart"/>
                  <w:tcBorders>
                    <w:tl2br w:val="nil"/>
                    <w:tr2bl w:val="nil"/>
                  </w:tcBorders>
                  <w:shd w:val="clear" w:color="auto" w:fill="auto"/>
                  <w:noWrap w:val="0"/>
                  <w:vAlign w:val="center"/>
                </w:tcPr>
                <w:p w14:paraId="305D2CE9">
                  <w:pPr>
                    <w:keepNext w:val="0"/>
                    <w:keepLines w:val="0"/>
                    <w:pageBreakBefore w:val="0"/>
                    <w:kinsoku/>
                    <w:wordWrap/>
                    <w:overflowPunct/>
                    <w:topLinePunct w:val="0"/>
                    <w:autoSpaceDE/>
                    <w:autoSpaceDN/>
                    <w:bidi w:val="0"/>
                    <w:adjustRightInd w:val="0"/>
                    <w:snapToGrid w:val="0"/>
                    <w:spacing w:line="240" w:lineRule="auto"/>
                    <w:jc w:val="center"/>
                    <w:rPr>
                      <w:rFonts w:hint="default" w:cs="Times New Roman"/>
                      <w:color w:val="auto"/>
                      <w:kern w:val="0"/>
                      <w:sz w:val="18"/>
                      <w:szCs w:val="18"/>
                      <w:lang w:val="en-US" w:eastAsia="zh-CN"/>
                    </w:rPr>
                  </w:pPr>
                  <w:r>
                    <w:rPr>
                      <w:rFonts w:hint="eastAsia" w:cs="Times New Roman"/>
                      <w:color w:val="auto"/>
                      <w:kern w:val="0"/>
                      <w:sz w:val="18"/>
                      <w:szCs w:val="18"/>
                      <w:lang w:val="en-US" w:eastAsia="zh-CN"/>
                    </w:rPr>
                    <w:t>类比法</w:t>
                  </w:r>
                </w:p>
              </w:tc>
              <w:tc>
                <w:tcPr>
                  <w:tcW w:w="490" w:type="pct"/>
                  <w:tcBorders>
                    <w:tl2br w:val="nil"/>
                    <w:tr2bl w:val="nil"/>
                  </w:tcBorders>
                  <w:shd w:val="clear" w:color="auto" w:fill="auto"/>
                  <w:noWrap w:val="0"/>
                  <w:vAlign w:val="center"/>
                </w:tcPr>
                <w:p w14:paraId="5FB3616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pH</w:t>
                  </w:r>
                </w:p>
              </w:tc>
              <w:tc>
                <w:tcPr>
                  <w:tcW w:w="456" w:type="pct"/>
                  <w:tcBorders>
                    <w:tl2br w:val="nil"/>
                    <w:tr2bl w:val="nil"/>
                  </w:tcBorders>
                  <w:shd w:val="clear" w:color="auto" w:fill="auto"/>
                  <w:noWrap w:val="0"/>
                  <w:vAlign w:val="center"/>
                </w:tcPr>
                <w:p w14:paraId="2A01C472">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rPr>
                    <w:t>6~9</w:t>
                  </w:r>
                </w:p>
              </w:tc>
            </w:tr>
            <w:tr w14:paraId="3D7691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 w:type="pct"/>
                  <w:vMerge w:val="continue"/>
                  <w:tcBorders>
                    <w:tl2br w:val="nil"/>
                    <w:tr2bl w:val="nil"/>
                  </w:tcBorders>
                  <w:noWrap w:val="0"/>
                  <w:vAlign w:val="center"/>
                </w:tcPr>
                <w:p w14:paraId="301C1F52">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61" w:type="pct"/>
                  <w:vMerge w:val="continue"/>
                  <w:tcBorders>
                    <w:tl2br w:val="nil"/>
                    <w:tr2bl w:val="nil"/>
                  </w:tcBorders>
                  <w:noWrap w:val="0"/>
                  <w:vAlign w:val="center"/>
                </w:tcPr>
                <w:p w14:paraId="65D6693A">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637" w:type="pct"/>
                  <w:vMerge w:val="continue"/>
                  <w:tcBorders>
                    <w:tl2br w:val="nil"/>
                    <w:tr2bl w:val="nil"/>
                  </w:tcBorders>
                  <w:noWrap w:val="0"/>
                  <w:vAlign w:val="center"/>
                </w:tcPr>
                <w:p w14:paraId="2C163A70">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282" w:type="pct"/>
                  <w:vMerge w:val="continue"/>
                  <w:tcBorders>
                    <w:tl2br w:val="nil"/>
                    <w:tr2bl w:val="nil"/>
                  </w:tcBorders>
                  <w:noWrap w:val="0"/>
                  <w:vAlign w:val="center"/>
                </w:tcPr>
                <w:p w14:paraId="7ACB00D3">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14" w:type="pct"/>
                  <w:vMerge w:val="continue"/>
                  <w:tcBorders>
                    <w:tl2br w:val="nil"/>
                    <w:tr2bl w:val="nil"/>
                  </w:tcBorders>
                  <w:noWrap w:val="0"/>
                  <w:vAlign w:val="center"/>
                </w:tcPr>
                <w:p w14:paraId="1F3F6F4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426" w:type="pct"/>
                  <w:tcBorders>
                    <w:tl2br w:val="nil"/>
                    <w:tr2bl w:val="nil"/>
                  </w:tcBorders>
                  <w:noWrap w:val="0"/>
                  <w:vAlign w:val="center"/>
                </w:tcPr>
                <w:p w14:paraId="4DA97E61">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COD</w:t>
                  </w:r>
                </w:p>
              </w:tc>
              <w:tc>
                <w:tcPr>
                  <w:tcW w:w="432" w:type="pct"/>
                  <w:tcBorders>
                    <w:tl2br w:val="nil"/>
                    <w:tr2bl w:val="nil"/>
                  </w:tcBorders>
                  <w:noWrap w:val="0"/>
                  <w:vAlign w:val="center"/>
                </w:tcPr>
                <w:p w14:paraId="6526969C">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350</w:t>
                  </w:r>
                </w:p>
              </w:tc>
              <w:tc>
                <w:tcPr>
                  <w:tcW w:w="928" w:type="pct"/>
                  <w:vMerge w:val="continue"/>
                  <w:tcBorders>
                    <w:tl2br w:val="nil"/>
                    <w:tr2bl w:val="nil"/>
                  </w:tcBorders>
                  <w:shd w:val="clear" w:color="auto" w:fill="auto"/>
                  <w:noWrap w:val="0"/>
                  <w:vAlign w:val="center"/>
                </w:tcPr>
                <w:p w14:paraId="5D907452">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490" w:type="pct"/>
                  <w:tcBorders>
                    <w:tl2br w:val="nil"/>
                    <w:tr2bl w:val="nil"/>
                  </w:tcBorders>
                  <w:shd w:val="clear" w:color="auto" w:fill="auto"/>
                  <w:noWrap w:val="0"/>
                  <w:vAlign w:val="center"/>
                </w:tcPr>
                <w:p w14:paraId="0C60A318">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COD</w:t>
                  </w:r>
                  <w:r>
                    <w:rPr>
                      <w:rFonts w:hint="default" w:ascii="Times New Roman" w:hAnsi="Times New Roman" w:cs="Times New Roman"/>
                      <w:color w:val="auto"/>
                      <w:kern w:val="0"/>
                      <w:sz w:val="18"/>
                      <w:szCs w:val="18"/>
                      <w:vertAlign w:val="subscript"/>
                    </w:rPr>
                    <w:t>cr</w:t>
                  </w:r>
                </w:p>
              </w:tc>
              <w:tc>
                <w:tcPr>
                  <w:tcW w:w="456" w:type="pct"/>
                  <w:tcBorders>
                    <w:tl2br w:val="nil"/>
                    <w:tr2bl w:val="nil"/>
                  </w:tcBorders>
                  <w:shd w:val="clear" w:color="auto" w:fill="auto"/>
                  <w:noWrap w:val="0"/>
                  <w:vAlign w:val="center"/>
                </w:tcPr>
                <w:p w14:paraId="38572E2A">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350</w:t>
                  </w:r>
                </w:p>
              </w:tc>
            </w:tr>
            <w:tr w14:paraId="2DE822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 w:type="pct"/>
                  <w:vMerge w:val="continue"/>
                  <w:tcBorders>
                    <w:tl2br w:val="nil"/>
                    <w:tr2bl w:val="nil"/>
                  </w:tcBorders>
                  <w:noWrap w:val="0"/>
                  <w:vAlign w:val="center"/>
                </w:tcPr>
                <w:p w14:paraId="1F5DF305">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61" w:type="pct"/>
                  <w:vMerge w:val="continue"/>
                  <w:tcBorders>
                    <w:tl2br w:val="nil"/>
                    <w:tr2bl w:val="nil"/>
                  </w:tcBorders>
                  <w:noWrap w:val="0"/>
                  <w:vAlign w:val="center"/>
                </w:tcPr>
                <w:p w14:paraId="29A2DB95">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637" w:type="pct"/>
                  <w:vMerge w:val="continue"/>
                  <w:tcBorders>
                    <w:tl2br w:val="nil"/>
                    <w:tr2bl w:val="nil"/>
                  </w:tcBorders>
                  <w:noWrap w:val="0"/>
                  <w:vAlign w:val="center"/>
                </w:tcPr>
                <w:p w14:paraId="038734B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282" w:type="pct"/>
                  <w:vMerge w:val="continue"/>
                  <w:tcBorders>
                    <w:tl2br w:val="nil"/>
                    <w:tr2bl w:val="nil"/>
                  </w:tcBorders>
                  <w:noWrap w:val="0"/>
                  <w:vAlign w:val="center"/>
                </w:tcPr>
                <w:p w14:paraId="3FB8F1DA">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14" w:type="pct"/>
                  <w:vMerge w:val="continue"/>
                  <w:tcBorders>
                    <w:tl2br w:val="nil"/>
                    <w:tr2bl w:val="nil"/>
                  </w:tcBorders>
                  <w:noWrap w:val="0"/>
                  <w:vAlign w:val="center"/>
                </w:tcPr>
                <w:p w14:paraId="5BE30FC1">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426" w:type="pct"/>
                  <w:tcBorders>
                    <w:tl2br w:val="nil"/>
                    <w:tr2bl w:val="nil"/>
                  </w:tcBorders>
                  <w:noWrap w:val="0"/>
                  <w:vAlign w:val="center"/>
                </w:tcPr>
                <w:p w14:paraId="69C21F5A">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氨氮</w:t>
                  </w:r>
                </w:p>
              </w:tc>
              <w:tc>
                <w:tcPr>
                  <w:tcW w:w="432" w:type="pct"/>
                  <w:tcBorders>
                    <w:tl2br w:val="nil"/>
                    <w:tr2bl w:val="nil"/>
                  </w:tcBorders>
                  <w:noWrap w:val="0"/>
                  <w:vAlign w:val="center"/>
                </w:tcPr>
                <w:p w14:paraId="170DBCB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35</w:t>
                  </w:r>
                </w:p>
              </w:tc>
              <w:tc>
                <w:tcPr>
                  <w:tcW w:w="928" w:type="pct"/>
                  <w:vMerge w:val="continue"/>
                  <w:tcBorders>
                    <w:tl2br w:val="nil"/>
                    <w:tr2bl w:val="nil"/>
                  </w:tcBorders>
                  <w:shd w:val="clear" w:color="auto" w:fill="auto"/>
                  <w:noWrap w:val="0"/>
                  <w:vAlign w:val="center"/>
                </w:tcPr>
                <w:p w14:paraId="29697BA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490" w:type="pct"/>
                  <w:tcBorders>
                    <w:tl2br w:val="nil"/>
                    <w:tr2bl w:val="nil"/>
                  </w:tcBorders>
                  <w:shd w:val="clear" w:color="auto" w:fill="auto"/>
                  <w:noWrap w:val="0"/>
                  <w:vAlign w:val="center"/>
                </w:tcPr>
                <w:p w14:paraId="3C94206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氨氮</w:t>
                  </w:r>
                </w:p>
              </w:tc>
              <w:tc>
                <w:tcPr>
                  <w:tcW w:w="456" w:type="pct"/>
                  <w:tcBorders>
                    <w:tl2br w:val="nil"/>
                    <w:tr2bl w:val="nil"/>
                  </w:tcBorders>
                  <w:shd w:val="clear" w:color="auto" w:fill="auto"/>
                  <w:noWrap w:val="0"/>
                  <w:vAlign w:val="center"/>
                </w:tcPr>
                <w:p w14:paraId="2E23B0C3">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35</w:t>
                  </w:r>
                </w:p>
              </w:tc>
            </w:tr>
            <w:tr w14:paraId="13E3A6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 w:type="pct"/>
                  <w:vMerge w:val="restart"/>
                  <w:tcBorders>
                    <w:tl2br w:val="nil"/>
                    <w:tr2bl w:val="nil"/>
                  </w:tcBorders>
                  <w:noWrap w:val="0"/>
                  <w:vAlign w:val="center"/>
                </w:tcPr>
                <w:p w14:paraId="096C3D9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w:t>
                  </w:r>
                </w:p>
              </w:tc>
              <w:tc>
                <w:tcPr>
                  <w:tcW w:w="561" w:type="pct"/>
                  <w:vMerge w:val="restart"/>
                  <w:tcBorders>
                    <w:tl2br w:val="nil"/>
                    <w:tr2bl w:val="nil"/>
                  </w:tcBorders>
                  <w:noWrap w:val="0"/>
                  <w:vAlign w:val="center"/>
                </w:tcPr>
                <w:p w14:paraId="4A5420B3">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锅炉排污水</w:t>
                  </w:r>
                </w:p>
              </w:tc>
              <w:tc>
                <w:tcPr>
                  <w:tcW w:w="637" w:type="pct"/>
                  <w:vMerge w:val="restart"/>
                  <w:tcBorders>
                    <w:tl2br w:val="nil"/>
                    <w:tr2bl w:val="nil"/>
                  </w:tcBorders>
                  <w:noWrap w:val="0"/>
                  <w:vAlign w:val="center"/>
                </w:tcPr>
                <w:p w14:paraId="0CE1D1A5">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5844.3</w:t>
                  </w:r>
                </w:p>
              </w:tc>
              <w:tc>
                <w:tcPr>
                  <w:tcW w:w="282" w:type="pct"/>
                  <w:vMerge w:val="restart"/>
                  <w:tcBorders>
                    <w:tl2br w:val="nil"/>
                    <w:tr2bl w:val="nil"/>
                  </w:tcBorders>
                  <w:noWrap w:val="0"/>
                  <w:vAlign w:val="center"/>
                </w:tcPr>
                <w:p w14:paraId="48D9DD6D">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lang w:val="en-US" w:eastAsia="zh-CN"/>
                    </w:rPr>
                    <w:t>间歇</w:t>
                  </w:r>
                </w:p>
              </w:tc>
              <w:tc>
                <w:tcPr>
                  <w:tcW w:w="514" w:type="pct"/>
                  <w:vMerge w:val="restart"/>
                  <w:tcBorders>
                    <w:tl2br w:val="nil"/>
                    <w:tr2bl w:val="nil"/>
                  </w:tcBorders>
                  <w:noWrap w:val="0"/>
                  <w:vAlign w:val="center"/>
                </w:tcPr>
                <w:p w14:paraId="58A142A0">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eastAsia="zh-CN"/>
                    </w:rPr>
                  </w:pPr>
                  <w:r>
                    <w:rPr>
                      <w:rFonts w:hint="default" w:ascii="Times New Roman" w:hAnsi="Times New Roman" w:cs="Times New Roman"/>
                      <w:color w:val="auto"/>
                      <w:kern w:val="0"/>
                      <w:sz w:val="18"/>
                      <w:szCs w:val="18"/>
                    </w:rPr>
                    <w:t>园区污水</w:t>
                  </w:r>
                  <w:r>
                    <w:rPr>
                      <w:rFonts w:hint="default" w:ascii="Times New Roman" w:hAnsi="Times New Roman" w:cs="Times New Roman"/>
                      <w:color w:val="auto"/>
                      <w:kern w:val="0"/>
                      <w:sz w:val="18"/>
                      <w:szCs w:val="18"/>
                      <w:lang w:val="en-US" w:eastAsia="zh-CN"/>
                    </w:rPr>
                    <w:t>处理厂</w:t>
                  </w:r>
                </w:p>
              </w:tc>
              <w:tc>
                <w:tcPr>
                  <w:tcW w:w="426" w:type="pct"/>
                  <w:tcBorders>
                    <w:tl2br w:val="nil"/>
                    <w:tr2bl w:val="nil"/>
                  </w:tcBorders>
                  <w:noWrap w:val="0"/>
                  <w:vAlign w:val="center"/>
                </w:tcPr>
                <w:p w14:paraId="5FC9883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pH</w:t>
                  </w:r>
                </w:p>
              </w:tc>
              <w:tc>
                <w:tcPr>
                  <w:tcW w:w="432" w:type="pct"/>
                  <w:tcBorders>
                    <w:tl2br w:val="nil"/>
                    <w:tr2bl w:val="nil"/>
                  </w:tcBorders>
                  <w:noWrap w:val="0"/>
                  <w:vAlign w:val="center"/>
                </w:tcPr>
                <w:p w14:paraId="6B53196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eastAsia" w:cs="Times New Roman"/>
                      <w:color w:val="auto"/>
                      <w:kern w:val="0"/>
                      <w:sz w:val="18"/>
                      <w:szCs w:val="18"/>
                      <w:lang w:val="en-US" w:eastAsia="zh-CN"/>
                    </w:rPr>
                    <w:t>6~9</w:t>
                  </w:r>
                </w:p>
              </w:tc>
              <w:tc>
                <w:tcPr>
                  <w:tcW w:w="928" w:type="pct"/>
                  <w:vMerge w:val="restart"/>
                  <w:tcBorders>
                    <w:tl2br w:val="nil"/>
                    <w:tr2bl w:val="nil"/>
                  </w:tcBorders>
                  <w:shd w:val="clear" w:color="auto" w:fill="auto"/>
                  <w:noWrap w:val="0"/>
                  <w:vAlign w:val="center"/>
                </w:tcPr>
                <w:p w14:paraId="14834654">
                  <w:pPr>
                    <w:keepNext w:val="0"/>
                    <w:keepLines w:val="0"/>
                    <w:pageBreakBefore w:val="0"/>
                    <w:kinsoku/>
                    <w:wordWrap/>
                    <w:overflowPunct/>
                    <w:topLinePunct w:val="0"/>
                    <w:autoSpaceDE/>
                    <w:autoSpaceDN/>
                    <w:bidi w:val="0"/>
                    <w:adjustRightInd w:val="0"/>
                    <w:snapToGrid w:val="0"/>
                    <w:spacing w:line="240" w:lineRule="auto"/>
                    <w:jc w:val="center"/>
                    <w:rPr>
                      <w:rFonts w:hint="default" w:cs="Times New Roman"/>
                      <w:color w:val="auto"/>
                      <w:kern w:val="0"/>
                      <w:sz w:val="18"/>
                      <w:szCs w:val="18"/>
                      <w:lang w:val="en-US" w:eastAsia="zh-CN"/>
                    </w:rPr>
                  </w:pPr>
                  <w:r>
                    <w:rPr>
                      <w:rFonts w:hint="eastAsia" w:cs="Times New Roman"/>
                      <w:color w:val="auto"/>
                      <w:kern w:val="0"/>
                      <w:sz w:val="18"/>
                      <w:szCs w:val="18"/>
                      <w:lang w:val="en-US" w:eastAsia="zh-CN"/>
                    </w:rPr>
                    <w:t>类比法+工程经验系数</w:t>
                  </w:r>
                </w:p>
              </w:tc>
              <w:tc>
                <w:tcPr>
                  <w:tcW w:w="490" w:type="pct"/>
                  <w:tcBorders>
                    <w:tl2br w:val="nil"/>
                    <w:tr2bl w:val="nil"/>
                  </w:tcBorders>
                  <w:shd w:val="clear" w:color="auto" w:fill="auto"/>
                  <w:noWrap w:val="0"/>
                  <w:vAlign w:val="center"/>
                </w:tcPr>
                <w:p w14:paraId="0C750F98">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pH</w:t>
                  </w:r>
                </w:p>
              </w:tc>
              <w:tc>
                <w:tcPr>
                  <w:tcW w:w="456" w:type="pct"/>
                  <w:tcBorders>
                    <w:tl2br w:val="nil"/>
                    <w:tr2bl w:val="nil"/>
                  </w:tcBorders>
                  <w:shd w:val="clear" w:color="auto" w:fill="auto"/>
                  <w:noWrap w:val="0"/>
                  <w:vAlign w:val="center"/>
                </w:tcPr>
                <w:p w14:paraId="2927B031">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rPr>
                    <w:t>6~9</w:t>
                  </w:r>
                </w:p>
              </w:tc>
            </w:tr>
            <w:tr w14:paraId="7809D5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 w:type="pct"/>
                  <w:vMerge w:val="continue"/>
                  <w:tcBorders>
                    <w:tl2br w:val="nil"/>
                    <w:tr2bl w:val="nil"/>
                  </w:tcBorders>
                  <w:noWrap w:val="0"/>
                  <w:vAlign w:val="center"/>
                </w:tcPr>
                <w:p w14:paraId="33BE8A6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61" w:type="pct"/>
                  <w:vMerge w:val="continue"/>
                  <w:tcBorders>
                    <w:tl2br w:val="nil"/>
                    <w:tr2bl w:val="nil"/>
                  </w:tcBorders>
                  <w:noWrap w:val="0"/>
                  <w:vAlign w:val="center"/>
                </w:tcPr>
                <w:p w14:paraId="04EF0B63">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637" w:type="pct"/>
                  <w:vMerge w:val="continue"/>
                  <w:tcBorders>
                    <w:tl2br w:val="nil"/>
                    <w:tr2bl w:val="nil"/>
                  </w:tcBorders>
                  <w:noWrap w:val="0"/>
                  <w:vAlign w:val="center"/>
                </w:tcPr>
                <w:p w14:paraId="5799BAFA">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282" w:type="pct"/>
                  <w:vMerge w:val="continue"/>
                  <w:tcBorders>
                    <w:tl2br w:val="nil"/>
                    <w:tr2bl w:val="nil"/>
                  </w:tcBorders>
                  <w:noWrap w:val="0"/>
                  <w:vAlign w:val="center"/>
                </w:tcPr>
                <w:p w14:paraId="0389195E">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14" w:type="pct"/>
                  <w:vMerge w:val="continue"/>
                  <w:tcBorders>
                    <w:tl2br w:val="nil"/>
                    <w:tr2bl w:val="nil"/>
                  </w:tcBorders>
                  <w:noWrap w:val="0"/>
                  <w:vAlign w:val="center"/>
                </w:tcPr>
                <w:p w14:paraId="4740111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426" w:type="pct"/>
                  <w:tcBorders>
                    <w:tl2br w:val="nil"/>
                    <w:tr2bl w:val="nil"/>
                  </w:tcBorders>
                  <w:noWrap w:val="0"/>
                  <w:vAlign w:val="center"/>
                </w:tcPr>
                <w:p w14:paraId="13FF6ADD">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COD</w:t>
                  </w:r>
                </w:p>
              </w:tc>
              <w:tc>
                <w:tcPr>
                  <w:tcW w:w="432" w:type="pct"/>
                  <w:tcBorders>
                    <w:tl2br w:val="nil"/>
                    <w:tr2bl w:val="nil"/>
                  </w:tcBorders>
                  <w:noWrap w:val="0"/>
                  <w:vAlign w:val="center"/>
                </w:tcPr>
                <w:p w14:paraId="7CC3C23C">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50</w:t>
                  </w:r>
                </w:p>
              </w:tc>
              <w:tc>
                <w:tcPr>
                  <w:tcW w:w="928" w:type="pct"/>
                  <w:vMerge w:val="continue"/>
                  <w:tcBorders>
                    <w:tl2br w:val="nil"/>
                    <w:tr2bl w:val="nil"/>
                  </w:tcBorders>
                  <w:shd w:val="clear" w:color="auto" w:fill="auto"/>
                  <w:noWrap w:val="0"/>
                  <w:vAlign w:val="center"/>
                </w:tcPr>
                <w:p w14:paraId="0B9749A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490" w:type="pct"/>
                  <w:tcBorders>
                    <w:tl2br w:val="nil"/>
                    <w:tr2bl w:val="nil"/>
                  </w:tcBorders>
                  <w:shd w:val="clear" w:color="auto" w:fill="auto"/>
                  <w:noWrap w:val="0"/>
                  <w:vAlign w:val="center"/>
                </w:tcPr>
                <w:p w14:paraId="697C2482">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COD</w:t>
                  </w:r>
                </w:p>
              </w:tc>
              <w:tc>
                <w:tcPr>
                  <w:tcW w:w="456" w:type="pct"/>
                  <w:tcBorders>
                    <w:tl2br w:val="nil"/>
                    <w:tr2bl w:val="nil"/>
                  </w:tcBorders>
                  <w:shd w:val="clear" w:color="auto" w:fill="auto"/>
                  <w:noWrap w:val="0"/>
                  <w:vAlign w:val="center"/>
                </w:tcPr>
                <w:p w14:paraId="75DE8CC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50</w:t>
                  </w:r>
                </w:p>
              </w:tc>
            </w:tr>
            <w:tr w14:paraId="350A73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 w:type="pct"/>
                  <w:vMerge w:val="continue"/>
                  <w:tcBorders>
                    <w:tl2br w:val="nil"/>
                    <w:tr2bl w:val="nil"/>
                  </w:tcBorders>
                  <w:noWrap w:val="0"/>
                  <w:vAlign w:val="center"/>
                </w:tcPr>
                <w:p w14:paraId="6F4F0346">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61" w:type="pct"/>
                  <w:vMerge w:val="continue"/>
                  <w:tcBorders>
                    <w:tl2br w:val="nil"/>
                    <w:tr2bl w:val="nil"/>
                  </w:tcBorders>
                  <w:noWrap w:val="0"/>
                  <w:vAlign w:val="center"/>
                </w:tcPr>
                <w:p w14:paraId="406E3116">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637" w:type="pct"/>
                  <w:vMerge w:val="continue"/>
                  <w:tcBorders>
                    <w:tl2br w:val="nil"/>
                    <w:tr2bl w:val="nil"/>
                  </w:tcBorders>
                  <w:noWrap w:val="0"/>
                  <w:vAlign w:val="center"/>
                </w:tcPr>
                <w:p w14:paraId="02782D49">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282" w:type="pct"/>
                  <w:vMerge w:val="continue"/>
                  <w:tcBorders>
                    <w:tl2br w:val="nil"/>
                    <w:tr2bl w:val="nil"/>
                  </w:tcBorders>
                  <w:noWrap w:val="0"/>
                  <w:vAlign w:val="center"/>
                </w:tcPr>
                <w:p w14:paraId="4B79660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14" w:type="pct"/>
                  <w:vMerge w:val="continue"/>
                  <w:tcBorders>
                    <w:tl2br w:val="nil"/>
                    <w:tr2bl w:val="nil"/>
                  </w:tcBorders>
                  <w:noWrap w:val="0"/>
                  <w:vAlign w:val="center"/>
                </w:tcPr>
                <w:p w14:paraId="24E6365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426" w:type="pct"/>
                  <w:tcBorders>
                    <w:tl2br w:val="nil"/>
                    <w:tr2bl w:val="nil"/>
                  </w:tcBorders>
                  <w:noWrap w:val="0"/>
                  <w:vAlign w:val="center"/>
                </w:tcPr>
                <w:p w14:paraId="2758E19A">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SS</w:t>
                  </w:r>
                </w:p>
              </w:tc>
              <w:tc>
                <w:tcPr>
                  <w:tcW w:w="432" w:type="pct"/>
                  <w:tcBorders>
                    <w:tl2br w:val="nil"/>
                    <w:tr2bl w:val="nil"/>
                  </w:tcBorders>
                  <w:noWrap w:val="0"/>
                  <w:vAlign w:val="center"/>
                </w:tcPr>
                <w:p w14:paraId="335BA149">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eastAsia" w:cs="Times New Roman"/>
                      <w:color w:val="auto"/>
                      <w:kern w:val="0"/>
                      <w:sz w:val="18"/>
                      <w:szCs w:val="18"/>
                      <w:lang w:val="en-US" w:eastAsia="zh-CN"/>
                    </w:rPr>
                    <w:t>50</w:t>
                  </w:r>
                </w:p>
              </w:tc>
              <w:tc>
                <w:tcPr>
                  <w:tcW w:w="928" w:type="pct"/>
                  <w:vMerge w:val="continue"/>
                  <w:tcBorders>
                    <w:tl2br w:val="nil"/>
                    <w:tr2bl w:val="nil"/>
                  </w:tcBorders>
                  <w:shd w:val="clear" w:color="auto" w:fill="auto"/>
                  <w:noWrap w:val="0"/>
                  <w:vAlign w:val="center"/>
                </w:tcPr>
                <w:p w14:paraId="44911977">
                  <w:pPr>
                    <w:keepNext w:val="0"/>
                    <w:keepLines w:val="0"/>
                    <w:pageBreakBefore w:val="0"/>
                    <w:kinsoku/>
                    <w:wordWrap/>
                    <w:overflowPunct/>
                    <w:topLinePunct w:val="0"/>
                    <w:autoSpaceDE/>
                    <w:autoSpaceDN/>
                    <w:bidi w:val="0"/>
                    <w:adjustRightInd w:val="0"/>
                    <w:snapToGrid w:val="0"/>
                    <w:spacing w:line="240" w:lineRule="auto"/>
                    <w:jc w:val="center"/>
                    <w:rPr>
                      <w:rFonts w:hint="eastAsia" w:cs="Times New Roman"/>
                      <w:color w:val="auto"/>
                      <w:kern w:val="0"/>
                      <w:sz w:val="18"/>
                      <w:szCs w:val="18"/>
                      <w:lang w:val="en-US" w:eastAsia="zh-CN"/>
                    </w:rPr>
                  </w:pPr>
                </w:p>
              </w:tc>
              <w:tc>
                <w:tcPr>
                  <w:tcW w:w="490" w:type="pct"/>
                  <w:tcBorders>
                    <w:tl2br w:val="nil"/>
                    <w:tr2bl w:val="nil"/>
                  </w:tcBorders>
                  <w:shd w:val="clear" w:color="auto" w:fill="auto"/>
                  <w:noWrap w:val="0"/>
                  <w:vAlign w:val="center"/>
                </w:tcPr>
                <w:p w14:paraId="0323C6F0">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SS</w:t>
                  </w:r>
                </w:p>
              </w:tc>
              <w:tc>
                <w:tcPr>
                  <w:tcW w:w="456" w:type="pct"/>
                  <w:tcBorders>
                    <w:tl2br w:val="nil"/>
                    <w:tr2bl w:val="nil"/>
                  </w:tcBorders>
                  <w:shd w:val="clear" w:color="auto" w:fill="auto"/>
                  <w:noWrap w:val="0"/>
                  <w:vAlign w:val="center"/>
                </w:tcPr>
                <w:p w14:paraId="37FF4B6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rPr>
                    <w:t>5</w:t>
                  </w:r>
                  <w:r>
                    <w:rPr>
                      <w:rFonts w:hint="default" w:ascii="Times New Roman" w:hAnsi="Times New Roman" w:cs="Times New Roman"/>
                      <w:color w:val="auto"/>
                      <w:kern w:val="0"/>
                      <w:sz w:val="18"/>
                      <w:szCs w:val="18"/>
                    </w:rPr>
                    <w:t>0</w:t>
                  </w:r>
                </w:p>
              </w:tc>
            </w:tr>
            <w:tr w14:paraId="126018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85" w:hRule="atLeast"/>
              </w:trPr>
              <w:tc>
                <w:tcPr>
                  <w:tcW w:w="269" w:type="pct"/>
                  <w:vMerge w:val="restart"/>
                  <w:tcBorders>
                    <w:tl2br w:val="nil"/>
                    <w:tr2bl w:val="nil"/>
                  </w:tcBorders>
                  <w:noWrap w:val="0"/>
                  <w:vAlign w:val="center"/>
                </w:tcPr>
                <w:p w14:paraId="6029661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w:t>
                  </w:r>
                </w:p>
              </w:tc>
              <w:tc>
                <w:tcPr>
                  <w:tcW w:w="561" w:type="pct"/>
                  <w:vMerge w:val="restart"/>
                  <w:tcBorders>
                    <w:tl2br w:val="nil"/>
                    <w:tr2bl w:val="nil"/>
                  </w:tcBorders>
                  <w:noWrap w:val="0"/>
                  <w:vAlign w:val="center"/>
                </w:tcPr>
                <w:p w14:paraId="766C3803">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eastAsia="宋体" w:cs="Times New Roman"/>
                      <w:i w:val="0"/>
                      <w:iCs w:val="0"/>
                      <w:color w:val="auto"/>
                      <w:kern w:val="0"/>
                      <w:sz w:val="18"/>
                      <w:szCs w:val="18"/>
                      <w:u w:val="none"/>
                      <w:lang w:val="en-US" w:eastAsia="zh-CN" w:bidi="ar"/>
                    </w:rPr>
                    <w:t>脱盐水系统</w:t>
                  </w:r>
                  <w:r>
                    <w:rPr>
                      <w:rFonts w:hint="default" w:ascii="Times New Roman" w:hAnsi="Times New Roman" w:cs="Times New Roman"/>
                      <w:i w:val="0"/>
                      <w:iCs w:val="0"/>
                      <w:color w:val="auto"/>
                      <w:kern w:val="0"/>
                      <w:sz w:val="18"/>
                      <w:szCs w:val="18"/>
                      <w:u w:val="none"/>
                      <w:lang w:val="en-US" w:eastAsia="zh-CN" w:bidi="ar"/>
                    </w:rPr>
                    <w:t>排污水</w:t>
                  </w:r>
                </w:p>
              </w:tc>
              <w:tc>
                <w:tcPr>
                  <w:tcW w:w="637" w:type="pct"/>
                  <w:vMerge w:val="restart"/>
                  <w:tcBorders>
                    <w:tl2br w:val="nil"/>
                    <w:tr2bl w:val="nil"/>
                  </w:tcBorders>
                  <w:noWrap w:val="0"/>
                  <w:vAlign w:val="center"/>
                </w:tcPr>
                <w:p w14:paraId="017776EA">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eastAsia" w:cs="Times New Roman"/>
                      <w:color w:val="auto"/>
                      <w:kern w:val="0"/>
                      <w:sz w:val="18"/>
                      <w:szCs w:val="18"/>
                      <w:lang w:val="en-US" w:eastAsia="zh-CN"/>
                    </w:rPr>
                    <w:t>68243.42</w:t>
                  </w:r>
                </w:p>
              </w:tc>
              <w:tc>
                <w:tcPr>
                  <w:tcW w:w="282" w:type="pct"/>
                  <w:vMerge w:val="restart"/>
                  <w:tcBorders>
                    <w:tl2br w:val="nil"/>
                    <w:tr2bl w:val="nil"/>
                  </w:tcBorders>
                  <w:noWrap w:val="0"/>
                  <w:vAlign w:val="center"/>
                </w:tcPr>
                <w:p w14:paraId="16E123A1">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lang w:val="en-US" w:eastAsia="zh-CN"/>
                    </w:rPr>
                    <w:t>间歇</w:t>
                  </w:r>
                </w:p>
              </w:tc>
              <w:tc>
                <w:tcPr>
                  <w:tcW w:w="514" w:type="pct"/>
                  <w:vMerge w:val="continue"/>
                  <w:tcBorders>
                    <w:tl2br w:val="nil"/>
                    <w:tr2bl w:val="nil"/>
                  </w:tcBorders>
                  <w:noWrap w:val="0"/>
                  <w:vAlign w:val="center"/>
                </w:tcPr>
                <w:p w14:paraId="4B5883B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426" w:type="pct"/>
                  <w:tcBorders>
                    <w:tl2br w:val="nil"/>
                    <w:tr2bl w:val="nil"/>
                  </w:tcBorders>
                  <w:noWrap w:val="0"/>
                  <w:vAlign w:val="center"/>
                </w:tcPr>
                <w:p w14:paraId="3C8CF708">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pH</w:t>
                  </w:r>
                </w:p>
              </w:tc>
              <w:tc>
                <w:tcPr>
                  <w:tcW w:w="432" w:type="pct"/>
                  <w:tcBorders>
                    <w:tl2br w:val="nil"/>
                    <w:tr2bl w:val="nil"/>
                  </w:tcBorders>
                  <w:noWrap w:val="0"/>
                  <w:vAlign w:val="center"/>
                </w:tcPr>
                <w:p w14:paraId="4B95060D">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eastAsia" w:cs="Times New Roman"/>
                      <w:color w:val="auto"/>
                      <w:kern w:val="0"/>
                      <w:sz w:val="18"/>
                      <w:szCs w:val="18"/>
                      <w:lang w:val="en-US" w:eastAsia="zh-CN"/>
                    </w:rPr>
                    <w:t>6~9</w:t>
                  </w:r>
                </w:p>
              </w:tc>
              <w:tc>
                <w:tcPr>
                  <w:tcW w:w="928" w:type="pct"/>
                  <w:vMerge w:val="restart"/>
                  <w:tcBorders>
                    <w:tl2br w:val="nil"/>
                    <w:tr2bl w:val="nil"/>
                  </w:tcBorders>
                  <w:shd w:val="clear" w:color="auto" w:fill="auto"/>
                  <w:noWrap w:val="0"/>
                  <w:vAlign w:val="center"/>
                </w:tcPr>
                <w:p w14:paraId="4C13B108">
                  <w:pPr>
                    <w:keepNext w:val="0"/>
                    <w:keepLines w:val="0"/>
                    <w:pageBreakBefore w:val="0"/>
                    <w:kinsoku/>
                    <w:wordWrap/>
                    <w:overflowPunct/>
                    <w:topLinePunct w:val="0"/>
                    <w:autoSpaceDE/>
                    <w:autoSpaceDN/>
                    <w:bidi w:val="0"/>
                    <w:adjustRightInd w:val="0"/>
                    <w:snapToGrid w:val="0"/>
                    <w:spacing w:line="240" w:lineRule="auto"/>
                    <w:jc w:val="center"/>
                    <w:rPr>
                      <w:rFonts w:hint="eastAsia" w:cs="Times New Roman"/>
                      <w:color w:val="auto"/>
                      <w:kern w:val="0"/>
                      <w:sz w:val="18"/>
                      <w:szCs w:val="18"/>
                      <w:lang w:val="en-US" w:eastAsia="zh-CN"/>
                    </w:rPr>
                  </w:pPr>
                  <w:r>
                    <w:rPr>
                      <w:rFonts w:hint="eastAsia" w:cs="Times New Roman"/>
                      <w:color w:val="auto"/>
                      <w:kern w:val="0"/>
                      <w:sz w:val="18"/>
                      <w:szCs w:val="18"/>
                      <w:lang w:val="en-US" w:eastAsia="zh-CN"/>
                    </w:rPr>
                    <w:t>类比法+工程经验系数</w:t>
                  </w:r>
                </w:p>
              </w:tc>
              <w:tc>
                <w:tcPr>
                  <w:tcW w:w="490" w:type="pct"/>
                  <w:tcBorders>
                    <w:tl2br w:val="nil"/>
                    <w:tr2bl w:val="nil"/>
                  </w:tcBorders>
                  <w:shd w:val="clear" w:color="auto" w:fill="auto"/>
                  <w:noWrap w:val="0"/>
                  <w:vAlign w:val="center"/>
                </w:tcPr>
                <w:p w14:paraId="6742C66D">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pH</w:t>
                  </w:r>
                </w:p>
              </w:tc>
              <w:tc>
                <w:tcPr>
                  <w:tcW w:w="456" w:type="pct"/>
                  <w:tcBorders>
                    <w:tl2br w:val="nil"/>
                    <w:tr2bl w:val="nil"/>
                  </w:tcBorders>
                  <w:shd w:val="clear" w:color="auto" w:fill="auto"/>
                  <w:noWrap w:val="0"/>
                  <w:vAlign w:val="center"/>
                </w:tcPr>
                <w:p w14:paraId="3DB3BA9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rPr>
                    <w:t>6~9</w:t>
                  </w:r>
                </w:p>
              </w:tc>
            </w:tr>
            <w:tr w14:paraId="2A0578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 w:type="pct"/>
                  <w:vMerge w:val="continue"/>
                  <w:tcBorders>
                    <w:tl2br w:val="nil"/>
                    <w:tr2bl w:val="nil"/>
                  </w:tcBorders>
                  <w:noWrap w:val="0"/>
                  <w:vAlign w:val="center"/>
                </w:tcPr>
                <w:p w14:paraId="3AC3AD6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61" w:type="pct"/>
                  <w:vMerge w:val="continue"/>
                  <w:tcBorders>
                    <w:tl2br w:val="nil"/>
                    <w:tr2bl w:val="nil"/>
                  </w:tcBorders>
                  <w:noWrap w:val="0"/>
                  <w:vAlign w:val="center"/>
                </w:tcPr>
                <w:p w14:paraId="24CE86B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637" w:type="pct"/>
                  <w:vMerge w:val="continue"/>
                  <w:tcBorders>
                    <w:tl2br w:val="nil"/>
                    <w:tr2bl w:val="nil"/>
                  </w:tcBorders>
                  <w:noWrap w:val="0"/>
                  <w:vAlign w:val="center"/>
                </w:tcPr>
                <w:p w14:paraId="2E8B7F6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282" w:type="pct"/>
                  <w:vMerge w:val="continue"/>
                  <w:tcBorders>
                    <w:tl2br w:val="nil"/>
                    <w:tr2bl w:val="nil"/>
                  </w:tcBorders>
                  <w:noWrap w:val="0"/>
                  <w:vAlign w:val="center"/>
                </w:tcPr>
                <w:p w14:paraId="588AD63E">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14" w:type="pct"/>
                  <w:vMerge w:val="continue"/>
                  <w:tcBorders>
                    <w:tl2br w:val="nil"/>
                    <w:tr2bl w:val="nil"/>
                  </w:tcBorders>
                  <w:noWrap w:val="0"/>
                  <w:vAlign w:val="center"/>
                </w:tcPr>
                <w:p w14:paraId="6E12118D">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426" w:type="pct"/>
                  <w:tcBorders>
                    <w:tl2br w:val="nil"/>
                    <w:tr2bl w:val="nil"/>
                  </w:tcBorders>
                  <w:noWrap w:val="0"/>
                  <w:vAlign w:val="center"/>
                </w:tcPr>
                <w:p w14:paraId="56CF6D6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COD</w:t>
                  </w:r>
                </w:p>
              </w:tc>
              <w:tc>
                <w:tcPr>
                  <w:tcW w:w="432" w:type="pct"/>
                  <w:tcBorders>
                    <w:tl2br w:val="nil"/>
                    <w:tr2bl w:val="nil"/>
                  </w:tcBorders>
                  <w:noWrap w:val="0"/>
                  <w:vAlign w:val="center"/>
                </w:tcPr>
                <w:p w14:paraId="60039D8D">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50</w:t>
                  </w:r>
                </w:p>
              </w:tc>
              <w:tc>
                <w:tcPr>
                  <w:tcW w:w="928" w:type="pct"/>
                  <w:vMerge w:val="continue"/>
                  <w:tcBorders>
                    <w:tl2br w:val="nil"/>
                    <w:tr2bl w:val="nil"/>
                  </w:tcBorders>
                  <w:shd w:val="clear" w:color="auto" w:fill="auto"/>
                  <w:noWrap w:val="0"/>
                  <w:vAlign w:val="center"/>
                </w:tcPr>
                <w:p w14:paraId="45B576BD">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490" w:type="pct"/>
                  <w:tcBorders>
                    <w:tl2br w:val="nil"/>
                    <w:tr2bl w:val="nil"/>
                  </w:tcBorders>
                  <w:shd w:val="clear" w:color="auto" w:fill="auto"/>
                  <w:noWrap w:val="0"/>
                  <w:vAlign w:val="center"/>
                </w:tcPr>
                <w:p w14:paraId="04C97271">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COD</w:t>
                  </w:r>
                </w:p>
              </w:tc>
              <w:tc>
                <w:tcPr>
                  <w:tcW w:w="456" w:type="pct"/>
                  <w:tcBorders>
                    <w:tl2br w:val="nil"/>
                    <w:tr2bl w:val="nil"/>
                  </w:tcBorders>
                  <w:shd w:val="clear" w:color="auto" w:fill="auto"/>
                  <w:noWrap w:val="0"/>
                  <w:vAlign w:val="center"/>
                </w:tcPr>
                <w:p w14:paraId="44A5E606">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50</w:t>
                  </w:r>
                </w:p>
              </w:tc>
            </w:tr>
            <w:tr w14:paraId="428E08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 w:type="pct"/>
                  <w:vMerge w:val="continue"/>
                  <w:tcBorders>
                    <w:tl2br w:val="nil"/>
                    <w:tr2bl w:val="nil"/>
                  </w:tcBorders>
                  <w:noWrap w:val="0"/>
                  <w:vAlign w:val="center"/>
                </w:tcPr>
                <w:p w14:paraId="5D0F0B99">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61" w:type="pct"/>
                  <w:vMerge w:val="continue"/>
                  <w:tcBorders>
                    <w:tl2br w:val="nil"/>
                    <w:tr2bl w:val="nil"/>
                  </w:tcBorders>
                  <w:noWrap w:val="0"/>
                  <w:vAlign w:val="center"/>
                </w:tcPr>
                <w:p w14:paraId="4DB4459D">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637" w:type="pct"/>
                  <w:vMerge w:val="continue"/>
                  <w:tcBorders>
                    <w:tl2br w:val="nil"/>
                    <w:tr2bl w:val="nil"/>
                  </w:tcBorders>
                  <w:noWrap w:val="0"/>
                  <w:vAlign w:val="center"/>
                </w:tcPr>
                <w:p w14:paraId="03031B4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282" w:type="pct"/>
                  <w:vMerge w:val="continue"/>
                  <w:tcBorders>
                    <w:tl2br w:val="nil"/>
                    <w:tr2bl w:val="nil"/>
                  </w:tcBorders>
                  <w:noWrap w:val="0"/>
                  <w:vAlign w:val="center"/>
                </w:tcPr>
                <w:p w14:paraId="34ADEC0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14" w:type="pct"/>
                  <w:vMerge w:val="continue"/>
                  <w:tcBorders>
                    <w:tl2br w:val="nil"/>
                    <w:tr2bl w:val="nil"/>
                  </w:tcBorders>
                  <w:noWrap w:val="0"/>
                  <w:vAlign w:val="center"/>
                </w:tcPr>
                <w:p w14:paraId="5988ABA0">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426" w:type="pct"/>
                  <w:tcBorders>
                    <w:tl2br w:val="nil"/>
                    <w:tr2bl w:val="nil"/>
                  </w:tcBorders>
                  <w:noWrap w:val="0"/>
                  <w:vAlign w:val="center"/>
                </w:tcPr>
                <w:p w14:paraId="0EAD46EA">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SS</w:t>
                  </w:r>
                </w:p>
              </w:tc>
              <w:tc>
                <w:tcPr>
                  <w:tcW w:w="432" w:type="pct"/>
                  <w:tcBorders>
                    <w:tl2br w:val="nil"/>
                    <w:tr2bl w:val="nil"/>
                  </w:tcBorders>
                  <w:noWrap w:val="0"/>
                  <w:vAlign w:val="center"/>
                </w:tcPr>
                <w:p w14:paraId="5D735A09">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20</w:t>
                  </w:r>
                </w:p>
              </w:tc>
              <w:tc>
                <w:tcPr>
                  <w:tcW w:w="928" w:type="pct"/>
                  <w:vMerge w:val="continue"/>
                  <w:tcBorders>
                    <w:tl2br w:val="nil"/>
                    <w:tr2bl w:val="nil"/>
                  </w:tcBorders>
                  <w:shd w:val="clear" w:color="auto" w:fill="auto"/>
                  <w:noWrap w:val="0"/>
                  <w:vAlign w:val="center"/>
                </w:tcPr>
                <w:p w14:paraId="3DD3F260">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490" w:type="pct"/>
                  <w:tcBorders>
                    <w:tl2br w:val="nil"/>
                    <w:tr2bl w:val="nil"/>
                  </w:tcBorders>
                  <w:shd w:val="clear" w:color="auto" w:fill="auto"/>
                  <w:noWrap w:val="0"/>
                  <w:vAlign w:val="center"/>
                </w:tcPr>
                <w:p w14:paraId="37F74182">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SS</w:t>
                  </w:r>
                </w:p>
              </w:tc>
              <w:tc>
                <w:tcPr>
                  <w:tcW w:w="456" w:type="pct"/>
                  <w:tcBorders>
                    <w:tl2br w:val="nil"/>
                    <w:tr2bl w:val="nil"/>
                  </w:tcBorders>
                  <w:shd w:val="clear" w:color="auto" w:fill="auto"/>
                  <w:noWrap w:val="0"/>
                  <w:vAlign w:val="center"/>
                </w:tcPr>
                <w:p w14:paraId="271120B9">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20</w:t>
                  </w:r>
                </w:p>
              </w:tc>
            </w:tr>
            <w:tr w14:paraId="01249C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 w:type="pct"/>
                  <w:vMerge w:val="restart"/>
                  <w:tcBorders>
                    <w:tl2br w:val="nil"/>
                    <w:tr2bl w:val="nil"/>
                  </w:tcBorders>
                  <w:noWrap w:val="0"/>
                  <w:vAlign w:val="center"/>
                </w:tcPr>
                <w:p w14:paraId="103E3AE0">
                  <w:pPr>
                    <w:keepNext w:val="0"/>
                    <w:keepLines w:val="0"/>
                    <w:pageBreakBefore w:val="0"/>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4</w:t>
                  </w:r>
                </w:p>
              </w:tc>
              <w:tc>
                <w:tcPr>
                  <w:tcW w:w="561" w:type="pct"/>
                  <w:vMerge w:val="restart"/>
                  <w:tcBorders>
                    <w:tl2br w:val="nil"/>
                    <w:tr2bl w:val="nil"/>
                  </w:tcBorders>
                  <w:shd w:val="clear" w:color="auto" w:fill="auto"/>
                  <w:noWrap w:val="0"/>
                  <w:vAlign w:val="center"/>
                </w:tcPr>
                <w:p w14:paraId="029FA57E">
                  <w:pPr>
                    <w:keepNext w:val="0"/>
                    <w:keepLines w:val="0"/>
                    <w:pageBreakBefore w:val="0"/>
                    <w:widowControl/>
                    <w:suppressLineNumbers w:val="0"/>
                    <w:kinsoku/>
                    <w:wordWrap/>
                    <w:overflowPunct/>
                    <w:topLinePunct w:val="0"/>
                    <w:autoSpaceDE/>
                    <w:autoSpaceDN/>
                    <w:bidi w:val="0"/>
                    <w:spacing w:line="240" w:lineRule="auto"/>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净循环水系统</w:t>
                  </w:r>
                  <w:r>
                    <w:rPr>
                      <w:rFonts w:hint="default" w:ascii="Times New Roman" w:hAnsi="Times New Roman" w:cs="Times New Roman"/>
                      <w:i w:val="0"/>
                      <w:iCs w:val="0"/>
                      <w:color w:val="auto"/>
                      <w:kern w:val="0"/>
                      <w:sz w:val="18"/>
                      <w:szCs w:val="18"/>
                      <w:u w:val="none"/>
                      <w:lang w:val="en-US" w:eastAsia="zh-CN" w:bidi="ar"/>
                    </w:rPr>
                    <w:t>排污水</w:t>
                  </w:r>
                </w:p>
              </w:tc>
              <w:tc>
                <w:tcPr>
                  <w:tcW w:w="637" w:type="pct"/>
                  <w:vMerge w:val="restart"/>
                  <w:tcBorders>
                    <w:tl2br w:val="nil"/>
                    <w:tr2bl w:val="nil"/>
                  </w:tcBorders>
                  <w:noWrap w:val="0"/>
                  <w:vAlign w:val="center"/>
                </w:tcPr>
                <w:p w14:paraId="67473402">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lang w:val="en-US"/>
                    </w:rPr>
                  </w:pPr>
                  <w:r>
                    <w:rPr>
                      <w:rFonts w:hint="eastAsia" w:cs="Times New Roman"/>
                      <w:i w:val="0"/>
                      <w:iCs w:val="0"/>
                      <w:color w:val="auto"/>
                      <w:kern w:val="0"/>
                      <w:sz w:val="18"/>
                      <w:szCs w:val="18"/>
                      <w:u w:val="none"/>
                      <w:lang w:val="en-US" w:eastAsia="zh-CN" w:bidi="ar"/>
                    </w:rPr>
                    <w:t>119000</w:t>
                  </w:r>
                </w:p>
              </w:tc>
              <w:tc>
                <w:tcPr>
                  <w:tcW w:w="282" w:type="pct"/>
                  <w:vMerge w:val="restart"/>
                  <w:tcBorders>
                    <w:tl2br w:val="nil"/>
                    <w:tr2bl w:val="nil"/>
                  </w:tcBorders>
                  <w:noWrap w:val="0"/>
                  <w:vAlign w:val="center"/>
                </w:tcPr>
                <w:p w14:paraId="47745E11">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间歇</w:t>
                  </w:r>
                </w:p>
              </w:tc>
              <w:tc>
                <w:tcPr>
                  <w:tcW w:w="514" w:type="pct"/>
                  <w:vMerge w:val="continue"/>
                  <w:tcBorders>
                    <w:tl2br w:val="nil"/>
                    <w:tr2bl w:val="nil"/>
                  </w:tcBorders>
                  <w:noWrap w:val="0"/>
                  <w:vAlign w:val="center"/>
                </w:tcPr>
                <w:p w14:paraId="388AE0B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426" w:type="pct"/>
                  <w:tcBorders>
                    <w:tl2br w:val="nil"/>
                    <w:tr2bl w:val="nil"/>
                  </w:tcBorders>
                  <w:shd w:val="clear" w:color="auto" w:fill="auto"/>
                  <w:noWrap w:val="0"/>
                  <w:vAlign w:val="center"/>
                </w:tcPr>
                <w:p w14:paraId="07839073">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pH</w:t>
                  </w:r>
                </w:p>
              </w:tc>
              <w:tc>
                <w:tcPr>
                  <w:tcW w:w="432" w:type="pct"/>
                  <w:tcBorders>
                    <w:tl2br w:val="nil"/>
                    <w:tr2bl w:val="nil"/>
                  </w:tcBorders>
                  <w:shd w:val="clear" w:color="auto" w:fill="auto"/>
                  <w:noWrap w:val="0"/>
                  <w:vAlign w:val="center"/>
                </w:tcPr>
                <w:p w14:paraId="10355420">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bCs/>
                      <w:color w:val="auto"/>
                      <w:kern w:val="0"/>
                      <w:sz w:val="18"/>
                      <w:szCs w:val="18"/>
                      <w:lang w:val="en-US" w:eastAsia="zh-CN" w:bidi="ar-SA"/>
                    </w:rPr>
                  </w:pPr>
                  <w:r>
                    <w:rPr>
                      <w:rFonts w:hint="eastAsia" w:cs="Times New Roman"/>
                      <w:color w:val="auto"/>
                      <w:kern w:val="0"/>
                      <w:sz w:val="18"/>
                      <w:szCs w:val="18"/>
                      <w:lang w:val="en-US" w:eastAsia="zh-CN"/>
                    </w:rPr>
                    <w:t>6~9</w:t>
                  </w:r>
                </w:p>
              </w:tc>
              <w:tc>
                <w:tcPr>
                  <w:tcW w:w="928" w:type="pct"/>
                  <w:vMerge w:val="restart"/>
                  <w:tcBorders>
                    <w:tl2br w:val="nil"/>
                    <w:tr2bl w:val="nil"/>
                  </w:tcBorders>
                  <w:shd w:val="clear" w:color="auto" w:fill="auto"/>
                  <w:noWrap w:val="0"/>
                  <w:vAlign w:val="center"/>
                </w:tcPr>
                <w:p w14:paraId="46341178">
                  <w:pPr>
                    <w:keepNext w:val="0"/>
                    <w:keepLines w:val="0"/>
                    <w:pageBreakBefore w:val="0"/>
                    <w:kinsoku/>
                    <w:wordWrap/>
                    <w:overflowPunct/>
                    <w:topLinePunct w:val="0"/>
                    <w:autoSpaceDE/>
                    <w:autoSpaceDN/>
                    <w:bidi w:val="0"/>
                    <w:adjustRightInd w:val="0"/>
                    <w:snapToGrid w:val="0"/>
                    <w:spacing w:line="240" w:lineRule="auto"/>
                    <w:jc w:val="center"/>
                    <w:rPr>
                      <w:rFonts w:hint="eastAsia" w:cs="Times New Roman"/>
                      <w:color w:val="auto"/>
                      <w:kern w:val="0"/>
                      <w:sz w:val="18"/>
                      <w:szCs w:val="18"/>
                      <w:lang w:val="en-US" w:eastAsia="zh-CN"/>
                    </w:rPr>
                  </w:pPr>
                  <w:r>
                    <w:rPr>
                      <w:rFonts w:hint="eastAsia" w:cs="Times New Roman"/>
                      <w:color w:val="auto"/>
                      <w:kern w:val="0"/>
                      <w:sz w:val="18"/>
                      <w:szCs w:val="18"/>
                      <w:lang w:val="en-US" w:eastAsia="zh-CN"/>
                    </w:rPr>
                    <w:t>类比法+工程经验系数</w:t>
                  </w:r>
                </w:p>
              </w:tc>
              <w:tc>
                <w:tcPr>
                  <w:tcW w:w="490" w:type="pct"/>
                  <w:tcBorders>
                    <w:tl2br w:val="nil"/>
                    <w:tr2bl w:val="nil"/>
                  </w:tcBorders>
                  <w:shd w:val="clear" w:color="auto" w:fill="auto"/>
                  <w:noWrap w:val="0"/>
                  <w:vAlign w:val="center"/>
                </w:tcPr>
                <w:p w14:paraId="5A90E4FD">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pH</w:t>
                  </w:r>
                </w:p>
              </w:tc>
              <w:tc>
                <w:tcPr>
                  <w:tcW w:w="456" w:type="pct"/>
                  <w:tcBorders>
                    <w:tl2br w:val="nil"/>
                    <w:tr2bl w:val="nil"/>
                  </w:tcBorders>
                  <w:shd w:val="clear" w:color="auto" w:fill="auto"/>
                  <w:noWrap w:val="0"/>
                  <w:vAlign w:val="center"/>
                </w:tcPr>
                <w:p w14:paraId="56B78A95">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rPr>
                    <w:t>6~9</w:t>
                  </w:r>
                </w:p>
              </w:tc>
            </w:tr>
            <w:tr w14:paraId="253954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 w:type="pct"/>
                  <w:vMerge w:val="continue"/>
                  <w:tcBorders>
                    <w:tl2br w:val="nil"/>
                    <w:tr2bl w:val="nil"/>
                  </w:tcBorders>
                  <w:noWrap w:val="0"/>
                  <w:vAlign w:val="center"/>
                </w:tcPr>
                <w:p w14:paraId="721371B1">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61" w:type="pct"/>
                  <w:vMerge w:val="continue"/>
                  <w:tcBorders>
                    <w:tl2br w:val="nil"/>
                    <w:tr2bl w:val="nil"/>
                  </w:tcBorders>
                  <w:shd w:val="clear" w:color="auto" w:fill="auto"/>
                  <w:noWrap w:val="0"/>
                  <w:vAlign w:val="center"/>
                </w:tcPr>
                <w:p w14:paraId="665A99E9">
                  <w:pPr>
                    <w:keepNext w:val="0"/>
                    <w:keepLines w:val="0"/>
                    <w:pageBreakBefore w:val="0"/>
                    <w:widowControl/>
                    <w:suppressLineNumbers w:val="0"/>
                    <w:kinsoku/>
                    <w:wordWrap/>
                    <w:overflowPunct/>
                    <w:topLinePunct w:val="0"/>
                    <w:autoSpaceDE/>
                    <w:autoSpaceDN/>
                    <w:bidi w:val="0"/>
                    <w:spacing w:line="240" w:lineRule="auto"/>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c>
                <w:tcPr>
                  <w:tcW w:w="637" w:type="pct"/>
                  <w:vMerge w:val="continue"/>
                  <w:tcBorders>
                    <w:tl2br w:val="nil"/>
                    <w:tr2bl w:val="nil"/>
                  </w:tcBorders>
                  <w:noWrap w:val="0"/>
                  <w:vAlign w:val="center"/>
                </w:tcPr>
                <w:p w14:paraId="5B5130D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282" w:type="pct"/>
                  <w:vMerge w:val="continue"/>
                  <w:tcBorders>
                    <w:tl2br w:val="nil"/>
                    <w:tr2bl w:val="nil"/>
                  </w:tcBorders>
                  <w:noWrap w:val="0"/>
                  <w:vAlign w:val="center"/>
                </w:tcPr>
                <w:p w14:paraId="6049E3FC">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14" w:type="pct"/>
                  <w:vMerge w:val="continue"/>
                  <w:tcBorders>
                    <w:tl2br w:val="nil"/>
                    <w:tr2bl w:val="nil"/>
                  </w:tcBorders>
                  <w:noWrap w:val="0"/>
                  <w:vAlign w:val="center"/>
                </w:tcPr>
                <w:p w14:paraId="10B9289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426" w:type="pct"/>
                  <w:tcBorders>
                    <w:tl2br w:val="nil"/>
                    <w:tr2bl w:val="nil"/>
                  </w:tcBorders>
                  <w:shd w:val="clear" w:color="auto" w:fill="auto"/>
                  <w:noWrap w:val="0"/>
                  <w:vAlign w:val="center"/>
                </w:tcPr>
                <w:p w14:paraId="38CB1F2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COD</w:t>
                  </w:r>
                </w:p>
              </w:tc>
              <w:tc>
                <w:tcPr>
                  <w:tcW w:w="432" w:type="pct"/>
                  <w:tcBorders>
                    <w:tl2br w:val="nil"/>
                    <w:tr2bl w:val="nil"/>
                  </w:tcBorders>
                  <w:shd w:val="clear" w:color="auto" w:fill="auto"/>
                  <w:noWrap w:val="0"/>
                  <w:vAlign w:val="center"/>
                </w:tcPr>
                <w:p w14:paraId="052139B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50</w:t>
                  </w:r>
                </w:p>
              </w:tc>
              <w:tc>
                <w:tcPr>
                  <w:tcW w:w="928" w:type="pct"/>
                  <w:vMerge w:val="continue"/>
                  <w:tcBorders>
                    <w:tl2br w:val="nil"/>
                    <w:tr2bl w:val="nil"/>
                  </w:tcBorders>
                  <w:shd w:val="clear" w:color="auto" w:fill="auto"/>
                  <w:noWrap w:val="0"/>
                  <w:vAlign w:val="center"/>
                </w:tcPr>
                <w:p w14:paraId="5A63E708">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490" w:type="pct"/>
                  <w:tcBorders>
                    <w:tl2br w:val="nil"/>
                    <w:tr2bl w:val="nil"/>
                  </w:tcBorders>
                  <w:shd w:val="clear" w:color="auto" w:fill="auto"/>
                  <w:noWrap w:val="0"/>
                  <w:vAlign w:val="center"/>
                </w:tcPr>
                <w:p w14:paraId="463DD793">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COD</w:t>
                  </w:r>
                </w:p>
              </w:tc>
              <w:tc>
                <w:tcPr>
                  <w:tcW w:w="456" w:type="pct"/>
                  <w:tcBorders>
                    <w:tl2br w:val="nil"/>
                    <w:tr2bl w:val="nil"/>
                  </w:tcBorders>
                  <w:shd w:val="clear" w:color="auto" w:fill="auto"/>
                  <w:noWrap w:val="0"/>
                  <w:vAlign w:val="center"/>
                </w:tcPr>
                <w:p w14:paraId="2564AAB1">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50</w:t>
                  </w:r>
                </w:p>
              </w:tc>
            </w:tr>
            <w:tr w14:paraId="3FFE61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85" w:hRule="atLeast"/>
              </w:trPr>
              <w:tc>
                <w:tcPr>
                  <w:tcW w:w="269" w:type="pct"/>
                  <w:vMerge w:val="continue"/>
                  <w:tcBorders>
                    <w:tl2br w:val="nil"/>
                    <w:tr2bl w:val="nil"/>
                  </w:tcBorders>
                  <w:noWrap w:val="0"/>
                  <w:vAlign w:val="center"/>
                </w:tcPr>
                <w:p w14:paraId="544FECCE">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61" w:type="pct"/>
                  <w:vMerge w:val="continue"/>
                  <w:tcBorders>
                    <w:tl2br w:val="nil"/>
                    <w:tr2bl w:val="nil"/>
                  </w:tcBorders>
                  <w:shd w:val="clear" w:color="auto" w:fill="auto"/>
                  <w:noWrap w:val="0"/>
                  <w:vAlign w:val="center"/>
                </w:tcPr>
                <w:p w14:paraId="2E0C40B7">
                  <w:pPr>
                    <w:keepNext w:val="0"/>
                    <w:keepLines w:val="0"/>
                    <w:pageBreakBefore w:val="0"/>
                    <w:widowControl/>
                    <w:suppressLineNumbers w:val="0"/>
                    <w:kinsoku/>
                    <w:wordWrap/>
                    <w:overflowPunct/>
                    <w:topLinePunct w:val="0"/>
                    <w:autoSpaceDE/>
                    <w:autoSpaceDN/>
                    <w:bidi w:val="0"/>
                    <w:spacing w:line="240" w:lineRule="auto"/>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c>
                <w:tcPr>
                  <w:tcW w:w="637" w:type="pct"/>
                  <w:vMerge w:val="continue"/>
                  <w:tcBorders>
                    <w:tl2br w:val="nil"/>
                    <w:tr2bl w:val="nil"/>
                  </w:tcBorders>
                  <w:noWrap w:val="0"/>
                  <w:vAlign w:val="center"/>
                </w:tcPr>
                <w:p w14:paraId="357FB5F2">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282" w:type="pct"/>
                  <w:vMerge w:val="continue"/>
                  <w:tcBorders>
                    <w:tl2br w:val="nil"/>
                    <w:tr2bl w:val="nil"/>
                  </w:tcBorders>
                  <w:noWrap w:val="0"/>
                  <w:vAlign w:val="center"/>
                </w:tcPr>
                <w:p w14:paraId="309D80A1">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14" w:type="pct"/>
                  <w:vMerge w:val="continue"/>
                  <w:tcBorders>
                    <w:tl2br w:val="nil"/>
                    <w:tr2bl w:val="nil"/>
                  </w:tcBorders>
                  <w:noWrap w:val="0"/>
                  <w:vAlign w:val="center"/>
                </w:tcPr>
                <w:p w14:paraId="5C9314A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426" w:type="pct"/>
                  <w:tcBorders>
                    <w:tl2br w:val="nil"/>
                    <w:tr2bl w:val="nil"/>
                  </w:tcBorders>
                  <w:shd w:val="clear" w:color="auto" w:fill="auto"/>
                  <w:noWrap w:val="0"/>
                  <w:vAlign w:val="center"/>
                </w:tcPr>
                <w:p w14:paraId="2169474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SS</w:t>
                  </w:r>
                </w:p>
              </w:tc>
              <w:tc>
                <w:tcPr>
                  <w:tcW w:w="432" w:type="pct"/>
                  <w:tcBorders>
                    <w:tl2br w:val="nil"/>
                    <w:tr2bl w:val="nil"/>
                  </w:tcBorders>
                  <w:shd w:val="clear" w:color="auto" w:fill="auto"/>
                  <w:noWrap w:val="0"/>
                  <w:vAlign w:val="center"/>
                </w:tcPr>
                <w:p w14:paraId="05754A4C">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200</w:t>
                  </w:r>
                </w:p>
              </w:tc>
              <w:tc>
                <w:tcPr>
                  <w:tcW w:w="928" w:type="pct"/>
                  <w:vMerge w:val="continue"/>
                  <w:tcBorders>
                    <w:tl2br w:val="nil"/>
                    <w:tr2bl w:val="nil"/>
                  </w:tcBorders>
                  <w:shd w:val="clear" w:color="auto" w:fill="auto"/>
                  <w:noWrap w:val="0"/>
                  <w:vAlign w:val="center"/>
                </w:tcPr>
                <w:p w14:paraId="7FA9AFA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490" w:type="pct"/>
                  <w:tcBorders>
                    <w:tl2br w:val="nil"/>
                    <w:tr2bl w:val="nil"/>
                  </w:tcBorders>
                  <w:shd w:val="clear" w:color="auto" w:fill="auto"/>
                  <w:noWrap w:val="0"/>
                  <w:vAlign w:val="center"/>
                </w:tcPr>
                <w:p w14:paraId="08DC22C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SS</w:t>
                  </w:r>
                </w:p>
              </w:tc>
              <w:tc>
                <w:tcPr>
                  <w:tcW w:w="456" w:type="pct"/>
                  <w:tcBorders>
                    <w:tl2br w:val="nil"/>
                    <w:tr2bl w:val="nil"/>
                  </w:tcBorders>
                  <w:shd w:val="clear" w:color="auto" w:fill="auto"/>
                  <w:noWrap w:val="0"/>
                  <w:vAlign w:val="center"/>
                </w:tcPr>
                <w:p w14:paraId="32265D6C">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200</w:t>
                  </w:r>
                </w:p>
              </w:tc>
            </w:tr>
            <w:tr w14:paraId="6E166F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 w:type="pct"/>
                  <w:tcBorders>
                    <w:tl2br w:val="nil"/>
                    <w:tr2bl w:val="nil"/>
                  </w:tcBorders>
                  <w:noWrap w:val="0"/>
                  <w:vAlign w:val="center"/>
                </w:tcPr>
                <w:p w14:paraId="375EA4B8">
                  <w:pPr>
                    <w:keepNext w:val="0"/>
                    <w:keepLines w:val="0"/>
                    <w:pageBreakBefore w:val="0"/>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5</w:t>
                  </w:r>
                </w:p>
              </w:tc>
              <w:tc>
                <w:tcPr>
                  <w:tcW w:w="561" w:type="pct"/>
                  <w:tcBorders>
                    <w:tl2br w:val="nil"/>
                    <w:tr2bl w:val="nil"/>
                  </w:tcBorders>
                  <w:shd w:val="clear" w:color="auto" w:fill="auto"/>
                  <w:noWrap w:val="0"/>
                  <w:vAlign w:val="center"/>
                </w:tcPr>
                <w:p w14:paraId="0168B5E5">
                  <w:pPr>
                    <w:keepNext w:val="0"/>
                    <w:keepLines w:val="0"/>
                    <w:pageBreakBefore w:val="0"/>
                    <w:widowControl/>
                    <w:suppressLineNumbers w:val="0"/>
                    <w:kinsoku/>
                    <w:wordWrap/>
                    <w:overflowPunct/>
                    <w:topLinePunct w:val="0"/>
                    <w:autoSpaceDE/>
                    <w:autoSpaceDN/>
                    <w:bidi w:val="0"/>
                    <w:spacing w:line="240" w:lineRule="auto"/>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带钢喷淋冷却</w:t>
                  </w:r>
                  <w:r>
                    <w:rPr>
                      <w:rFonts w:hint="default" w:ascii="Times New Roman" w:hAnsi="Times New Roman" w:cs="Times New Roman"/>
                      <w:i w:val="0"/>
                      <w:iCs w:val="0"/>
                      <w:color w:val="auto"/>
                      <w:kern w:val="0"/>
                      <w:sz w:val="18"/>
                      <w:szCs w:val="18"/>
                      <w:u w:val="none"/>
                      <w:lang w:val="en-US" w:eastAsia="zh-CN" w:bidi="ar"/>
                    </w:rPr>
                    <w:t>废水</w:t>
                  </w:r>
                </w:p>
              </w:tc>
              <w:tc>
                <w:tcPr>
                  <w:tcW w:w="637" w:type="pct"/>
                  <w:tcBorders>
                    <w:tl2br w:val="nil"/>
                    <w:tr2bl w:val="nil"/>
                  </w:tcBorders>
                  <w:noWrap w:val="0"/>
                  <w:vAlign w:val="center"/>
                </w:tcPr>
                <w:p w14:paraId="4D39EF9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14000</w:t>
                  </w:r>
                </w:p>
              </w:tc>
              <w:tc>
                <w:tcPr>
                  <w:tcW w:w="282" w:type="pct"/>
                  <w:tcBorders>
                    <w:tl2br w:val="nil"/>
                    <w:tr2bl w:val="nil"/>
                  </w:tcBorders>
                  <w:noWrap w:val="0"/>
                  <w:vAlign w:val="center"/>
                </w:tcPr>
                <w:p w14:paraId="51BBFFCD">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连续</w:t>
                  </w:r>
                </w:p>
              </w:tc>
              <w:tc>
                <w:tcPr>
                  <w:tcW w:w="514" w:type="pct"/>
                  <w:tcBorders>
                    <w:tl2br w:val="nil"/>
                    <w:tr2bl w:val="nil"/>
                  </w:tcBorders>
                  <w:noWrap w:val="0"/>
                  <w:vAlign w:val="center"/>
                </w:tcPr>
                <w:p w14:paraId="3D7DF5E5">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回用</w:t>
                  </w:r>
                </w:p>
              </w:tc>
              <w:tc>
                <w:tcPr>
                  <w:tcW w:w="426" w:type="pct"/>
                  <w:tcBorders>
                    <w:tl2br w:val="nil"/>
                    <w:tr2bl w:val="nil"/>
                  </w:tcBorders>
                  <w:noWrap w:val="0"/>
                  <w:vAlign w:val="center"/>
                </w:tcPr>
                <w:p w14:paraId="3F952FCA">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eastAsia" w:cs="Times New Roman"/>
                      <w:color w:val="auto"/>
                      <w:kern w:val="0"/>
                      <w:sz w:val="18"/>
                      <w:szCs w:val="18"/>
                      <w:lang w:val="en-US" w:eastAsia="zh-CN"/>
                    </w:rPr>
                    <w:t>SS</w:t>
                  </w:r>
                </w:p>
              </w:tc>
              <w:tc>
                <w:tcPr>
                  <w:tcW w:w="432" w:type="pct"/>
                  <w:tcBorders>
                    <w:tl2br w:val="nil"/>
                    <w:tr2bl w:val="nil"/>
                  </w:tcBorders>
                  <w:noWrap w:val="0"/>
                  <w:vAlign w:val="center"/>
                </w:tcPr>
                <w:p w14:paraId="27012369">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eastAsia" w:cs="Times New Roman"/>
                      <w:color w:val="auto"/>
                      <w:kern w:val="0"/>
                      <w:sz w:val="18"/>
                      <w:szCs w:val="18"/>
                      <w:lang w:val="en-US" w:eastAsia="zh-CN"/>
                    </w:rPr>
                    <w:t>1000</w:t>
                  </w:r>
                </w:p>
              </w:tc>
              <w:tc>
                <w:tcPr>
                  <w:tcW w:w="928" w:type="pct"/>
                  <w:tcBorders>
                    <w:tl2br w:val="nil"/>
                    <w:tr2bl w:val="nil"/>
                  </w:tcBorders>
                  <w:shd w:val="clear" w:color="auto" w:fill="auto"/>
                  <w:noWrap w:val="0"/>
                  <w:vAlign w:val="center"/>
                </w:tcPr>
                <w:p w14:paraId="7DC0506C">
                  <w:pPr>
                    <w:keepNext w:val="0"/>
                    <w:keepLines w:val="0"/>
                    <w:pageBreakBefore w:val="0"/>
                    <w:kinsoku/>
                    <w:wordWrap/>
                    <w:overflowPunct/>
                    <w:topLinePunct w:val="0"/>
                    <w:autoSpaceDE/>
                    <w:autoSpaceDN/>
                    <w:bidi w:val="0"/>
                    <w:adjustRightInd w:val="0"/>
                    <w:snapToGrid w:val="0"/>
                    <w:spacing w:line="240" w:lineRule="auto"/>
                    <w:jc w:val="center"/>
                    <w:rPr>
                      <w:rFonts w:hint="eastAsia" w:cs="Times New Roman"/>
                      <w:color w:val="auto"/>
                      <w:kern w:val="0"/>
                      <w:sz w:val="18"/>
                      <w:szCs w:val="18"/>
                      <w:lang w:val="en-US" w:eastAsia="zh-CN"/>
                    </w:rPr>
                  </w:pPr>
                  <w:r>
                    <w:rPr>
                      <w:rFonts w:hint="eastAsia" w:cs="Times New Roman"/>
                      <w:color w:val="auto"/>
                      <w:kern w:val="0"/>
                      <w:sz w:val="18"/>
                      <w:szCs w:val="18"/>
                      <w:lang w:val="en-US" w:eastAsia="zh-CN"/>
                    </w:rPr>
                    <w:t>类比法+工程经验系数</w:t>
                  </w:r>
                </w:p>
              </w:tc>
              <w:tc>
                <w:tcPr>
                  <w:tcW w:w="490" w:type="pct"/>
                  <w:tcBorders>
                    <w:tl2br w:val="nil"/>
                    <w:tr2bl w:val="nil"/>
                  </w:tcBorders>
                  <w:shd w:val="clear" w:color="auto" w:fill="auto"/>
                  <w:noWrap w:val="0"/>
                  <w:vAlign w:val="center"/>
                </w:tcPr>
                <w:p w14:paraId="2603EB61">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bidi="ar-SA"/>
                    </w:rPr>
                    <w:t>SS</w:t>
                  </w:r>
                </w:p>
              </w:tc>
              <w:tc>
                <w:tcPr>
                  <w:tcW w:w="456" w:type="pct"/>
                  <w:tcBorders>
                    <w:tl2br w:val="nil"/>
                    <w:tr2bl w:val="nil"/>
                  </w:tcBorders>
                  <w:shd w:val="clear" w:color="auto" w:fill="auto"/>
                  <w:noWrap w:val="0"/>
                  <w:vAlign w:val="center"/>
                </w:tcPr>
                <w:p w14:paraId="4722B5B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rPr>
                    <w:t>200</w:t>
                  </w:r>
                </w:p>
              </w:tc>
            </w:tr>
            <w:tr w14:paraId="42C5D9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 w:type="pct"/>
                  <w:tcBorders>
                    <w:tl2br w:val="nil"/>
                    <w:tr2bl w:val="nil"/>
                  </w:tcBorders>
                  <w:noWrap w:val="0"/>
                  <w:vAlign w:val="center"/>
                </w:tcPr>
                <w:p w14:paraId="272AA95E">
                  <w:pPr>
                    <w:keepNext w:val="0"/>
                    <w:keepLines w:val="0"/>
                    <w:pageBreakBefore w:val="0"/>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6</w:t>
                  </w:r>
                </w:p>
              </w:tc>
              <w:tc>
                <w:tcPr>
                  <w:tcW w:w="561" w:type="pct"/>
                  <w:tcBorders>
                    <w:tl2br w:val="nil"/>
                    <w:tr2bl w:val="nil"/>
                  </w:tcBorders>
                  <w:noWrap w:val="0"/>
                  <w:vAlign w:val="center"/>
                </w:tcPr>
                <w:p w14:paraId="481B11E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lang w:val="en-US"/>
                    </w:rPr>
                  </w:pPr>
                  <w:r>
                    <w:rPr>
                      <w:rFonts w:hint="default" w:ascii="Times New Roman" w:hAnsi="Times New Roman" w:eastAsia="宋体" w:cs="Times New Roman"/>
                      <w:i w:val="0"/>
                      <w:iCs w:val="0"/>
                      <w:color w:val="auto"/>
                      <w:kern w:val="0"/>
                      <w:sz w:val="18"/>
                      <w:szCs w:val="18"/>
                      <w:u w:val="none"/>
                      <w:lang w:val="en-US" w:eastAsia="zh-CN" w:bidi="ar"/>
                    </w:rPr>
                    <w:t>MgO收集槽清洗</w:t>
                  </w:r>
                  <w:r>
                    <w:rPr>
                      <w:rFonts w:hint="default" w:ascii="Times New Roman" w:hAnsi="Times New Roman" w:cs="Times New Roman"/>
                      <w:i w:val="0"/>
                      <w:iCs w:val="0"/>
                      <w:color w:val="auto"/>
                      <w:kern w:val="0"/>
                      <w:sz w:val="18"/>
                      <w:szCs w:val="18"/>
                      <w:u w:val="none"/>
                      <w:lang w:val="en-US" w:eastAsia="zh-CN" w:bidi="ar"/>
                    </w:rPr>
                    <w:t>废水</w:t>
                  </w:r>
                </w:p>
              </w:tc>
              <w:tc>
                <w:tcPr>
                  <w:tcW w:w="637" w:type="pct"/>
                  <w:tcBorders>
                    <w:tl2br w:val="nil"/>
                    <w:tr2bl w:val="nil"/>
                  </w:tcBorders>
                  <w:noWrap w:val="0"/>
                  <w:vAlign w:val="center"/>
                </w:tcPr>
                <w:p w14:paraId="34CECD21">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eastAsia" w:cs="Times New Roman"/>
                      <w:color w:val="auto"/>
                      <w:kern w:val="0"/>
                      <w:sz w:val="18"/>
                      <w:szCs w:val="18"/>
                      <w:lang w:val="en-US" w:eastAsia="zh-CN"/>
                    </w:rPr>
                    <w:t>5545.5</w:t>
                  </w:r>
                </w:p>
              </w:tc>
              <w:tc>
                <w:tcPr>
                  <w:tcW w:w="282" w:type="pct"/>
                  <w:tcBorders>
                    <w:tl2br w:val="nil"/>
                    <w:tr2bl w:val="nil"/>
                  </w:tcBorders>
                  <w:noWrap w:val="0"/>
                  <w:vAlign w:val="center"/>
                </w:tcPr>
                <w:p w14:paraId="2E55D306">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间歇</w:t>
                  </w:r>
                </w:p>
              </w:tc>
              <w:tc>
                <w:tcPr>
                  <w:tcW w:w="514" w:type="pct"/>
                  <w:tcBorders>
                    <w:tl2br w:val="nil"/>
                    <w:tr2bl w:val="nil"/>
                  </w:tcBorders>
                  <w:noWrap w:val="0"/>
                  <w:vAlign w:val="center"/>
                </w:tcPr>
                <w:p w14:paraId="294770E9">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回用</w:t>
                  </w:r>
                </w:p>
              </w:tc>
              <w:tc>
                <w:tcPr>
                  <w:tcW w:w="426" w:type="pct"/>
                  <w:tcBorders>
                    <w:tl2br w:val="nil"/>
                    <w:tr2bl w:val="nil"/>
                  </w:tcBorders>
                  <w:noWrap w:val="0"/>
                  <w:vAlign w:val="center"/>
                </w:tcPr>
                <w:p w14:paraId="190FE0CE">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eastAsia" w:cs="Times New Roman"/>
                      <w:color w:val="auto"/>
                      <w:kern w:val="0"/>
                      <w:sz w:val="18"/>
                      <w:szCs w:val="18"/>
                      <w:lang w:val="en-US" w:eastAsia="zh-CN"/>
                    </w:rPr>
                    <w:t>SS</w:t>
                  </w:r>
                </w:p>
              </w:tc>
              <w:tc>
                <w:tcPr>
                  <w:tcW w:w="432" w:type="pct"/>
                  <w:tcBorders>
                    <w:tl2br w:val="nil"/>
                    <w:tr2bl w:val="nil"/>
                  </w:tcBorders>
                  <w:noWrap w:val="0"/>
                  <w:vAlign w:val="center"/>
                </w:tcPr>
                <w:p w14:paraId="4CA51888">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eastAsia" w:cs="Times New Roman"/>
                      <w:color w:val="auto"/>
                      <w:kern w:val="0"/>
                      <w:sz w:val="18"/>
                      <w:szCs w:val="18"/>
                      <w:lang w:val="en-US" w:eastAsia="zh-CN"/>
                    </w:rPr>
                    <w:t>1000</w:t>
                  </w:r>
                </w:p>
              </w:tc>
              <w:tc>
                <w:tcPr>
                  <w:tcW w:w="928" w:type="pct"/>
                  <w:tcBorders>
                    <w:tl2br w:val="nil"/>
                    <w:tr2bl w:val="nil"/>
                  </w:tcBorders>
                  <w:shd w:val="clear" w:color="auto" w:fill="auto"/>
                  <w:noWrap w:val="0"/>
                  <w:vAlign w:val="center"/>
                </w:tcPr>
                <w:p w14:paraId="10E21628">
                  <w:pPr>
                    <w:keepNext w:val="0"/>
                    <w:keepLines w:val="0"/>
                    <w:pageBreakBefore w:val="0"/>
                    <w:kinsoku/>
                    <w:wordWrap/>
                    <w:overflowPunct/>
                    <w:topLinePunct w:val="0"/>
                    <w:autoSpaceDE/>
                    <w:autoSpaceDN/>
                    <w:bidi w:val="0"/>
                    <w:adjustRightInd w:val="0"/>
                    <w:snapToGrid w:val="0"/>
                    <w:spacing w:line="240" w:lineRule="auto"/>
                    <w:jc w:val="center"/>
                    <w:rPr>
                      <w:rFonts w:hint="eastAsia" w:cs="Times New Roman"/>
                      <w:color w:val="auto"/>
                      <w:kern w:val="0"/>
                      <w:sz w:val="18"/>
                      <w:szCs w:val="18"/>
                      <w:lang w:val="en-US" w:eastAsia="zh-CN"/>
                    </w:rPr>
                  </w:pPr>
                  <w:r>
                    <w:rPr>
                      <w:rFonts w:hint="eastAsia" w:cs="Times New Roman"/>
                      <w:color w:val="auto"/>
                      <w:kern w:val="0"/>
                      <w:sz w:val="18"/>
                      <w:szCs w:val="18"/>
                      <w:lang w:val="en-US" w:eastAsia="zh-CN"/>
                    </w:rPr>
                    <w:t>类比法+工程经验系数</w:t>
                  </w:r>
                </w:p>
              </w:tc>
              <w:tc>
                <w:tcPr>
                  <w:tcW w:w="490" w:type="pct"/>
                  <w:tcBorders>
                    <w:tl2br w:val="nil"/>
                    <w:tr2bl w:val="nil"/>
                  </w:tcBorders>
                  <w:shd w:val="clear" w:color="auto" w:fill="auto"/>
                  <w:noWrap w:val="0"/>
                  <w:vAlign w:val="center"/>
                </w:tcPr>
                <w:p w14:paraId="01FC86E0">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rPr>
                    <w:t>SS</w:t>
                  </w:r>
                </w:p>
              </w:tc>
              <w:tc>
                <w:tcPr>
                  <w:tcW w:w="456" w:type="pct"/>
                  <w:tcBorders>
                    <w:tl2br w:val="nil"/>
                    <w:tr2bl w:val="nil"/>
                  </w:tcBorders>
                  <w:shd w:val="clear" w:color="auto" w:fill="auto"/>
                  <w:noWrap w:val="0"/>
                  <w:vAlign w:val="center"/>
                </w:tcPr>
                <w:p w14:paraId="3F077CE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rPr>
                    <w:t>200</w:t>
                  </w:r>
                </w:p>
              </w:tc>
            </w:tr>
            <w:tr w14:paraId="04B492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 w:type="pct"/>
                  <w:vMerge w:val="restart"/>
                  <w:tcBorders>
                    <w:tl2br w:val="nil"/>
                    <w:tr2bl w:val="nil"/>
                  </w:tcBorders>
                  <w:noWrap w:val="0"/>
                  <w:vAlign w:val="center"/>
                </w:tcPr>
                <w:p w14:paraId="6385EC16">
                  <w:pPr>
                    <w:keepNext w:val="0"/>
                    <w:keepLines w:val="0"/>
                    <w:pageBreakBefore w:val="0"/>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7</w:t>
                  </w:r>
                </w:p>
              </w:tc>
              <w:tc>
                <w:tcPr>
                  <w:tcW w:w="561" w:type="pct"/>
                  <w:vMerge w:val="restart"/>
                  <w:tcBorders>
                    <w:tl2br w:val="nil"/>
                    <w:tr2bl w:val="nil"/>
                  </w:tcBorders>
                  <w:noWrap w:val="0"/>
                  <w:vAlign w:val="center"/>
                </w:tcPr>
                <w:p w14:paraId="51F7036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盐酸酸洗后水洗废水+酸喷淋塔排水+硫酸酸洗及水洗废水</w:t>
                  </w:r>
                </w:p>
              </w:tc>
              <w:tc>
                <w:tcPr>
                  <w:tcW w:w="637" w:type="pct"/>
                  <w:vMerge w:val="restart"/>
                  <w:tcBorders>
                    <w:tl2br w:val="nil"/>
                    <w:tr2bl w:val="nil"/>
                  </w:tcBorders>
                  <w:shd w:val="clear" w:color="auto" w:fill="auto"/>
                  <w:noWrap w:val="0"/>
                  <w:vAlign w:val="center"/>
                </w:tcPr>
                <w:p w14:paraId="4424684D">
                  <w:pPr>
                    <w:keepNext w:val="0"/>
                    <w:keepLines w:val="0"/>
                    <w:pageBreakBefore w:val="0"/>
                    <w:widowControl/>
                    <w:suppressLineNumbers w:val="0"/>
                    <w:kinsoku/>
                    <w:wordWrap/>
                    <w:overflowPunct/>
                    <w:topLinePunct w:val="0"/>
                    <w:autoSpaceDE/>
                    <w:autoSpaceDN/>
                    <w:bidi w:val="0"/>
                    <w:spacing w:line="240" w:lineRule="auto"/>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r>
                    <w:rPr>
                      <w:rFonts w:hint="eastAsia" w:cs="Times New Roman"/>
                      <w:i w:val="0"/>
                      <w:iCs w:val="0"/>
                      <w:color w:val="auto"/>
                      <w:kern w:val="0"/>
                      <w:sz w:val="18"/>
                      <w:szCs w:val="18"/>
                      <w:u w:val="none"/>
                      <w:lang w:val="en-US" w:eastAsia="zh-CN" w:bidi="ar"/>
                    </w:rPr>
                    <w:t>64541.44</w:t>
                  </w:r>
                </w:p>
              </w:tc>
              <w:tc>
                <w:tcPr>
                  <w:tcW w:w="282" w:type="pct"/>
                  <w:vMerge w:val="restart"/>
                  <w:tcBorders>
                    <w:tl2br w:val="nil"/>
                    <w:tr2bl w:val="nil"/>
                  </w:tcBorders>
                  <w:noWrap w:val="0"/>
                  <w:vAlign w:val="center"/>
                </w:tcPr>
                <w:p w14:paraId="1178B465">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lang w:val="en-US" w:eastAsia="zh-CN"/>
                    </w:rPr>
                    <w:t>间歇</w:t>
                  </w:r>
                </w:p>
              </w:tc>
              <w:tc>
                <w:tcPr>
                  <w:tcW w:w="514" w:type="pct"/>
                  <w:vMerge w:val="restart"/>
                  <w:tcBorders>
                    <w:tl2br w:val="nil"/>
                    <w:tr2bl w:val="nil"/>
                  </w:tcBorders>
                  <w:noWrap w:val="0"/>
                  <w:vAlign w:val="center"/>
                </w:tcPr>
                <w:p w14:paraId="1D2CA34E">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酸性废水处理站</w:t>
                  </w:r>
                </w:p>
              </w:tc>
              <w:tc>
                <w:tcPr>
                  <w:tcW w:w="426" w:type="pct"/>
                  <w:tcBorders>
                    <w:tl2br w:val="nil"/>
                    <w:tr2bl w:val="nil"/>
                  </w:tcBorders>
                  <w:noWrap w:val="0"/>
                  <w:vAlign w:val="center"/>
                </w:tcPr>
                <w:p w14:paraId="6C1A38C5">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COD</w:t>
                  </w:r>
                </w:p>
              </w:tc>
              <w:tc>
                <w:tcPr>
                  <w:tcW w:w="432" w:type="pct"/>
                  <w:tcBorders>
                    <w:tl2br w:val="nil"/>
                    <w:tr2bl w:val="nil"/>
                  </w:tcBorders>
                  <w:noWrap w:val="0"/>
                  <w:vAlign w:val="center"/>
                </w:tcPr>
                <w:p w14:paraId="4B62EBA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eastAsia" w:cs="Times New Roman"/>
                      <w:color w:val="auto"/>
                      <w:kern w:val="0"/>
                      <w:sz w:val="18"/>
                      <w:szCs w:val="18"/>
                      <w:lang w:val="en-US" w:eastAsia="zh-CN"/>
                    </w:rPr>
                    <w:t>5</w:t>
                  </w:r>
                  <w:r>
                    <w:rPr>
                      <w:rFonts w:hint="default" w:ascii="Times New Roman" w:hAnsi="Times New Roman" w:cs="Times New Roman"/>
                      <w:color w:val="auto"/>
                      <w:kern w:val="0"/>
                      <w:sz w:val="18"/>
                      <w:szCs w:val="18"/>
                      <w:lang w:val="en-US" w:eastAsia="zh-CN"/>
                    </w:rPr>
                    <w:t>00</w:t>
                  </w:r>
                </w:p>
              </w:tc>
              <w:tc>
                <w:tcPr>
                  <w:tcW w:w="928" w:type="pct"/>
                  <w:vMerge w:val="restart"/>
                  <w:tcBorders>
                    <w:tl2br w:val="nil"/>
                    <w:tr2bl w:val="nil"/>
                  </w:tcBorders>
                  <w:shd w:val="clear" w:color="auto" w:fill="auto"/>
                  <w:noWrap w:val="0"/>
                  <w:vAlign w:val="center"/>
                </w:tcPr>
                <w:p w14:paraId="69048553">
                  <w:pPr>
                    <w:keepNext w:val="0"/>
                    <w:keepLines w:val="0"/>
                    <w:pageBreakBefore w:val="0"/>
                    <w:kinsoku/>
                    <w:wordWrap/>
                    <w:overflowPunct/>
                    <w:topLinePunct w:val="0"/>
                    <w:autoSpaceDE/>
                    <w:autoSpaceDN/>
                    <w:bidi w:val="0"/>
                    <w:adjustRightInd w:val="0"/>
                    <w:snapToGrid w:val="0"/>
                    <w:spacing w:line="240" w:lineRule="auto"/>
                    <w:jc w:val="center"/>
                    <w:rPr>
                      <w:rFonts w:hint="default" w:cs="Times New Roman"/>
                      <w:color w:val="auto"/>
                      <w:kern w:val="0"/>
                      <w:sz w:val="18"/>
                      <w:szCs w:val="18"/>
                      <w:lang w:val="en-US" w:eastAsia="zh-CN"/>
                    </w:rPr>
                  </w:pPr>
                  <w:r>
                    <w:rPr>
                      <w:rFonts w:hint="eastAsia" w:cs="Times New Roman"/>
                      <w:color w:val="auto"/>
                      <w:kern w:val="0"/>
                      <w:sz w:val="18"/>
                      <w:szCs w:val="18"/>
                      <w:lang w:val="en-US" w:eastAsia="zh-CN"/>
                    </w:rPr>
                    <w:t>物料衡算+设计资料</w:t>
                  </w:r>
                </w:p>
              </w:tc>
              <w:tc>
                <w:tcPr>
                  <w:tcW w:w="490" w:type="pct"/>
                  <w:tcBorders>
                    <w:tl2br w:val="nil"/>
                    <w:tr2bl w:val="nil"/>
                  </w:tcBorders>
                  <w:shd w:val="clear" w:color="auto" w:fill="auto"/>
                  <w:noWrap w:val="0"/>
                  <w:vAlign w:val="center"/>
                </w:tcPr>
                <w:p w14:paraId="735B6E82">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COD</w:t>
                  </w:r>
                </w:p>
              </w:tc>
              <w:tc>
                <w:tcPr>
                  <w:tcW w:w="456" w:type="pct"/>
                  <w:tcBorders>
                    <w:tl2br w:val="nil"/>
                    <w:tr2bl w:val="nil"/>
                  </w:tcBorders>
                  <w:shd w:val="clear" w:color="auto" w:fill="auto"/>
                  <w:noWrap w:val="0"/>
                  <w:vAlign w:val="center"/>
                </w:tcPr>
                <w:p w14:paraId="7C4CE033">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rPr>
                    <w:t>70</w:t>
                  </w:r>
                </w:p>
              </w:tc>
            </w:tr>
            <w:tr w14:paraId="3EFCBE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 w:type="pct"/>
                  <w:vMerge w:val="continue"/>
                  <w:tcBorders>
                    <w:tl2br w:val="nil"/>
                    <w:tr2bl w:val="nil"/>
                  </w:tcBorders>
                  <w:noWrap w:val="0"/>
                  <w:vAlign w:val="center"/>
                </w:tcPr>
                <w:p w14:paraId="5C20CF51">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61" w:type="pct"/>
                  <w:vMerge w:val="continue"/>
                  <w:tcBorders>
                    <w:tl2br w:val="nil"/>
                    <w:tr2bl w:val="nil"/>
                  </w:tcBorders>
                  <w:noWrap w:val="0"/>
                  <w:vAlign w:val="center"/>
                </w:tcPr>
                <w:p w14:paraId="7195549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lang w:val="en-US" w:eastAsia="zh-CN"/>
                    </w:rPr>
                  </w:pPr>
                </w:p>
              </w:tc>
              <w:tc>
                <w:tcPr>
                  <w:tcW w:w="637" w:type="pct"/>
                  <w:vMerge w:val="continue"/>
                  <w:tcBorders>
                    <w:tl2br w:val="nil"/>
                    <w:tr2bl w:val="nil"/>
                  </w:tcBorders>
                  <w:noWrap w:val="0"/>
                  <w:vAlign w:val="center"/>
                </w:tcPr>
                <w:p w14:paraId="70598195">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282" w:type="pct"/>
                  <w:vMerge w:val="continue"/>
                  <w:tcBorders>
                    <w:tl2br w:val="nil"/>
                    <w:tr2bl w:val="nil"/>
                  </w:tcBorders>
                  <w:noWrap w:val="0"/>
                  <w:vAlign w:val="center"/>
                </w:tcPr>
                <w:p w14:paraId="34905FF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14" w:type="pct"/>
                  <w:vMerge w:val="continue"/>
                  <w:tcBorders>
                    <w:tl2br w:val="nil"/>
                    <w:tr2bl w:val="nil"/>
                  </w:tcBorders>
                  <w:noWrap w:val="0"/>
                  <w:vAlign w:val="center"/>
                </w:tcPr>
                <w:p w14:paraId="5D03E170">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426" w:type="pct"/>
                  <w:tcBorders>
                    <w:tl2br w:val="nil"/>
                    <w:tr2bl w:val="nil"/>
                  </w:tcBorders>
                  <w:noWrap w:val="0"/>
                  <w:vAlign w:val="center"/>
                </w:tcPr>
                <w:p w14:paraId="2C6B9D80">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SS</w:t>
                  </w:r>
                </w:p>
              </w:tc>
              <w:tc>
                <w:tcPr>
                  <w:tcW w:w="432" w:type="pct"/>
                  <w:tcBorders>
                    <w:tl2br w:val="nil"/>
                    <w:tr2bl w:val="nil"/>
                  </w:tcBorders>
                  <w:noWrap w:val="0"/>
                  <w:vAlign w:val="center"/>
                </w:tcPr>
                <w:p w14:paraId="0A71368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200</w:t>
                  </w:r>
                </w:p>
              </w:tc>
              <w:tc>
                <w:tcPr>
                  <w:tcW w:w="928" w:type="pct"/>
                  <w:vMerge w:val="continue"/>
                  <w:tcBorders>
                    <w:tl2br w:val="nil"/>
                    <w:tr2bl w:val="nil"/>
                  </w:tcBorders>
                  <w:shd w:val="clear" w:color="auto" w:fill="auto"/>
                  <w:noWrap w:val="0"/>
                  <w:vAlign w:val="center"/>
                </w:tcPr>
                <w:p w14:paraId="7A56BE8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lang w:val="en-US" w:eastAsia="zh-CN"/>
                    </w:rPr>
                  </w:pPr>
                </w:p>
              </w:tc>
              <w:tc>
                <w:tcPr>
                  <w:tcW w:w="490" w:type="pct"/>
                  <w:tcBorders>
                    <w:tl2br w:val="nil"/>
                    <w:tr2bl w:val="nil"/>
                  </w:tcBorders>
                  <w:shd w:val="clear" w:color="auto" w:fill="auto"/>
                  <w:noWrap w:val="0"/>
                  <w:vAlign w:val="center"/>
                </w:tcPr>
                <w:p w14:paraId="4B944CD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SS</w:t>
                  </w:r>
                </w:p>
              </w:tc>
              <w:tc>
                <w:tcPr>
                  <w:tcW w:w="456" w:type="pct"/>
                  <w:tcBorders>
                    <w:tl2br w:val="nil"/>
                    <w:tr2bl w:val="nil"/>
                  </w:tcBorders>
                  <w:shd w:val="clear" w:color="auto" w:fill="auto"/>
                  <w:noWrap w:val="0"/>
                  <w:vAlign w:val="center"/>
                </w:tcPr>
                <w:p w14:paraId="68BA901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bidi="ar-SA"/>
                    </w:rPr>
                    <w:t>5</w:t>
                  </w:r>
                </w:p>
              </w:tc>
            </w:tr>
            <w:tr w14:paraId="6A18F8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 w:type="pct"/>
                  <w:vMerge w:val="continue"/>
                  <w:tcBorders>
                    <w:tl2br w:val="nil"/>
                    <w:tr2bl w:val="nil"/>
                  </w:tcBorders>
                  <w:noWrap w:val="0"/>
                  <w:vAlign w:val="center"/>
                </w:tcPr>
                <w:p w14:paraId="3216FE3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61" w:type="pct"/>
                  <w:vMerge w:val="continue"/>
                  <w:tcBorders>
                    <w:tl2br w:val="nil"/>
                    <w:tr2bl w:val="nil"/>
                  </w:tcBorders>
                  <w:noWrap w:val="0"/>
                  <w:vAlign w:val="center"/>
                </w:tcPr>
                <w:p w14:paraId="31B2B25C">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lang w:val="en-US" w:eastAsia="zh-CN"/>
                    </w:rPr>
                  </w:pPr>
                </w:p>
              </w:tc>
              <w:tc>
                <w:tcPr>
                  <w:tcW w:w="637" w:type="pct"/>
                  <w:vMerge w:val="continue"/>
                  <w:tcBorders>
                    <w:tl2br w:val="nil"/>
                    <w:tr2bl w:val="nil"/>
                  </w:tcBorders>
                  <w:noWrap w:val="0"/>
                  <w:vAlign w:val="center"/>
                </w:tcPr>
                <w:p w14:paraId="64D71C21">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282" w:type="pct"/>
                  <w:vMerge w:val="continue"/>
                  <w:tcBorders>
                    <w:tl2br w:val="nil"/>
                    <w:tr2bl w:val="nil"/>
                  </w:tcBorders>
                  <w:noWrap w:val="0"/>
                  <w:vAlign w:val="center"/>
                </w:tcPr>
                <w:p w14:paraId="1CA2AB99">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14" w:type="pct"/>
                  <w:vMerge w:val="continue"/>
                  <w:tcBorders>
                    <w:tl2br w:val="nil"/>
                    <w:tr2bl w:val="nil"/>
                  </w:tcBorders>
                  <w:noWrap w:val="0"/>
                  <w:vAlign w:val="center"/>
                </w:tcPr>
                <w:p w14:paraId="42795C88">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426" w:type="pct"/>
                  <w:tcBorders>
                    <w:tl2br w:val="nil"/>
                    <w:tr2bl w:val="nil"/>
                  </w:tcBorders>
                  <w:noWrap w:val="0"/>
                  <w:vAlign w:val="center"/>
                </w:tcPr>
                <w:p w14:paraId="7F8A52FE">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pH</w:t>
                  </w:r>
                </w:p>
              </w:tc>
              <w:tc>
                <w:tcPr>
                  <w:tcW w:w="432" w:type="pct"/>
                  <w:tcBorders>
                    <w:tl2br w:val="nil"/>
                    <w:tr2bl w:val="nil"/>
                  </w:tcBorders>
                  <w:noWrap w:val="0"/>
                  <w:vAlign w:val="center"/>
                </w:tcPr>
                <w:p w14:paraId="2DE48EF0">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2.0</w:t>
                  </w:r>
                </w:p>
              </w:tc>
              <w:tc>
                <w:tcPr>
                  <w:tcW w:w="928" w:type="pct"/>
                  <w:vMerge w:val="continue"/>
                  <w:tcBorders>
                    <w:tl2br w:val="nil"/>
                    <w:tr2bl w:val="nil"/>
                  </w:tcBorders>
                  <w:shd w:val="clear" w:color="auto" w:fill="auto"/>
                  <w:noWrap w:val="0"/>
                  <w:vAlign w:val="center"/>
                </w:tcPr>
                <w:p w14:paraId="214E32D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lang w:val="en-US" w:eastAsia="zh-CN"/>
                    </w:rPr>
                  </w:pPr>
                </w:p>
              </w:tc>
              <w:tc>
                <w:tcPr>
                  <w:tcW w:w="490" w:type="pct"/>
                  <w:tcBorders>
                    <w:tl2br w:val="nil"/>
                    <w:tr2bl w:val="nil"/>
                  </w:tcBorders>
                  <w:shd w:val="clear" w:color="auto" w:fill="auto"/>
                  <w:noWrap w:val="0"/>
                  <w:vAlign w:val="center"/>
                </w:tcPr>
                <w:p w14:paraId="74A92760">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pH</w:t>
                  </w:r>
                </w:p>
              </w:tc>
              <w:tc>
                <w:tcPr>
                  <w:tcW w:w="456" w:type="pct"/>
                  <w:tcBorders>
                    <w:tl2br w:val="nil"/>
                    <w:tr2bl w:val="nil"/>
                  </w:tcBorders>
                  <w:shd w:val="clear" w:color="auto" w:fill="auto"/>
                  <w:noWrap w:val="0"/>
                  <w:vAlign w:val="center"/>
                </w:tcPr>
                <w:p w14:paraId="5862A411">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rPr>
                    <w:t>6~9</w:t>
                  </w:r>
                </w:p>
              </w:tc>
            </w:tr>
            <w:tr w14:paraId="33A454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 w:type="pct"/>
                  <w:vMerge w:val="restart"/>
                  <w:tcBorders>
                    <w:tl2br w:val="nil"/>
                    <w:tr2bl w:val="nil"/>
                  </w:tcBorders>
                  <w:noWrap w:val="0"/>
                  <w:vAlign w:val="center"/>
                </w:tcPr>
                <w:p w14:paraId="060FB3DB">
                  <w:pPr>
                    <w:keepNext w:val="0"/>
                    <w:keepLines w:val="0"/>
                    <w:pageBreakBefore w:val="0"/>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8</w:t>
                  </w:r>
                </w:p>
              </w:tc>
              <w:tc>
                <w:tcPr>
                  <w:tcW w:w="561" w:type="pct"/>
                  <w:vMerge w:val="restart"/>
                  <w:tcBorders>
                    <w:tl2br w:val="nil"/>
                    <w:tr2bl w:val="nil"/>
                  </w:tcBorders>
                  <w:noWrap w:val="0"/>
                  <w:vAlign w:val="center"/>
                </w:tcPr>
                <w:p w14:paraId="6EDD1C1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i w:val="0"/>
                      <w:iCs w:val="0"/>
                      <w:color w:val="auto"/>
                      <w:kern w:val="0"/>
                      <w:sz w:val="18"/>
                      <w:szCs w:val="18"/>
                      <w:u w:val="none"/>
                      <w:lang w:val="en-US" w:eastAsia="zh-CN" w:bidi="ar"/>
                    </w:rPr>
                    <w:t>碱洗</w:t>
                  </w:r>
                  <w:r>
                    <w:rPr>
                      <w:rFonts w:hint="eastAsia" w:cs="Times New Roman"/>
                      <w:i w:val="0"/>
                      <w:iCs w:val="0"/>
                      <w:color w:val="auto"/>
                      <w:kern w:val="0"/>
                      <w:sz w:val="18"/>
                      <w:szCs w:val="18"/>
                      <w:u w:val="none"/>
                      <w:lang w:val="en-US" w:eastAsia="zh-CN" w:bidi="ar"/>
                    </w:rPr>
                    <w:t>含油和乳化液</w:t>
                  </w:r>
                  <w:r>
                    <w:rPr>
                      <w:rFonts w:hint="default" w:ascii="Times New Roman" w:hAnsi="Times New Roman" w:cs="Times New Roman"/>
                      <w:i w:val="0"/>
                      <w:iCs w:val="0"/>
                      <w:color w:val="auto"/>
                      <w:kern w:val="0"/>
                      <w:sz w:val="18"/>
                      <w:szCs w:val="18"/>
                      <w:u w:val="none"/>
                      <w:lang w:val="en-US" w:eastAsia="zh-CN" w:bidi="ar"/>
                    </w:rPr>
                    <w:t>废水及</w:t>
                  </w:r>
                  <w:r>
                    <w:rPr>
                      <w:rFonts w:hint="default" w:ascii="Times New Roman" w:hAnsi="Times New Roman" w:eastAsia="宋体" w:cs="Times New Roman"/>
                      <w:i w:val="0"/>
                      <w:iCs w:val="0"/>
                      <w:color w:val="auto"/>
                      <w:kern w:val="0"/>
                      <w:sz w:val="18"/>
                      <w:szCs w:val="18"/>
                      <w:u w:val="none"/>
                      <w:lang w:val="en-US" w:eastAsia="zh-CN" w:bidi="ar"/>
                    </w:rPr>
                    <w:t>碱洗后水洗</w:t>
                  </w:r>
                  <w:r>
                    <w:rPr>
                      <w:rFonts w:hint="default" w:ascii="Times New Roman" w:hAnsi="Times New Roman" w:cs="Times New Roman"/>
                      <w:i w:val="0"/>
                      <w:iCs w:val="0"/>
                      <w:color w:val="auto"/>
                      <w:kern w:val="0"/>
                      <w:sz w:val="18"/>
                      <w:szCs w:val="18"/>
                      <w:u w:val="none"/>
                      <w:lang w:val="en-US" w:eastAsia="zh-CN" w:bidi="ar"/>
                    </w:rPr>
                    <w:t>废水+</w:t>
                  </w:r>
                  <w:r>
                    <w:rPr>
                      <w:rFonts w:hint="default" w:ascii="Times New Roman" w:hAnsi="Times New Roman" w:cs="Times New Roman"/>
                      <w:i w:val="0"/>
                      <w:iCs w:val="0"/>
                      <w:color w:val="auto"/>
                      <w:kern w:val="2"/>
                      <w:sz w:val="18"/>
                      <w:szCs w:val="18"/>
                      <w:u w:val="none"/>
                      <w:lang w:val="en-US" w:eastAsia="zh-CN" w:bidi="ar-SA"/>
                    </w:rPr>
                    <w:t>碱喷淋塔排水</w:t>
                  </w:r>
                </w:p>
              </w:tc>
              <w:tc>
                <w:tcPr>
                  <w:tcW w:w="637" w:type="pct"/>
                  <w:vMerge w:val="restart"/>
                  <w:tcBorders>
                    <w:tl2br w:val="nil"/>
                    <w:tr2bl w:val="nil"/>
                  </w:tcBorders>
                  <w:noWrap w:val="0"/>
                  <w:vAlign w:val="center"/>
                </w:tcPr>
                <w:p w14:paraId="06392942">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lang w:val="en-US"/>
                    </w:rPr>
                  </w:pPr>
                  <w:r>
                    <w:rPr>
                      <w:rFonts w:hint="eastAsia" w:cs="Times New Roman"/>
                      <w:i w:val="0"/>
                      <w:iCs w:val="0"/>
                      <w:color w:val="auto"/>
                      <w:kern w:val="0"/>
                      <w:sz w:val="18"/>
                      <w:szCs w:val="18"/>
                      <w:u w:val="none"/>
                      <w:lang w:val="en-US" w:eastAsia="zh-CN" w:bidi="ar"/>
                    </w:rPr>
                    <w:t>28373.97</w:t>
                  </w:r>
                </w:p>
              </w:tc>
              <w:tc>
                <w:tcPr>
                  <w:tcW w:w="282" w:type="pct"/>
                  <w:vMerge w:val="restart"/>
                  <w:tcBorders>
                    <w:tl2br w:val="nil"/>
                    <w:tr2bl w:val="nil"/>
                  </w:tcBorders>
                  <w:shd w:val="clear" w:color="auto" w:fill="auto"/>
                  <w:noWrap w:val="0"/>
                  <w:vAlign w:val="center"/>
                </w:tcPr>
                <w:p w14:paraId="7FA330BC">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间歇</w:t>
                  </w:r>
                </w:p>
              </w:tc>
              <w:tc>
                <w:tcPr>
                  <w:tcW w:w="514" w:type="pct"/>
                  <w:vMerge w:val="restart"/>
                  <w:tcBorders>
                    <w:tl2br w:val="nil"/>
                    <w:tr2bl w:val="nil"/>
                  </w:tcBorders>
                  <w:shd w:val="clear" w:color="auto" w:fill="auto"/>
                  <w:noWrap w:val="0"/>
                  <w:vAlign w:val="center"/>
                </w:tcPr>
                <w:p w14:paraId="6DB62E98">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碱性含油废水处理站+酸性废水处理站</w:t>
                  </w:r>
                </w:p>
              </w:tc>
              <w:tc>
                <w:tcPr>
                  <w:tcW w:w="426" w:type="pct"/>
                  <w:tcBorders>
                    <w:tl2br w:val="nil"/>
                    <w:tr2bl w:val="nil"/>
                  </w:tcBorders>
                  <w:shd w:val="clear" w:color="auto" w:fill="auto"/>
                  <w:noWrap w:val="0"/>
                  <w:vAlign w:val="center"/>
                </w:tcPr>
                <w:p w14:paraId="6274A45E">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COD</w:t>
                  </w:r>
                </w:p>
              </w:tc>
              <w:tc>
                <w:tcPr>
                  <w:tcW w:w="432" w:type="pct"/>
                  <w:tcBorders>
                    <w:tl2br w:val="nil"/>
                    <w:tr2bl w:val="nil"/>
                  </w:tcBorders>
                  <w:shd w:val="clear" w:color="auto" w:fill="auto"/>
                  <w:noWrap w:val="0"/>
                  <w:vAlign w:val="center"/>
                </w:tcPr>
                <w:p w14:paraId="5213FE49">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rPr>
                    <w:t>20</w:t>
                  </w:r>
                  <w:r>
                    <w:rPr>
                      <w:rFonts w:hint="eastAsia" w:ascii="Times New Roman" w:hAnsi="Times New Roman" w:cs="Times New Roman"/>
                      <w:color w:val="auto"/>
                      <w:kern w:val="0"/>
                      <w:sz w:val="18"/>
                      <w:szCs w:val="18"/>
                      <w:lang w:val="en-US" w:eastAsia="zh-CN"/>
                    </w:rPr>
                    <w:t>00</w:t>
                  </w:r>
                </w:p>
              </w:tc>
              <w:tc>
                <w:tcPr>
                  <w:tcW w:w="928" w:type="pct"/>
                  <w:vMerge w:val="continue"/>
                  <w:tcBorders>
                    <w:tl2br w:val="nil"/>
                    <w:tr2bl w:val="nil"/>
                  </w:tcBorders>
                  <w:shd w:val="clear" w:color="auto" w:fill="auto"/>
                  <w:noWrap w:val="0"/>
                  <w:vAlign w:val="center"/>
                </w:tcPr>
                <w:p w14:paraId="5C294DF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lang w:val="en-US" w:eastAsia="zh-CN"/>
                    </w:rPr>
                  </w:pPr>
                </w:p>
              </w:tc>
              <w:tc>
                <w:tcPr>
                  <w:tcW w:w="490" w:type="pct"/>
                  <w:tcBorders>
                    <w:tl2br w:val="nil"/>
                    <w:tr2bl w:val="nil"/>
                  </w:tcBorders>
                  <w:shd w:val="clear" w:color="auto" w:fill="auto"/>
                  <w:noWrap w:val="0"/>
                  <w:vAlign w:val="center"/>
                </w:tcPr>
                <w:p w14:paraId="430FD30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rPr>
                    <w:t>氨氮</w:t>
                  </w:r>
                </w:p>
              </w:tc>
              <w:tc>
                <w:tcPr>
                  <w:tcW w:w="456" w:type="pct"/>
                  <w:tcBorders>
                    <w:tl2br w:val="nil"/>
                    <w:tr2bl w:val="nil"/>
                  </w:tcBorders>
                  <w:shd w:val="clear" w:color="auto" w:fill="auto"/>
                  <w:noWrap w:val="0"/>
                  <w:vAlign w:val="center"/>
                </w:tcPr>
                <w:p w14:paraId="131CAB35">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rPr>
                    <w:t>5</w:t>
                  </w:r>
                </w:p>
              </w:tc>
            </w:tr>
            <w:tr w14:paraId="6737C7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 w:type="pct"/>
                  <w:vMerge w:val="continue"/>
                  <w:tcBorders>
                    <w:tl2br w:val="nil"/>
                    <w:tr2bl w:val="nil"/>
                  </w:tcBorders>
                  <w:noWrap w:val="0"/>
                  <w:vAlign w:val="center"/>
                </w:tcPr>
                <w:p w14:paraId="5909B2F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61" w:type="pct"/>
                  <w:vMerge w:val="continue"/>
                  <w:tcBorders>
                    <w:tl2br w:val="nil"/>
                    <w:tr2bl w:val="nil"/>
                  </w:tcBorders>
                  <w:noWrap w:val="0"/>
                  <w:vAlign w:val="center"/>
                </w:tcPr>
                <w:p w14:paraId="2A6184F0">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p>
              </w:tc>
              <w:tc>
                <w:tcPr>
                  <w:tcW w:w="637" w:type="pct"/>
                  <w:vMerge w:val="continue"/>
                  <w:tcBorders>
                    <w:tl2br w:val="nil"/>
                    <w:tr2bl w:val="nil"/>
                  </w:tcBorders>
                  <w:noWrap w:val="0"/>
                  <w:vAlign w:val="center"/>
                </w:tcPr>
                <w:p w14:paraId="3E571575">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282" w:type="pct"/>
                  <w:vMerge w:val="continue"/>
                  <w:tcBorders>
                    <w:tl2br w:val="nil"/>
                    <w:tr2bl w:val="nil"/>
                  </w:tcBorders>
                  <w:noWrap w:val="0"/>
                  <w:vAlign w:val="center"/>
                </w:tcPr>
                <w:p w14:paraId="4AB9F319">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14" w:type="pct"/>
                  <w:vMerge w:val="continue"/>
                  <w:tcBorders>
                    <w:tl2br w:val="nil"/>
                    <w:tr2bl w:val="nil"/>
                  </w:tcBorders>
                  <w:noWrap w:val="0"/>
                  <w:vAlign w:val="center"/>
                </w:tcPr>
                <w:p w14:paraId="35DF41DC">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426" w:type="pct"/>
                  <w:tcBorders>
                    <w:tl2br w:val="nil"/>
                    <w:tr2bl w:val="nil"/>
                  </w:tcBorders>
                  <w:shd w:val="clear" w:color="auto" w:fill="auto"/>
                  <w:noWrap w:val="0"/>
                  <w:vAlign w:val="center"/>
                </w:tcPr>
                <w:p w14:paraId="6F469C8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SS</w:t>
                  </w:r>
                </w:p>
              </w:tc>
              <w:tc>
                <w:tcPr>
                  <w:tcW w:w="432" w:type="pct"/>
                  <w:tcBorders>
                    <w:tl2br w:val="nil"/>
                    <w:tr2bl w:val="nil"/>
                  </w:tcBorders>
                  <w:shd w:val="clear" w:color="auto" w:fill="auto"/>
                  <w:noWrap w:val="0"/>
                  <w:vAlign w:val="center"/>
                </w:tcPr>
                <w:p w14:paraId="15E92EB8">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200</w:t>
                  </w:r>
                </w:p>
              </w:tc>
              <w:tc>
                <w:tcPr>
                  <w:tcW w:w="928" w:type="pct"/>
                  <w:vMerge w:val="continue"/>
                  <w:tcBorders>
                    <w:tl2br w:val="nil"/>
                    <w:tr2bl w:val="nil"/>
                  </w:tcBorders>
                  <w:shd w:val="clear" w:color="auto" w:fill="auto"/>
                  <w:noWrap w:val="0"/>
                  <w:vAlign w:val="center"/>
                </w:tcPr>
                <w:p w14:paraId="444A1C53">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lang w:val="en-US" w:eastAsia="zh-CN"/>
                    </w:rPr>
                  </w:pPr>
                </w:p>
              </w:tc>
              <w:tc>
                <w:tcPr>
                  <w:tcW w:w="490" w:type="pct"/>
                  <w:tcBorders>
                    <w:tl2br w:val="nil"/>
                    <w:tr2bl w:val="nil"/>
                  </w:tcBorders>
                  <w:shd w:val="clear" w:color="auto" w:fill="auto"/>
                  <w:noWrap w:val="0"/>
                  <w:vAlign w:val="center"/>
                </w:tcPr>
                <w:p w14:paraId="4C08067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bidi="ar-SA"/>
                    </w:rPr>
                    <w:t>石油类</w:t>
                  </w:r>
                </w:p>
              </w:tc>
              <w:tc>
                <w:tcPr>
                  <w:tcW w:w="456" w:type="pct"/>
                  <w:tcBorders>
                    <w:tl2br w:val="nil"/>
                    <w:tr2bl w:val="nil"/>
                  </w:tcBorders>
                  <w:shd w:val="clear" w:color="auto" w:fill="auto"/>
                  <w:noWrap w:val="0"/>
                  <w:vAlign w:val="center"/>
                </w:tcPr>
                <w:p w14:paraId="14B5055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rPr>
                    <w:t>5</w:t>
                  </w:r>
                </w:p>
              </w:tc>
            </w:tr>
            <w:tr w14:paraId="32950B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 w:type="pct"/>
                  <w:vMerge w:val="continue"/>
                  <w:tcBorders>
                    <w:tl2br w:val="nil"/>
                    <w:tr2bl w:val="nil"/>
                  </w:tcBorders>
                  <w:noWrap w:val="0"/>
                  <w:vAlign w:val="center"/>
                </w:tcPr>
                <w:p w14:paraId="16A5EED3">
                  <w:pPr>
                    <w:keepNext w:val="0"/>
                    <w:keepLines w:val="0"/>
                    <w:pageBreakBefore w:val="0"/>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auto"/>
                      <w:kern w:val="0"/>
                      <w:sz w:val="18"/>
                      <w:szCs w:val="18"/>
                      <w:lang w:val="en-US" w:eastAsia="zh-CN"/>
                    </w:rPr>
                  </w:pPr>
                </w:p>
              </w:tc>
              <w:tc>
                <w:tcPr>
                  <w:tcW w:w="561" w:type="pct"/>
                  <w:vMerge w:val="continue"/>
                  <w:tcBorders>
                    <w:tl2br w:val="nil"/>
                    <w:tr2bl w:val="nil"/>
                  </w:tcBorders>
                  <w:shd w:val="clear" w:color="auto" w:fill="auto"/>
                  <w:noWrap w:val="0"/>
                  <w:vAlign w:val="center"/>
                </w:tcPr>
                <w:p w14:paraId="1AF56B57">
                  <w:pPr>
                    <w:keepNext w:val="0"/>
                    <w:keepLines w:val="0"/>
                    <w:pageBreakBefore w:val="0"/>
                    <w:widowControl/>
                    <w:suppressLineNumbers w:val="0"/>
                    <w:kinsoku/>
                    <w:wordWrap/>
                    <w:overflowPunct/>
                    <w:topLinePunct w:val="0"/>
                    <w:autoSpaceDE/>
                    <w:autoSpaceDN/>
                    <w:bidi w:val="0"/>
                    <w:spacing w:line="240" w:lineRule="auto"/>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p>
              </w:tc>
              <w:tc>
                <w:tcPr>
                  <w:tcW w:w="637" w:type="pct"/>
                  <w:vMerge w:val="continue"/>
                  <w:tcBorders>
                    <w:tl2br w:val="nil"/>
                    <w:tr2bl w:val="nil"/>
                  </w:tcBorders>
                  <w:shd w:val="clear" w:color="auto" w:fill="auto"/>
                  <w:noWrap w:val="0"/>
                  <w:vAlign w:val="center"/>
                </w:tcPr>
                <w:p w14:paraId="5A0C3CF0">
                  <w:pPr>
                    <w:keepNext w:val="0"/>
                    <w:keepLines w:val="0"/>
                    <w:pageBreakBefore w:val="0"/>
                    <w:widowControl/>
                    <w:suppressLineNumbers w:val="0"/>
                    <w:kinsoku/>
                    <w:wordWrap/>
                    <w:overflowPunct/>
                    <w:topLinePunct w:val="0"/>
                    <w:autoSpaceDE/>
                    <w:autoSpaceDN/>
                    <w:bidi w:val="0"/>
                    <w:spacing w:line="240" w:lineRule="auto"/>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p>
              </w:tc>
              <w:tc>
                <w:tcPr>
                  <w:tcW w:w="282" w:type="pct"/>
                  <w:vMerge w:val="continue"/>
                  <w:tcBorders>
                    <w:tl2br w:val="nil"/>
                    <w:tr2bl w:val="nil"/>
                  </w:tcBorders>
                  <w:noWrap w:val="0"/>
                  <w:vAlign w:val="center"/>
                </w:tcPr>
                <w:p w14:paraId="1104E8DA">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14" w:type="pct"/>
                  <w:vMerge w:val="continue"/>
                  <w:tcBorders>
                    <w:tl2br w:val="nil"/>
                    <w:tr2bl w:val="nil"/>
                  </w:tcBorders>
                  <w:noWrap w:val="0"/>
                  <w:vAlign w:val="center"/>
                </w:tcPr>
                <w:p w14:paraId="6DC3C4F8">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rPr>
                  </w:pPr>
                </w:p>
              </w:tc>
              <w:tc>
                <w:tcPr>
                  <w:tcW w:w="426" w:type="pct"/>
                  <w:tcBorders>
                    <w:tl2br w:val="nil"/>
                    <w:tr2bl w:val="nil"/>
                  </w:tcBorders>
                  <w:shd w:val="clear" w:color="auto" w:fill="auto"/>
                  <w:noWrap w:val="0"/>
                  <w:vAlign w:val="center"/>
                </w:tcPr>
                <w:p w14:paraId="0377EECC">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pH</w:t>
                  </w:r>
                </w:p>
              </w:tc>
              <w:tc>
                <w:tcPr>
                  <w:tcW w:w="432" w:type="pct"/>
                  <w:tcBorders>
                    <w:tl2br w:val="nil"/>
                    <w:tr2bl w:val="nil"/>
                  </w:tcBorders>
                  <w:shd w:val="clear" w:color="auto" w:fill="auto"/>
                  <w:noWrap w:val="0"/>
                  <w:vAlign w:val="center"/>
                </w:tcPr>
                <w:p w14:paraId="7FA9E06D">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11</w:t>
                  </w:r>
                </w:p>
              </w:tc>
              <w:tc>
                <w:tcPr>
                  <w:tcW w:w="928" w:type="pct"/>
                  <w:vMerge w:val="continue"/>
                  <w:tcBorders>
                    <w:tl2br w:val="nil"/>
                    <w:tr2bl w:val="nil"/>
                  </w:tcBorders>
                  <w:shd w:val="clear" w:color="auto" w:fill="auto"/>
                  <w:noWrap w:val="0"/>
                  <w:vAlign w:val="center"/>
                </w:tcPr>
                <w:p w14:paraId="77D4246E">
                  <w:pPr>
                    <w:keepNext w:val="0"/>
                    <w:keepLines w:val="0"/>
                    <w:pageBreakBefore w:val="0"/>
                    <w:kinsoku/>
                    <w:wordWrap/>
                    <w:overflowPunct/>
                    <w:topLinePunct w:val="0"/>
                    <w:autoSpaceDE/>
                    <w:autoSpaceDN/>
                    <w:bidi w:val="0"/>
                    <w:adjustRightInd w:val="0"/>
                    <w:snapToGrid w:val="0"/>
                    <w:spacing w:line="240" w:lineRule="auto"/>
                    <w:jc w:val="center"/>
                    <w:rPr>
                      <w:rFonts w:hint="eastAsia" w:cs="Times New Roman"/>
                      <w:color w:val="auto"/>
                      <w:kern w:val="0"/>
                      <w:sz w:val="18"/>
                      <w:szCs w:val="18"/>
                      <w:lang w:val="en-US" w:eastAsia="zh-CN"/>
                    </w:rPr>
                  </w:pPr>
                </w:p>
              </w:tc>
              <w:tc>
                <w:tcPr>
                  <w:tcW w:w="490" w:type="pct"/>
                  <w:tcBorders>
                    <w:tl2br w:val="nil"/>
                    <w:tr2bl w:val="nil"/>
                  </w:tcBorders>
                  <w:shd w:val="clear" w:color="auto" w:fill="auto"/>
                  <w:noWrap w:val="0"/>
                  <w:vAlign w:val="center"/>
                </w:tcPr>
                <w:p w14:paraId="7E90FEE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bidi="ar-SA"/>
                    </w:rPr>
                    <w:t>/</w:t>
                  </w:r>
                </w:p>
              </w:tc>
              <w:tc>
                <w:tcPr>
                  <w:tcW w:w="456" w:type="pct"/>
                  <w:tcBorders>
                    <w:tl2br w:val="nil"/>
                    <w:tr2bl w:val="nil"/>
                  </w:tcBorders>
                  <w:shd w:val="clear" w:color="auto" w:fill="auto"/>
                  <w:noWrap w:val="0"/>
                  <w:vAlign w:val="center"/>
                </w:tcPr>
                <w:p w14:paraId="38BFCBFA">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bidi="ar-SA"/>
                    </w:rPr>
                    <w:t>/</w:t>
                  </w:r>
                </w:p>
              </w:tc>
            </w:tr>
            <w:tr w14:paraId="2A57C5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 w:type="pct"/>
                  <w:vMerge w:val="continue"/>
                  <w:tcBorders>
                    <w:tl2br w:val="nil"/>
                    <w:tr2bl w:val="nil"/>
                  </w:tcBorders>
                  <w:noWrap w:val="0"/>
                  <w:vAlign w:val="center"/>
                </w:tcPr>
                <w:p w14:paraId="7072A523">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61" w:type="pct"/>
                  <w:vMerge w:val="continue"/>
                  <w:tcBorders>
                    <w:tl2br w:val="nil"/>
                    <w:tr2bl w:val="nil"/>
                  </w:tcBorders>
                  <w:shd w:val="clear" w:color="auto" w:fill="auto"/>
                  <w:noWrap w:val="0"/>
                  <w:vAlign w:val="center"/>
                </w:tcPr>
                <w:p w14:paraId="211914FA">
                  <w:pPr>
                    <w:keepNext w:val="0"/>
                    <w:keepLines w:val="0"/>
                    <w:pageBreakBefore w:val="0"/>
                    <w:widowControl/>
                    <w:suppressLineNumbers w:val="0"/>
                    <w:kinsoku/>
                    <w:wordWrap/>
                    <w:overflowPunct/>
                    <w:topLinePunct w:val="0"/>
                    <w:autoSpaceDE/>
                    <w:autoSpaceDN/>
                    <w:bidi w:val="0"/>
                    <w:spacing w:line="240" w:lineRule="auto"/>
                    <w:jc w:val="center"/>
                    <w:textAlignment w:val="center"/>
                    <w:rPr>
                      <w:rFonts w:hint="default" w:ascii="Times New Roman" w:hAnsi="Times New Roman" w:eastAsia="宋体" w:cs="Times New Roman"/>
                      <w:i w:val="0"/>
                      <w:iCs w:val="0"/>
                      <w:color w:val="auto"/>
                      <w:kern w:val="2"/>
                      <w:sz w:val="18"/>
                      <w:szCs w:val="18"/>
                      <w:u w:val="none"/>
                      <w:lang w:val="en-US" w:eastAsia="zh-CN" w:bidi="ar-SA"/>
                    </w:rPr>
                  </w:pPr>
                </w:p>
              </w:tc>
              <w:tc>
                <w:tcPr>
                  <w:tcW w:w="637" w:type="pct"/>
                  <w:vMerge w:val="continue"/>
                  <w:tcBorders>
                    <w:tl2br w:val="nil"/>
                    <w:tr2bl w:val="nil"/>
                  </w:tcBorders>
                  <w:noWrap w:val="0"/>
                  <w:vAlign w:val="center"/>
                </w:tcPr>
                <w:p w14:paraId="25E9067C">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282" w:type="pct"/>
                  <w:vMerge w:val="continue"/>
                  <w:tcBorders>
                    <w:tl2br w:val="nil"/>
                    <w:tr2bl w:val="nil"/>
                  </w:tcBorders>
                  <w:noWrap w:val="0"/>
                  <w:vAlign w:val="center"/>
                </w:tcPr>
                <w:p w14:paraId="6718EA82">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14" w:type="pct"/>
                  <w:vMerge w:val="continue"/>
                  <w:tcBorders>
                    <w:tl2br w:val="nil"/>
                    <w:tr2bl w:val="nil"/>
                  </w:tcBorders>
                  <w:noWrap w:val="0"/>
                  <w:vAlign w:val="center"/>
                </w:tcPr>
                <w:p w14:paraId="6850465D">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426" w:type="pct"/>
                  <w:tcBorders>
                    <w:tl2br w:val="nil"/>
                    <w:tr2bl w:val="nil"/>
                  </w:tcBorders>
                  <w:shd w:val="clear" w:color="auto" w:fill="auto"/>
                  <w:noWrap w:val="0"/>
                  <w:vAlign w:val="center"/>
                </w:tcPr>
                <w:p w14:paraId="732EA120">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rPr>
                    <w:t>氨氮</w:t>
                  </w:r>
                </w:p>
              </w:tc>
              <w:tc>
                <w:tcPr>
                  <w:tcW w:w="432" w:type="pct"/>
                  <w:tcBorders>
                    <w:tl2br w:val="nil"/>
                    <w:tr2bl w:val="nil"/>
                  </w:tcBorders>
                  <w:shd w:val="clear" w:color="auto" w:fill="auto"/>
                  <w:noWrap w:val="0"/>
                  <w:vAlign w:val="center"/>
                </w:tcPr>
                <w:p w14:paraId="05C2F8F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rPr>
                    <w:t>50</w:t>
                  </w:r>
                </w:p>
              </w:tc>
              <w:tc>
                <w:tcPr>
                  <w:tcW w:w="928" w:type="pct"/>
                  <w:vMerge w:val="continue"/>
                  <w:tcBorders>
                    <w:tl2br w:val="nil"/>
                    <w:tr2bl w:val="nil"/>
                  </w:tcBorders>
                  <w:shd w:val="clear" w:color="auto" w:fill="auto"/>
                  <w:noWrap w:val="0"/>
                  <w:vAlign w:val="center"/>
                </w:tcPr>
                <w:p w14:paraId="41A03673">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lang w:val="en-US" w:eastAsia="zh-CN"/>
                    </w:rPr>
                  </w:pPr>
                </w:p>
              </w:tc>
              <w:tc>
                <w:tcPr>
                  <w:tcW w:w="490" w:type="pct"/>
                  <w:tcBorders>
                    <w:tl2br w:val="nil"/>
                    <w:tr2bl w:val="nil"/>
                  </w:tcBorders>
                  <w:shd w:val="clear" w:color="auto" w:fill="auto"/>
                  <w:noWrap w:val="0"/>
                  <w:vAlign w:val="center"/>
                </w:tcPr>
                <w:p w14:paraId="51F752F8">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bidi="ar-SA"/>
                    </w:rPr>
                    <w:t>/</w:t>
                  </w:r>
                </w:p>
              </w:tc>
              <w:tc>
                <w:tcPr>
                  <w:tcW w:w="456" w:type="pct"/>
                  <w:tcBorders>
                    <w:tl2br w:val="nil"/>
                    <w:tr2bl w:val="nil"/>
                  </w:tcBorders>
                  <w:shd w:val="clear" w:color="auto" w:fill="auto"/>
                  <w:noWrap w:val="0"/>
                  <w:vAlign w:val="center"/>
                </w:tcPr>
                <w:p w14:paraId="582E4C79">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bidi="ar-SA"/>
                    </w:rPr>
                    <w:t>/</w:t>
                  </w:r>
                </w:p>
              </w:tc>
            </w:tr>
            <w:tr w14:paraId="113D83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 w:type="pct"/>
                  <w:vMerge w:val="continue"/>
                  <w:tcBorders>
                    <w:tl2br w:val="nil"/>
                    <w:tr2bl w:val="nil"/>
                  </w:tcBorders>
                  <w:noWrap w:val="0"/>
                  <w:vAlign w:val="center"/>
                </w:tcPr>
                <w:p w14:paraId="36B50B4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61" w:type="pct"/>
                  <w:vMerge w:val="continue"/>
                  <w:tcBorders>
                    <w:tl2br w:val="nil"/>
                    <w:tr2bl w:val="nil"/>
                  </w:tcBorders>
                  <w:noWrap w:val="0"/>
                  <w:vAlign w:val="center"/>
                </w:tcPr>
                <w:p w14:paraId="3DA54C4D">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637" w:type="pct"/>
                  <w:vMerge w:val="continue"/>
                  <w:tcBorders>
                    <w:tl2br w:val="nil"/>
                    <w:tr2bl w:val="nil"/>
                  </w:tcBorders>
                  <w:noWrap w:val="0"/>
                  <w:vAlign w:val="center"/>
                </w:tcPr>
                <w:p w14:paraId="3931E6CC">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282" w:type="pct"/>
                  <w:vMerge w:val="continue"/>
                  <w:tcBorders>
                    <w:tl2br w:val="nil"/>
                    <w:tr2bl w:val="nil"/>
                  </w:tcBorders>
                  <w:noWrap w:val="0"/>
                  <w:vAlign w:val="center"/>
                </w:tcPr>
                <w:p w14:paraId="29C2CE90">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514" w:type="pct"/>
                  <w:vMerge w:val="continue"/>
                  <w:tcBorders>
                    <w:tl2br w:val="nil"/>
                    <w:tr2bl w:val="nil"/>
                  </w:tcBorders>
                  <w:noWrap w:val="0"/>
                  <w:vAlign w:val="center"/>
                </w:tcPr>
                <w:p w14:paraId="599DE79A">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rPr>
                  </w:pPr>
                </w:p>
              </w:tc>
              <w:tc>
                <w:tcPr>
                  <w:tcW w:w="426" w:type="pct"/>
                  <w:tcBorders>
                    <w:tl2br w:val="nil"/>
                    <w:tr2bl w:val="nil"/>
                  </w:tcBorders>
                  <w:shd w:val="clear" w:color="auto" w:fill="auto"/>
                  <w:noWrap w:val="0"/>
                  <w:vAlign w:val="center"/>
                </w:tcPr>
                <w:p w14:paraId="6F31554C">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bidi="ar-SA"/>
                    </w:rPr>
                    <w:t>石油类</w:t>
                  </w:r>
                </w:p>
              </w:tc>
              <w:tc>
                <w:tcPr>
                  <w:tcW w:w="432" w:type="pct"/>
                  <w:tcBorders>
                    <w:tl2br w:val="nil"/>
                    <w:tr2bl w:val="nil"/>
                  </w:tcBorders>
                  <w:shd w:val="clear" w:color="auto" w:fill="auto"/>
                  <w:noWrap w:val="0"/>
                  <w:vAlign w:val="center"/>
                </w:tcPr>
                <w:p w14:paraId="7AD7259C">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rPr>
                    <w:t>100</w:t>
                  </w:r>
                </w:p>
              </w:tc>
              <w:tc>
                <w:tcPr>
                  <w:tcW w:w="928" w:type="pct"/>
                  <w:vMerge w:val="continue"/>
                  <w:tcBorders>
                    <w:tl2br w:val="nil"/>
                    <w:tr2bl w:val="nil"/>
                  </w:tcBorders>
                  <w:shd w:val="clear" w:color="auto" w:fill="auto"/>
                  <w:noWrap w:val="0"/>
                  <w:vAlign w:val="center"/>
                </w:tcPr>
                <w:p w14:paraId="781E916E">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18"/>
                      <w:szCs w:val="18"/>
                      <w:lang w:val="en-US" w:eastAsia="zh-CN"/>
                    </w:rPr>
                  </w:pPr>
                </w:p>
              </w:tc>
              <w:tc>
                <w:tcPr>
                  <w:tcW w:w="490" w:type="pct"/>
                  <w:tcBorders>
                    <w:tl2br w:val="nil"/>
                    <w:tr2bl w:val="nil"/>
                  </w:tcBorders>
                  <w:shd w:val="clear" w:color="auto" w:fill="auto"/>
                  <w:noWrap w:val="0"/>
                  <w:vAlign w:val="center"/>
                </w:tcPr>
                <w:p w14:paraId="70BDB04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bidi="ar-SA"/>
                    </w:rPr>
                    <w:t>/</w:t>
                  </w:r>
                </w:p>
              </w:tc>
              <w:tc>
                <w:tcPr>
                  <w:tcW w:w="456" w:type="pct"/>
                  <w:tcBorders>
                    <w:tl2br w:val="nil"/>
                    <w:tr2bl w:val="nil"/>
                  </w:tcBorders>
                  <w:shd w:val="clear" w:color="auto" w:fill="auto"/>
                  <w:noWrap w:val="0"/>
                  <w:vAlign w:val="center"/>
                </w:tcPr>
                <w:p w14:paraId="24CEE03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bidi="ar-SA"/>
                    </w:rPr>
                    <w:t>/</w:t>
                  </w:r>
                </w:p>
              </w:tc>
            </w:tr>
            <w:tr w14:paraId="6C5D7D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00" w:type="pct"/>
                  <w:gridSpan w:val="10"/>
                  <w:tcBorders>
                    <w:tl2br w:val="nil"/>
                    <w:tr2bl w:val="nil"/>
                  </w:tcBorders>
                  <w:noWrap w:val="0"/>
                  <w:vAlign w:val="center"/>
                </w:tcPr>
                <w:p w14:paraId="61ABE4FB">
                  <w:pPr>
                    <w:keepNext w:val="0"/>
                    <w:keepLines w:val="0"/>
                    <w:pageBreakBefore w:val="0"/>
                    <w:kinsoku/>
                    <w:wordWrap/>
                    <w:overflowPunct/>
                    <w:topLinePunct w:val="0"/>
                    <w:autoSpaceDE/>
                    <w:autoSpaceDN/>
                    <w:bidi w:val="0"/>
                    <w:adjustRightInd w:val="0"/>
                    <w:snapToGrid w:val="0"/>
                    <w:spacing w:line="240" w:lineRule="auto"/>
                    <w:jc w:val="both"/>
                    <w:rPr>
                      <w:rFonts w:hint="eastAsia" w:cs="Times New Roman"/>
                      <w:color w:val="auto"/>
                      <w:kern w:val="0"/>
                      <w:sz w:val="18"/>
                      <w:szCs w:val="18"/>
                      <w:lang w:val="en-US" w:eastAsia="zh-CN" w:bidi="ar-SA"/>
                    </w:rPr>
                  </w:pPr>
                  <w:r>
                    <w:rPr>
                      <w:rFonts w:hint="eastAsia" w:ascii="Times New Roman" w:hAnsi="Times New Roman" w:cs="Times New Roman"/>
                      <w:color w:val="auto"/>
                      <w:kern w:val="0"/>
                      <w:sz w:val="18"/>
                      <w:szCs w:val="18"/>
                      <w:lang w:val="en-US" w:eastAsia="zh-CN"/>
                    </w:rPr>
                    <w:t>本项目通过在前端设置保安过滤器、投加阻垢剂等方式抑制盐分产生。</w:t>
                  </w:r>
                </w:p>
              </w:tc>
            </w:tr>
          </w:tbl>
          <w:p w14:paraId="00D44A17">
            <w:pPr>
              <w:pStyle w:val="29"/>
              <w:spacing w:before="0" w:beforeAutospacing="0" w:after="0" w:afterAutospacing="0" w:line="360" w:lineRule="auto"/>
              <w:ind w:firstLine="422" w:firstLineChars="200"/>
              <w:rPr>
                <w:rFonts w:hint="eastAsia"/>
                <w:b/>
                <w:color w:val="auto"/>
                <w:sz w:val="21"/>
                <w:lang w:val="de-DE"/>
              </w:rPr>
            </w:pPr>
            <w:r>
              <w:rPr>
                <w:b/>
                <w:color w:val="auto"/>
                <w:sz w:val="21"/>
                <w:lang w:val="de-DE"/>
              </w:rPr>
              <w:t>2</w:t>
            </w:r>
            <w:r>
              <w:rPr>
                <w:rFonts w:hint="eastAsia"/>
                <w:b/>
                <w:color w:val="auto"/>
                <w:sz w:val="21"/>
                <w:lang w:val="de-DE"/>
              </w:rPr>
              <w:t>、水污染控制和</w:t>
            </w:r>
            <w:r>
              <w:rPr>
                <w:b/>
                <w:color w:val="auto"/>
                <w:sz w:val="21"/>
                <w:lang w:val="de-DE"/>
              </w:rPr>
              <w:t>水环境影响减缓措施有效性评价</w:t>
            </w:r>
          </w:p>
          <w:p w14:paraId="0F85C195">
            <w:pPr>
              <w:pStyle w:val="29"/>
              <w:spacing w:before="0" w:beforeAutospacing="0" w:after="0" w:afterAutospacing="0" w:line="360" w:lineRule="auto"/>
              <w:ind w:firstLine="420" w:firstLineChars="200"/>
              <w:rPr>
                <w:rFonts w:hint="default" w:ascii="Times New Roman" w:hAnsi="Times New Roman" w:cs="Times New Roman"/>
                <w:color w:val="auto"/>
                <w:sz w:val="21"/>
                <w:lang w:val="de-DE"/>
              </w:rPr>
            </w:pPr>
            <w:r>
              <w:rPr>
                <w:rFonts w:hint="default" w:ascii="Times New Roman" w:hAnsi="Times New Roman" w:cs="Times New Roman"/>
                <w:color w:val="auto"/>
                <w:sz w:val="21"/>
                <w:lang w:val="de-DE"/>
              </w:rPr>
              <w:t>（1）污水处理情况</w:t>
            </w:r>
          </w:p>
          <w:p w14:paraId="2D18F6B1">
            <w:pPr>
              <w:spacing w:line="360" w:lineRule="auto"/>
              <w:ind w:firstLine="420" w:firstLineChars="200"/>
              <w:rPr>
                <w:rFonts w:hint="eastAsia" w:cs="Times New Roman"/>
                <w:color w:val="auto"/>
                <w:lang w:val="en-US" w:eastAsia="zh-CN"/>
              </w:rPr>
            </w:pPr>
            <w:r>
              <w:rPr>
                <w:rFonts w:hint="eastAsia" w:ascii="宋体" w:hAnsi="宋体" w:cs="宋体"/>
                <w:color w:val="auto"/>
                <w:kern w:val="0"/>
              </w:rPr>
              <w:t>本项目产生的废水分质收集、分质处理，</w:t>
            </w:r>
            <w:r>
              <w:rPr>
                <w:rFonts w:hint="eastAsia" w:ascii="宋体" w:hAnsi="宋体"/>
                <w:color w:val="auto"/>
                <w:lang w:val="de-DE"/>
              </w:rPr>
              <w:t>新建</w:t>
            </w:r>
            <w:r>
              <w:rPr>
                <w:rFonts w:hint="eastAsia" w:ascii="宋体" w:hAnsi="宋体"/>
                <w:color w:val="auto"/>
                <w:lang w:val="en-US" w:eastAsia="zh-CN"/>
              </w:rPr>
              <w:t>酸性污水处理站和碱性含油废水</w:t>
            </w:r>
            <w:r>
              <w:rPr>
                <w:rFonts w:hint="eastAsia" w:ascii="宋体" w:hAnsi="宋体"/>
                <w:color w:val="auto"/>
                <w:lang w:val="de-DE"/>
              </w:rPr>
              <w:t>处理站处理，</w:t>
            </w:r>
            <w:r>
              <w:rPr>
                <w:rFonts w:hint="eastAsia" w:cs="Times New Roman"/>
                <w:color w:val="auto"/>
                <w:lang w:val="en-US" w:eastAsia="zh-CN"/>
              </w:rPr>
              <w:t>酸性废水处理站处理规模为20m</w:t>
            </w:r>
            <w:r>
              <w:rPr>
                <w:rFonts w:hint="eastAsia" w:cs="Times New Roman"/>
                <w:color w:val="auto"/>
                <w:vertAlign w:val="superscript"/>
                <w:lang w:val="en-US" w:eastAsia="zh-CN"/>
              </w:rPr>
              <w:t>3</w:t>
            </w:r>
            <w:r>
              <w:rPr>
                <w:rFonts w:hint="eastAsia" w:cs="Times New Roman"/>
                <w:color w:val="auto"/>
                <w:lang w:val="en-US" w:eastAsia="zh-CN"/>
              </w:rPr>
              <w:t>/h，处理工艺为调节+中和+絮凝沉淀</w:t>
            </w:r>
            <w:r>
              <w:rPr>
                <w:rFonts w:hint="eastAsia" w:ascii="宋体" w:hAnsi="宋体" w:cs="宋体"/>
                <w:color w:val="auto"/>
                <w:kern w:val="0"/>
              </w:rPr>
              <w:t>；</w:t>
            </w:r>
            <w:r>
              <w:rPr>
                <w:rFonts w:hint="eastAsia" w:ascii="宋体" w:hAnsi="宋体" w:cs="宋体"/>
                <w:color w:val="auto"/>
                <w:kern w:val="0"/>
                <w:lang w:val="en-US" w:eastAsia="zh-CN"/>
              </w:rPr>
              <w:t>本项目酸性废水及处理后的碱性含油废水量为</w:t>
            </w:r>
            <w:r>
              <w:rPr>
                <w:rFonts w:hint="eastAsia" w:cs="Times New Roman"/>
                <w:color w:val="auto"/>
                <w:kern w:val="0"/>
                <w:lang w:val="en-US" w:eastAsia="zh-CN"/>
              </w:rPr>
              <w:t>13.27</w:t>
            </w:r>
            <w:r>
              <w:rPr>
                <w:rFonts w:hint="default" w:ascii="Times New Roman" w:hAnsi="Times New Roman" w:cs="Times New Roman"/>
                <w:color w:val="auto"/>
                <w:lang w:val="en-US" w:eastAsia="zh-CN"/>
              </w:rPr>
              <w:t>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/h，</w:t>
            </w:r>
            <w:r>
              <w:rPr>
                <w:rFonts w:hint="eastAsia" w:cs="Times New Roman"/>
                <w:color w:val="auto"/>
                <w:lang w:val="en-US" w:eastAsia="zh-CN"/>
              </w:rPr>
              <w:t>可满足要求。</w:t>
            </w:r>
          </w:p>
          <w:p w14:paraId="1DB97427">
            <w:pPr>
              <w:spacing w:line="360" w:lineRule="auto"/>
              <w:ind w:firstLine="420" w:firstLineChars="200"/>
              <w:rPr>
                <w:rFonts w:hint="eastAsia" w:cs="Times New Roman"/>
                <w:color w:val="auto"/>
                <w:lang w:val="en-US" w:eastAsia="zh-CN"/>
              </w:rPr>
            </w:pPr>
            <w:r>
              <w:rPr>
                <w:rFonts w:hint="eastAsia" w:cs="Times New Roman"/>
                <w:color w:val="auto"/>
                <w:lang w:val="en-US" w:eastAsia="zh-CN"/>
              </w:rPr>
              <w:t>酸性废水进入酸性废水调节池，池内设曝气装置，起到预充氧和均合水质的作用。该类废水总体呈酸性，铁离子浓度很高。除铁方法是加氢氧化钠溶液至废水中，将pH提高，曝气充氧，使废水Fe</w:t>
            </w:r>
            <w:r>
              <w:rPr>
                <w:rFonts w:hint="eastAsia" w:cs="Times New Roman"/>
                <w:color w:val="auto"/>
                <w:vertAlign w:val="superscript"/>
                <w:lang w:val="en-US" w:eastAsia="zh-CN"/>
              </w:rPr>
              <w:t>2+</w:t>
            </w:r>
            <w:r>
              <w:rPr>
                <w:rFonts w:hint="eastAsia" w:cs="Times New Roman"/>
                <w:color w:val="auto"/>
                <w:lang w:val="en-US" w:eastAsia="zh-CN"/>
              </w:rPr>
              <w:t>氧化成Fe</w:t>
            </w:r>
            <w:r>
              <w:rPr>
                <w:rFonts w:hint="eastAsia" w:cs="Times New Roman"/>
                <w:color w:val="auto"/>
                <w:vertAlign w:val="superscript"/>
                <w:lang w:val="en-US" w:eastAsia="zh-CN"/>
              </w:rPr>
              <w:t>3+</w:t>
            </w:r>
            <w:r>
              <w:rPr>
                <w:rFonts w:hint="eastAsia" w:cs="Times New Roman"/>
                <w:color w:val="auto"/>
                <w:lang w:val="en-US" w:eastAsia="zh-CN"/>
              </w:rPr>
              <w:t>，并自流进入含酸废水混凝池，在PAM辅助絮凝下形成Fe(OH)</w:t>
            </w:r>
            <w:r>
              <w:rPr>
                <w:rFonts w:hint="eastAsia" w:cs="Times New Roman"/>
                <w:color w:val="auto"/>
                <w:vertAlign w:val="subscript"/>
                <w:lang w:val="en-US" w:eastAsia="zh-CN"/>
              </w:rPr>
              <w:t>3</w:t>
            </w:r>
            <w:r>
              <w:rPr>
                <w:rFonts w:hint="eastAsia" w:cs="Times New Roman"/>
                <w:color w:val="auto"/>
                <w:lang w:val="en-US" w:eastAsia="zh-CN"/>
              </w:rPr>
              <w:t>沉淀，沉淀于含酸废水沉淀池中。</w:t>
            </w:r>
          </w:p>
          <w:p w14:paraId="78A53AF8">
            <w:pPr>
              <w:spacing w:line="360" w:lineRule="auto"/>
              <w:ind w:firstLine="420" w:firstLineChars="200"/>
              <w:rPr>
                <w:rFonts w:hint="eastAsia" w:cs="Times New Roman"/>
                <w:color w:val="auto"/>
                <w:lang w:val="en-US" w:eastAsia="zh-CN"/>
              </w:rPr>
            </w:pPr>
            <w:r>
              <w:rPr>
                <w:rFonts w:hint="eastAsia" w:cs="Times New Roman"/>
                <w:color w:val="auto"/>
                <w:lang w:val="en-US" w:eastAsia="zh-CN"/>
              </w:rPr>
              <w:t>沉淀池上清液出水进入pH回调水池，调节pH至中性后，送入全自动过滤器过滤，去除悬浮物，过滤出水即可达标。</w:t>
            </w:r>
          </w:p>
          <w:p w14:paraId="29051174">
            <w:pPr>
              <w:spacing w:line="360" w:lineRule="auto"/>
              <w:ind w:firstLine="420" w:firstLineChars="200"/>
              <w:rPr>
                <w:rFonts w:hint="eastAsia" w:cs="Times New Roman"/>
                <w:color w:val="auto"/>
                <w:lang w:val="en-US" w:eastAsia="zh-CN"/>
              </w:rPr>
            </w:pPr>
            <w:r>
              <w:rPr>
                <w:rFonts w:hint="eastAsia" w:cs="Times New Roman"/>
                <w:color w:val="auto"/>
                <w:lang w:val="en-US" w:eastAsia="zh-CN"/>
              </w:rPr>
              <w:t>碱性含油废水处理站处理，处理规模为18m</w:t>
            </w:r>
            <w:r>
              <w:rPr>
                <w:rFonts w:hint="eastAsia" w:cs="Times New Roman"/>
                <w:color w:val="auto"/>
                <w:vertAlign w:val="superscript"/>
                <w:lang w:val="en-US" w:eastAsia="zh-CN"/>
              </w:rPr>
              <w:t>3</w:t>
            </w:r>
            <w:r>
              <w:rPr>
                <w:rFonts w:hint="eastAsia" w:cs="Times New Roman"/>
                <w:color w:val="auto"/>
                <w:lang w:val="en-US" w:eastAsia="zh-CN"/>
              </w:rPr>
              <w:t>/h，处理工艺为：碱洗工序废水先进行隔油预处理后再与碱洗后水洗废水、碱性废气洗涤塔排水进行调节+中和+絮凝沉淀+MBR接触氧化。本项目碱性废水产生量为3.96m</w:t>
            </w:r>
            <w:r>
              <w:rPr>
                <w:rFonts w:hint="eastAsia" w:cs="Times New Roman"/>
                <w:color w:val="auto"/>
                <w:vertAlign w:val="superscript"/>
                <w:lang w:val="en-US" w:eastAsia="zh-CN"/>
              </w:rPr>
              <w:t>3</w:t>
            </w:r>
            <w:r>
              <w:rPr>
                <w:rFonts w:hint="eastAsia" w:cs="Times New Roman"/>
                <w:color w:val="auto"/>
                <w:lang w:val="en-US" w:eastAsia="zh-CN"/>
              </w:rPr>
              <w:t>/h，可满足要求。</w:t>
            </w:r>
          </w:p>
          <w:p w14:paraId="03594FEA">
            <w:pPr>
              <w:spacing w:line="360" w:lineRule="auto"/>
              <w:ind w:firstLine="420" w:firstLineChars="200"/>
              <w:rPr>
                <w:rFonts w:hint="eastAsia" w:cs="Times New Roman"/>
                <w:color w:val="auto"/>
                <w:lang w:val="en-US" w:eastAsia="zh-CN"/>
              </w:rPr>
            </w:pPr>
            <w:r>
              <w:rPr>
                <w:rFonts w:hint="eastAsia" w:cs="Times New Roman"/>
                <w:color w:val="auto"/>
                <w:lang w:val="en-US" w:eastAsia="zh-CN"/>
              </w:rPr>
              <w:t>该股废水水量虽不大，但石油类、COD、SS浓度高。所以设计时考虑将乳化液废水排入乳化液废水储存池，之后定量提升至隔油池。</w:t>
            </w:r>
          </w:p>
          <w:p w14:paraId="27012167">
            <w:pPr>
              <w:spacing w:line="360" w:lineRule="auto"/>
              <w:ind w:firstLine="420" w:firstLineChars="200"/>
              <w:rPr>
                <w:rFonts w:hint="eastAsia" w:cs="Times New Roman"/>
                <w:color w:val="auto"/>
                <w:lang w:val="en-US" w:eastAsia="zh-CN"/>
              </w:rPr>
            </w:pPr>
            <w:r>
              <w:rPr>
                <w:rFonts w:hint="eastAsia" w:cs="Times New Roman"/>
                <w:color w:val="auto"/>
                <w:lang w:val="en-US" w:eastAsia="zh-CN"/>
              </w:rPr>
              <w:t>隔油池采用蒸汽加热管进行加热，此时油水通过静置分层，浮油经集油装置收集处理，下层水用泵提升至乳化液废水处理装置进行油水分离。通过一整套处理工艺流程,可使乳化液废水的COD浓度大大降低，减轻后序处理负荷，处理后的的上清液自流进入含油废水地坑，用泵送入含油废水调节池处理。碱性废水和经预处理后的乳化液废水合并，先在碱性废水调节池内调节水质水量后，提升至中和池进行中和，之后在混凝池投加PAC和PAM形成絮状物，进入初沉池进行初步固液分离。上层清液自流进废水除油反应装置。</w:t>
            </w:r>
          </w:p>
          <w:p w14:paraId="71B53AC7">
            <w:pPr>
              <w:spacing w:line="360" w:lineRule="auto"/>
              <w:ind w:firstLine="420" w:firstLineChars="200"/>
              <w:rPr>
                <w:rFonts w:hint="default" w:cs="Times New Roman"/>
                <w:color w:val="auto"/>
                <w:lang w:val="en-US" w:eastAsia="zh-CN"/>
              </w:rPr>
            </w:pPr>
            <w:r>
              <w:rPr>
                <w:rFonts w:hint="eastAsia" w:cs="Times New Roman"/>
                <w:color w:val="auto"/>
                <w:lang w:val="en-US" w:eastAsia="zh-CN"/>
              </w:rPr>
              <w:t>废水经除油反应装置去除大部分浮油及悬浮物后进入后序生物处理系统处理。生化处理是冷轧废水处理的核心，污水通过和生化池内形成的生物膜接触反应，能有效将有机物、乳化状油脂及表面活性剂降解成二氧化碳和水。生化处理后的废水进入含酸废水混凝池，与酸性废水合并处理。使用生物法处理废水的主要优点如下：处理工艺简单、对来水水质变化的适应能力强、出水水质稳定、管理方便。</w:t>
            </w:r>
          </w:p>
          <w:p w14:paraId="563A07C0">
            <w:pPr>
              <w:adjustRightInd w:val="0"/>
              <w:spacing w:line="360" w:lineRule="auto"/>
              <w:ind w:firstLine="482" w:firstLineChars="200"/>
              <w:rPr>
                <w:rFonts w:hint="eastAsia" w:ascii="宋体" w:hAnsi="宋体"/>
                <w:b/>
                <w:color w:val="auto"/>
                <w:lang w:val="de-DE"/>
              </w:rPr>
            </w:pPr>
            <w:r>
              <w:rPr>
                <w:rFonts w:hint="eastAsia" w:ascii="宋体" w:hAnsi="宋体"/>
                <w:b/>
                <w:color w:val="auto"/>
                <w:sz w:val="24"/>
                <w:lang w:val="de-DE"/>
              </w:rPr>
              <w:t>3、</w:t>
            </w:r>
            <w:r>
              <w:rPr>
                <w:rFonts w:hint="eastAsia" w:ascii="宋体" w:hAnsi="宋体"/>
                <w:b/>
                <w:color w:val="auto"/>
                <w:lang w:val="de-DE"/>
              </w:rPr>
              <w:t>废水排放情况</w:t>
            </w:r>
          </w:p>
          <w:p w14:paraId="12F02E21">
            <w:pPr>
              <w:adjustRightInd w:val="0"/>
              <w:spacing w:line="360" w:lineRule="auto"/>
              <w:ind w:firstLine="420" w:firstLineChars="200"/>
              <w:rPr>
                <w:rFonts w:hint="eastAsia"/>
                <w:color w:val="auto"/>
                <w:lang w:val="de-DE"/>
              </w:rPr>
            </w:pPr>
            <w:r>
              <w:rPr>
                <w:rFonts w:hint="eastAsia" w:ascii="宋体" w:hAnsi="宋体"/>
                <w:color w:val="auto"/>
                <w:lang w:val="de-DE"/>
              </w:rPr>
              <w:t>本项目污水站</w:t>
            </w:r>
            <w:r>
              <w:rPr>
                <w:rFonts w:hint="eastAsia" w:ascii="宋体" w:hAnsi="宋体"/>
                <w:color w:val="auto"/>
                <w:lang w:val="en-US" w:eastAsia="zh-CN"/>
              </w:rPr>
              <w:t>处理站</w:t>
            </w:r>
            <w:r>
              <w:rPr>
                <w:rFonts w:hint="eastAsia" w:ascii="宋体" w:hAnsi="宋体"/>
                <w:color w:val="auto"/>
                <w:lang w:val="de-DE"/>
              </w:rPr>
              <w:t>出水和</w:t>
            </w:r>
            <w:r>
              <w:rPr>
                <w:rFonts w:hint="eastAsia" w:ascii="宋体" w:hAnsi="宋体"/>
                <w:color w:val="auto"/>
                <w:lang w:val="en-US" w:eastAsia="zh-CN"/>
              </w:rPr>
              <w:t>其他废水</w:t>
            </w:r>
            <w:r>
              <w:rPr>
                <w:rFonts w:hint="eastAsia"/>
                <w:color w:val="auto"/>
                <w:lang w:val="de-DE"/>
              </w:rPr>
              <w:t>混合后外排入昌吉高新海天污水处理厂</w:t>
            </w:r>
            <w:r>
              <w:rPr>
                <w:rFonts w:hint="eastAsia"/>
                <w:color w:val="auto"/>
                <w:lang w:val="en-US" w:eastAsia="zh-CN"/>
              </w:rPr>
              <w:t>进一步处理</w:t>
            </w:r>
            <w:r>
              <w:rPr>
                <w:rFonts w:hint="eastAsia"/>
                <w:color w:val="auto"/>
                <w:lang w:val="de-DE" w:eastAsia="zh-CN"/>
              </w:rPr>
              <w:t>，</w:t>
            </w:r>
            <w:r>
              <w:rPr>
                <w:rFonts w:hint="eastAsia"/>
                <w:color w:val="auto"/>
                <w:lang w:val="de-DE"/>
              </w:rPr>
              <w:t>厂区总排口出水水质见下表。</w:t>
            </w:r>
          </w:p>
          <w:p w14:paraId="45B4D08E">
            <w:pPr>
              <w:spacing w:line="360" w:lineRule="auto"/>
              <w:jc w:val="center"/>
              <w:rPr>
                <w:rFonts w:ascii="黑体" w:hAnsi="黑体" w:eastAsia="黑体"/>
                <w:color w:val="auto"/>
                <w:sz w:val="24"/>
              </w:rPr>
            </w:pPr>
            <w:r>
              <w:rPr>
                <w:rFonts w:hint="default" w:ascii="Times New Roman" w:hAnsi="Times New Roman" w:eastAsia="黑体" w:cs="Times New Roman"/>
                <w:color w:val="auto"/>
              </w:rPr>
              <w:t>表</w:t>
            </w:r>
            <w:r>
              <w:rPr>
                <w:rFonts w:hint="default" w:ascii="Times New Roman" w:hAnsi="Times New Roman" w:eastAsia="黑体" w:cs="Times New Roman"/>
                <w:color w:val="auto"/>
                <w:lang w:val="en-US" w:eastAsia="zh-CN"/>
              </w:rPr>
              <w:t xml:space="preserve">4-17 </w:t>
            </w:r>
            <w:r>
              <w:rPr>
                <w:rFonts w:hint="default" w:ascii="Times New Roman" w:hAnsi="Times New Roman" w:eastAsia="黑体" w:cs="Times New Roman"/>
                <w:color w:val="auto"/>
              </w:rPr>
              <w:t xml:space="preserve"> 拟建</w:t>
            </w:r>
            <w:r>
              <w:rPr>
                <w:rFonts w:hint="eastAsia" w:ascii="黑体" w:hAnsi="黑体" w:eastAsia="黑体"/>
                <w:color w:val="auto"/>
              </w:rPr>
              <w:t>项目废水排放情况一览表</w:t>
            </w:r>
          </w:p>
          <w:tbl>
            <w:tblPr>
              <w:tblStyle w:val="33"/>
              <w:tblW w:w="0" w:type="auto"/>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41"/>
              <w:gridCol w:w="981"/>
              <w:gridCol w:w="861"/>
              <w:gridCol w:w="685"/>
              <w:gridCol w:w="781"/>
              <w:gridCol w:w="855"/>
              <w:gridCol w:w="994"/>
              <w:gridCol w:w="804"/>
            </w:tblGrid>
            <w:tr w14:paraId="0923EC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85" w:hRule="atLeast"/>
              </w:trPr>
              <w:tc>
                <w:tcPr>
                  <w:tcW w:w="0" w:type="auto"/>
                  <w:vMerge w:val="restart"/>
                  <w:tcBorders>
                    <w:tl2br w:val="nil"/>
                    <w:tr2bl w:val="nil"/>
                  </w:tcBorders>
                  <w:noWrap w:val="0"/>
                  <w:vAlign w:val="center"/>
                </w:tcPr>
                <w:p w14:paraId="130F1B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废水种类</w:t>
                  </w:r>
                </w:p>
              </w:tc>
              <w:tc>
                <w:tcPr>
                  <w:tcW w:w="0" w:type="auto"/>
                  <w:vMerge w:val="restart"/>
                  <w:tcBorders>
                    <w:tl2br w:val="nil"/>
                    <w:tr2bl w:val="nil"/>
                  </w:tcBorders>
                  <w:noWrap w:val="0"/>
                  <w:vAlign w:val="center"/>
                </w:tcPr>
                <w:p w14:paraId="1178372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排水量</w:t>
                  </w:r>
                </w:p>
                <w:p w14:paraId="5E3B56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/a</w:t>
                  </w:r>
                </w:p>
              </w:tc>
              <w:tc>
                <w:tcPr>
                  <w:tcW w:w="0" w:type="auto"/>
                  <w:vMerge w:val="restart"/>
                  <w:tcBorders>
                    <w:tl2br w:val="nil"/>
                    <w:tr2bl w:val="nil"/>
                  </w:tcBorders>
                  <w:noWrap w:val="0"/>
                  <w:vAlign w:val="center"/>
                </w:tcPr>
                <w:p w14:paraId="7E14BF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排放方式</w:t>
                  </w:r>
                </w:p>
              </w:tc>
              <w:tc>
                <w:tcPr>
                  <w:tcW w:w="0" w:type="auto"/>
                  <w:gridSpan w:val="5"/>
                  <w:tcBorders>
                    <w:tl2br w:val="nil"/>
                    <w:tr2bl w:val="nil"/>
                  </w:tcBorders>
                  <w:noWrap w:val="0"/>
                  <w:vAlign w:val="center"/>
                </w:tcPr>
                <w:p w14:paraId="4E5D9C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污染物</w:t>
                  </w:r>
                  <w:r>
                    <w:rPr>
                      <w:rFonts w:hint="default" w:ascii="Times New Roman" w:hAnsi="Times New Roman" w:cs="Times New Roman"/>
                      <w:color w:val="auto"/>
                      <w:kern w:val="0"/>
                      <w:sz w:val="18"/>
                      <w:szCs w:val="18"/>
                      <w:lang w:val="en-US" w:eastAsia="zh-CN"/>
                    </w:rPr>
                    <w:t>排放</w:t>
                  </w:r>
                  <w:r>
                    <w:rPr>
                      <w:rFonts w:hint="default" w:ascii="Times New Roman" w:hAnsi="Times New Roman" w:cs="Times New Roman"/>
                      <w:color w:val="auto"/>
                      <w:kern w:val="0"/>
                      <w:sz w:val="18"/>
                      <w:szCs w:val="18"/>
                    </w:rPr>
                    <w:t>情况</w:t>
                  </w:r>
                </w:p>
              </w:tc>
            </w:tr>
            <w:tr w14:paraId="328B20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0" w:type="auto"/>
                  <w:vMerge w:val="continue"/>
                  <w:tcBorders>
                    <w:tl2br w:val="nil"/>
                    <w:tr2bl w:val="nil"/>
                  </w:tcBorders>
                  <w:noWrap w:val="0"/>
                  <w:vAlign w:val="center"/>
                </w:tcPr>
                <w:p w14:paraId="6B8D6B4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rPr>
                  </w:pPr>
                </w:p>
              </w:tc>
              <w:tc>
                <w:tcPr>
                  <w:tcW w:w="0" w:type="auto"/>
                  <w:vMerge w:val="continue"/>
                  <w:tcBorders>
                    <w:tl2br w:val="nil"/>
                    <w:tr2bl w:val="nil"/>
                  </w:tcBorders>
                  <w:noWrap w:val="0"/>
                  <w:vAlign w:val="center"/>
                </w:tcPr>
                <w:p w14:paraId="3BAF1F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rPr>
                  </w:pPr>
                </w:p>
              </w:tc>
              <w:tc>
                <w:tcPr>
                  <w:tcW w:w="0" w:type="auto"/>
                  <w:vMerge w:val="continue"/>
                  <w:tcBorders>
                    <w:tl2br w:val="nil"/>
                    <w:tr2bl w:val="nil"/>
                  </w:tcBorders>
                  <w:noWrap w:val="0"/>
                  <w:vAlign w:val="center"/>
                </w:tcPr>
                <w:p w14:paraId="3700B43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rPr>
                  </w:pPr>
                </w:p>
              </w:tc>
              <w:tc>
                <w:tcPr>
                  <w:tcW w:w="0" w:type="auto"/>
                  <w:tcBorders>
                    <w:tl2br w:val="nil"/>
                    <w:tr2bl w:val="nil"/>
                  </w:tcBorders>
                  <w:noWrap w:val="0"/>
                  <w:vAlign w:val="center"/>
                </w:tcPr>
                <w:p w14:paraId="0AE533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污染因子</w:t>
                  </w:r>
                </w:p>
              </w:tc>
              <w:tc>
                <w:tcPr>
                  <w:tcW w:w="0" w:type="auto"/>
                  <w:tcBorders>
                    <w:tl2br w:val="nil"/>
                    <w:tr2bl w:val="nil"/>
                  </w:tcBorders>
                  <w:noWrap w:val="0"/>
                  <w:vAlign w:val="center"/>
                </w:tcPr>
                <w:p w14:paraId="42515D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排放量t/a</w:t>
                  </w:r>
                </w:p>
              </w:tc>
              <w:tc>
                <w:tcPr>
                  <w:tcW w:w="0" w:type="auto"/>
                  <w:tcBorders>
                    <w:tl2br w:val="nil"/>
                    <w:tr2bl w:val="nil"/>
                  </w:tcBorders>
                  <w:noWrap w:val="0"/>
                  <w:vAlign w:val="center"/>
                </w:tcPr>
                <w:p w14:paraId="369429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浓度mg/L</w:t>
                  </w:r>
                </w:p>
              </w:tc>
              <w:tc>
                <w:tcPr>
                  <w:tcW w:w="0" w:type="auto"/>
                  <w:tcBorders>
                    <w:tl2br w:val="nil"/>
                    <w:tr2bl w:val="nil"/>
                  </w:tcBorders>
                  <w:noWrap w:val="0"/>
                  <w:vAlign w:val="center"/>
                </w:tcPr>
                <w:p w14:paraId="3FDBB8C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lang w:val="en-US" w:eastAsia="zh-CN"/>
                    </w:rPr>
                  </w:pPr>
                  <w:r>
                    <w:rPr>
                      <w:rFonts w:hint="eastAsia" w:cs="Times New Roman"/>
                      <w:color w:val="auto"/>
                      <w:kern w:val="0"/>
                      <w:sz w:val="18"/>
                      <w:szCs w:val="18"/>
                      <w:lang w:val="en-US" w:eastAsia="zh-CN"/>
                    </w:rPr>
                    <w:t>折算后浓度</w:t>
                  </w:r>
                  <w:r>
                    <w:rPr>
                      <w:rFonts w:hint="default" w:ascii="Times New Roman" w:hAnsi="Times New Roman" w:cs="Times New Roman"/>
                      <w:color w:val="auto"/>
                      <w:kern w:val="0"/>
                      <w:sz w:val="18"/>
                      <w:szCs w:val="18"/>
                    </w:rPr>
                    <w:t>mg/L</w:t>
                  </w:r>
                </w:p>
              </w:tc>
              <w:tc>
                <w:tcPr>
                  <w:tcW w:w="0" w:type="auto"/>
                  <w:tcBorders>
                    <w:tl2br w:val="nil"/>
                    <w:tr2bl w:val="nil"/>
                  </w:tcBorders>
                  <w:noWrap w:val="0"/>
                  <w:vAlign w:val="center"/>
                </w:tcPr>
                <w:p w14:paraId="273174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kern w:val="0"/>
                      <w:sz w:val="18"/>
                      <w:szCs w:val="18"/>
                      <w:lang w:val="en-US" w:eastAsia="zh-CN"/>
                    </w:rPr>
                  </w:pPr>
                  <w:r>
                    <w:rPr>
                      <w:rFonts w:hint="eastAsia" w:cs="Times New Roman"/>
                      <w:color w:val="auto"/>
                      <w:kern w:val="0"/>
                      <w:sz w:val="18"/>
                      <w:szCs w:val="18"/>
                      <w:lang w:val="en-US" w:eastAsia="zh-CN"/>
                    </w:rPr>
                    <w:t>排放标准</w:t>
                  </w:r>
                  <w:r>
                    <w:rPr>
                      <w:rFonts w:hint="default" w:ascii="Times New Roman" w:hAnsi="Times New Roman" w:cs="Times New Roman"/>
                      <w:color w:val="auto"/>
                      <w:kern w:val="0"/>
                      <w:sz w:val="18"/>
                      <w:szCs w:val="18"/>
                    </w:rPr>
                    <w:t>mg/L</w:t>
                  </w:r>
                </w:p>
              </w:tc>
            </w:tr>
            <w:tr w14:paraId="003978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0" w:type="auto"/>
                  <w:vMerge w:val="restart"/>
                  <w:tcBorders>
                    <w:tl2br w:val="nil"/>
                    <w:tr2bl w:val="nil"/>
                  </w:tcBorders>
                  <w:noWrap w:val="0"/>
                  <w:vAlign w:val="center"/>
                </w:tcPr>
                <w:p w14:paraId="154C686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lang w:val="en-US" w:eastAsia="zh-CN"/>
                    </w:rPr>
                    <w:t>酸性废水处理站出水、</w:t>
                  </w:r>
                  <w:r>
                    <w:rPr>
                      <w:rFonts w:hint="default" w:ascii="Times New Roman" w:hAnsi="Times New Roman" w:cs="Times New Roman"/>
                      <w:color w:val="auto"/>
                      <w:sz w:val="18"/>
                      <w:szCs w:val="18"/>
                    </w:rPr>
                    <w:t>锅炉排污水、</w:t>
                  </w:r>
                  <w:r>
                    <w:rPr>
                      <w:rFonts w:hint="default" w:ascii="Times New Roman" w:hAnsi="Times New Roman" w:cs="Times New Roman"/>
                      <w:color w:val="auto"/>
                      <w:sz w:val="18"/>
                      <w:szCs w:val="18"/>
                      <w:lang w:val="en-US" w:eastAsia="zh-CN"/>
                    </w:rPr>
                    <w:t>脱盐水</w:t>
                  </w:r>
                  <w:r>
                    <w:rPr>
                      <w:rFonts w:hint="default" w:ascii="Times New Roman" w:hAnsi="Times New Roman" w:cs="Times New Roman"/>
                      <w:color w:val="auto"/>
                      <w:sz w:val="18"/>
                      <w:szCs w:val="18"/>
                    </w:rPr>
                    <w:t>制备系统排水</w:t>
                  </w:r>
                  <w:r>
                    <w:rPr>
                      <w:rFonts w:hint="default" w:ascii="Times New Roman" w:hAnsi="Times New Roman" w:cs="Times New Roman"/>
                      <w:color w:val="auto"/>
                      <w:sz w:val="18"/>
                      <w:szCs w:val="18"/>
                      <w:lang w:val="en-US" w:eastAsia="zh-CN"/>
                    </w:rPr>
                    <w:t>、净循环水系统排污水</w:t>
                  </w:r>
                  <w:r>
                    <w:rPr>
                      <w:rFonts w:hint="default" w:ascii="Times New Roman" w:hAnsi="Times New Roman" w:cs="Times New Roman"/>
                      <w:color w:val="auto"/>
                      <w:sz w:val="18"/>
                      <w:szCs w:val="18"/>
                    </w:rPr>
                    <w:t>及生活污水</w:t>
                  </w:r>
                </w:p>
              </w:tc>
              <w:tc>
                <w:tcPr>
                  <w:tcW w:w="0" w:type="auto"/>
                  <w:vMerge w:val="restart"/>
                  <w:tcBorders>
                    <w:tl2br w:val="nil"/>
                    <w:tr2bl w:val="nil"/>
                  </w:tcBorders>
                  <w:noWrap w:val="0"/>
                  <w:vAlign w:val="center"/>
                </w:tcPr>
                <w:p w14:paraId="7DF6E7E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lang w:val="en-US" w:eastAsia="zh-CN"/>
                    </w:rPr>
                  </w:pPr>
                  <w:r>
                    <w:rPr>
                      <w:rFonts w:hint="eastAsia"/>
                      <w:color w:val="auto"/>
                      <w:sz w:val="18"/>
                      <w:szCs w:val="18"/>
                      <w:lang w:val="en-US" w:eastAsia="zh-CN"/>
                    </w:rPr>
                    <w:t>288583.13</w:t>
                  </w:r>
                </w:p>
              </w:tc>
              <w:tc>
                <w:tcPr>
                  <w:tcW w:w="0" w:type="auto"/>
                  <w:vMerge w:val="restart"/>
                  <w:tcBorders>
                    <w:tl2br w:val="nil"/>
                    <w:tr2bl w:val="nil"/>
                  </w:tcBorders>
                  <w:noWrap w:val="0"/>
                  <w:vAlign w:val="center"/>
                </w:tcPr>
                <w:p w14:paraId="7F97FF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间接排放至园区污水管网</w:t>
                  </w:r>
                </w:p>
              </w:tc>
              <w:tc>
                <w:tcPr>
                  <w:tcW w:w="0" w:type="auto"/>
                  <w:tcBorders>
                    <w:tl2br w:val="nil"/>
                    <w:tr2bl w:val="nil"/>
                  </w:tcBorders>
                  <w:shd w:val="clear" w:color="auto" w:fill="auto"/>
                  <w:noWrap w:val="0"/>
                  <w:vAlign w:val="center"/>
                </w:tcPr>
                <w:p w14:paraId="29A8DC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COD</w:t>
                  </w:r>
                </w:p>
              </w:tc>
              <w:tc>
                <w:tcPr>
                  <w:tcW w:w="781" w:type="dxa"/>
                  <w:tcBorders>
                    <w:tl2br w:val="nil"/>
                    <w:tr2bl w:val="nil"/>
                  </w:tcBorders>
                  <w:noWrap w:val="0"/>
                  <w:vAlign w:val="center"/>
                </w:tcPr>
                <w:p w14:paraId="461B26F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17.06</w:t>
                  </w:r>
                </w:p>
              </w:tc>
              <w:tc>
                <w:tcPr>
                  <w:tcW w:w="855" w:type="dxa"/>
                  <w:tcBorders>
                    <w:tl2br w:val="nil"/>
                    <w:tr2bl w:val="nil"/>
                  </w:tcBorders>
                  <w:noWrap w:val="0"/>
                  <w:vAlign w:val="center"/>
                </w:tcPr>
                <w:p w14:paraId="54E03E9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59.12</w:t>
                  </w:r>
                </w:p>
              </w:tc>
              <w:tc>
                <w:tcPr>
                  <w:tcW w:w="994" w:type="dxa"/>
                  <w:tcBorders>
                    <w:tl2br w:val="nil"/>
                    <w:tr2bl w:val="nil"/>
                  </w:tcBorders>
                  <w:noWrap w:val="0"/>
                  <w:vAlign w:val="center"/>
                </w:tcPr>
                <w:p w14:paraId="599293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96.96</w:t>
                  </w:r>
                </w:p>
              </w:tc>
              <w:tc>
                <w:tcPr>
                  <w:tcW w:w="0" w:type="auto"/>
                  <w:tcBorders>
                    <w:tl2br w:val="nil"/>
                    <w:tr2bl w:val="nil"/>
                  </w:tcBorders>
                  <w:noWrap w:val="0"/>
                  <w:vAlign w:val="center"/>
                </w:tcPr>
                <w:p w14:paraId="7BA78C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eastAsia" w:ascii="Times New Roman" w:hAnsi="Times New Roman" w:eastAsia="宋体" w:cs="Times New Roman"/>
                      <w:color w:val="auto"/>
                      <w:kern w:val="0"/>
                      <w:sz w:val="18"/>
                      <w:szCs w:val="18"/>
                      <w:lang w:val="en-US" w:eastAsia="zh-CN" w:bidi="ar-SA"/>
                    </w:rPr>
                    <w:t>200</w:t>
                  </w:r>
                </w:p>
              </w:tc>
            </w:tr>
            <w:tr w14:paraId="7EB6A3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0" w:type="auto"/>
                  <w:vMerge w:val="continue"/>
                  <w:tcBorders>
                    <w:tl2br w:val="nil"/>
                    <w:tr2bl w:val="nil"/>
                  </w:tcBorders>
                  <w:noWrap w:val="0"/>
                  <w:vAlign w:val="center"/>
                </w:tcPr>
                <w:p w14:paraId="67DEFEB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rPr>
                  </w:pPr>
                </w:p>
              </w:tc>
              <w:tc>
                <w:tcPr>
                  <w:tcW w:w="0" w:type="auto"/>
                  <w:vMerge w:val="continue"/>
                  <w:tcBorders>
                    <w:tl2br w:val="nil"/>
                    <w:tr2bl w:val="nil"/>
                  </w:tcBorders>
                  <w:noWrap w:val="0"/>
                  <w:vAlign w:val="center"/>
                </w:tcPr>
                <w:p w14:paraId="3D9FBF7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rPr>
                  </w:pPr>
                </w:p>
              </w:tc>
              <w:tc>
                <w:tcPr>
                  <w:tcW w:w="0" w:type="auto"/>
                  <w:vMerge w:val="continue"/>
                  <w:tcBorders>
                    <w:tl2br w:val="nil"/>
                    <w:tr2bl w:val="nil"/>
                  </w:tcBorders>
                  <w:noWrap w:val="0"/>
                  <w:vAlign w:val="center"/>
                </w:tcPr>
                <w:p w14:paraId="683F71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rPr>
                  </w:pPr>
                </w:p>
              </w:tc>
              <w:tc>
                <w:tcPr>
                  <w:tcW w:w="0" w:type="auto"/>
                  <w:tcBorders>
                    <w:tl2br w:val="nil"/>
                    <w:tr2bl w:val="nil"/>
                  </w:tcBorders>
                  <w:shd w:val="clear" w:color="auto" w:fill="auto"/>
                  <w:noWrap w:val="0"/>
                  <w:vAlign w:val="center"/>
                </w:tcPr>
                <w:p w14:paraId="0680D17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SS</w:t>
                  </w:r>
                </w:p>
              </w:tc>
              <w:tc>
                <w:tcPr>
                  <w:tcW w:w="781" w:type="dxa"/>
                  <w:tcBorders>
                    <w:tl2br w:val="nil"/>
                    <w:tr2bl w:val="nil"/>
                  </w:tcBorders>
                  <w:noWrap w:val="0"/>
                  <w:vAlign w:val="center"/>
                </w:tcPr>
                <w:p w14:paraId="7F26D40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3.52</w:t>
                  </w:r>
                </w:p>
              </w:tc>
              <w:tc>
                <w:tcPr>
                  <w:tcW w:w="855" w:type="dxa"/>
                  <w:tcBorders>
                    <w:tl2br w:val="nil"/>
                    <w:tr2bl w:val="nil"/>
                  </w:tcBorders>
                  <w:noWrap w:val="0"/>
                  <w:vAlign w:val="center"/>
                </w:tcPr>
                <w:p w14:paraId="2F897E7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12.19</w:t>
                  </w:r>
                </w:p>
              </w:tc>
              <w:tc>
                <w:tcPr>
                  <w:tcW w:w="994" w:type="dxa"/>
                  <w:tcBorders>
                    <w:tl2br w:val="nil"/>
                    <w:tr2bl w:val="nil"/>
                  </w:tcBorders>
                  <w:noWrap w:val="0"/>
                  <w:vAlign w:val="center"/>
                </w:tcPr>
                <w:p w14:paraId="04714F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19.99</w:t>
                  </w:r>
                </w:p>
              </w:tc>
              <w:tc>
                <w:tcPr>
                  <w:tcW w:w="0" w:type="auto"/>
                  <w:tcBorders>
                    <w:tl2br w:val="nil"/>
                    <w:tr2bl w:val="nil"/>
                  </w:tcBorders>
                  <w:noWrap w:val="0"/>
                  <w:vAlign w:val="center"/>
                </w:tcPr>
                <w:p w14:paraId="6972B8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eastAsia" w:ascii="Times New Roman" w:hAnsi="Times New Roman" w:eastAsia="宋体" w:cs="Times New Roman"/>
                      <w:color w:val="auto"/>
                      <w:kern w:val="0"/>
                      <w:sz w:val="18"/>
                      <w:szCs w:val="18"/>
                      <w:lang w:val="en-US" w:eastAsia="zh-CN" w:bidi="ar-SA"/>
                    </w:rPr>
                    <w:t>30</w:t>
                  </w:r>
                </w:p>
              </w:tc>
            </w:tr>
            <w:tr w14:paraId="18B1B7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0" w:type="auto"/>
                  <w:vMerge w:val="continue"/>
                  <w:tcBorders>
                    <w:tl2br w:val="nil"/>
                    <w:tr2bl w:val="nil"/>
                  </w:tcBorders>
                  <w:shd w:val="clear" w:color="auto" w:fill="auto"/>
                  <w:noWrap w:val="0"/>
                  <w:vAlign w:val="center"/>
                </w:tcPr>
                <w:p w14:paraId="34E8820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rPr>
                  </w:pPr>
                </w:p>
              </w:tc>
              <w:tc>
                <w:tcPr>
                  <w:tcW w:w="0" w:type="auto"/>
                  <w:vMerge w:val="continue"/>
                  <w:tcBorders>
                    <w:tl2br w:val="nil"/>
                    <w:tr2bl w:val="nil"/>
                  </w:tcBorders>
                  <w:shd w:val="clear" w:color="auto" w:fill="auto"/>
                  <w:noWrap w:val="0"/>
                  <w:vAlign w:val="center"/>
                </w:tcPr>
                <w:p w14:paraId="218BC74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rPr>
                  </w:pPr>
                </w:p>
              </w:tc>
              <w:tc>
                <w:tcPr>
                  <w:tcW w:w="0" w:type="auto"/>
                  <w:vMerge w:val="continue"/>
                  <w:tcBorders>
                    <w:tl2br w:val="nil"/>
                    <w:tr2bl w:val="nil"/>
                  </w:tcBorders>
                  <w:shd w:val="clear" w:color="auto" w:fill="auto"/>
                  <w:noWrap w:val="0"/>
                  <w:vAlign w:val="center"/>
                </w:tcPr>
                <w:p w14:paraId="39A0D27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rPr>
                  </w:pPr>
                </w:p>
              </w:tc>
              <w:tc>
                <w:tcPr>
                  <w:tcW w:w="0" w:type="auto"/>
                  <w:tcBorders>
                    <w:tl2br w:val="nil"/>
                    <w:tr2bl w:val="nil"/>
                  </w:tcBorders>
                  <w:shd w:val="clear" w:color="auto" w:fill="auto"/>
                  <w:noWrap w:val="0"/>
                  <w:vAlign w:val="center"/>
                </w:tcPr>
                <w:p w14:paraId="6C59A9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pH</w:t>
                  </w:r>
                </w:p>
              </w:tc>
              <w:tc>
                <w:tcPr>
                  <w:tcW w:w="781" w:type="dxa"/>
                  <w:tcBorders>
                    <w:tl2br w:val="nil"/>
                    <w:tr2bl w:val="nil"/>
                  </w:tcBorders>
                  <w:shd w:val="clear" w:color="auto" w:fill="auto"/>
                  <w:noWrap w:val="0"/>
                  <w:vAlign w:val="center"/>
                </w:tcPr>
                <w:p w14:paraId="422C06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lang w:val="en-US" w:eastAsia="zh-CN"/>
                    </w:rPr>
                  </w:pPr>
                  <w:r>
                    <w:rPr>
                      <w:rFonts w:hint="eastAsia" w:cs="Times New Roman"/>
                      <w:color w:val="auto"/>
                      <w:kern w:val="0"/>
                      <w:sz w:val="18"/>
                      <w:szCs w:val="18"/>
                      <w:lang w:val="en-US" w:eastAsia="zh-CN" w:bidi="ar-SA"/>
                    </w:rPr>
                    <w:t>/</w:t>
                  </w:r>
                </w:p>
              </w:tc>
              <w:tc>
                <w:tcPr>
                  <w:tcW w:w="855" w:type="dxa"/>
                  <w:tcBorders>
                    <w:tl2br w:val="nil"/>
                    <w:tr2bl w:val="nil"/>
                  </w:tcBorders>
                  <w:shd w:val="clear" w:color="auto" w:fill="auto"/>
                  <w:noWrap w:val="0"/>
                  <w:vAlign w:val="center"/>
                </w:tcPr>
                <w:p w14:paraId="0706085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bidi="ar-SA"/>
                    </w:rPr>
                    <w:t>6~9</w:t>
                  </w:r>
                </w:p>
              </w:tc>
              <w:tc>
                <w:tcPr>
                  <w:tcW w:w="994" w:type="dxa"/>
                  <w:tcBorders>
                    <w:tl2br w:val="nil"/>
                    <w:tr2bl w:val="nil"/>
                  </w:tcBorders>
                  <w:shd w:val="clear" w:color="auto" w:fill="auto"/>
                  <w:noWrap w:val="0"/>
                  <w:vAlign w:val="center"/>
                </w:tcPr>
                <w:p w14:paraId="0FAF64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bidi="ar-SA"/>
                    </w:rPr>
                    <w:t>6~9</w:t>
                  </w:r>
                </w:p>
              </w:tc>
              <w:tc>
                <w:tcPr>
                  <w:tcW w:w="0" w:type="auto"/>
                  <w:tcBorders>
                    <w:tl2br w:val="nil"/>
                    <w:tr2bl w:val="nil"/>
                  </w:tcBorders>
                  <w:shd w:val="clear" w:color="auto" w:fill="auto"/>
                  <w:noWrap w:val="0"/>
                  <w:vAlign w:val="center"/>
                </w:tcPr>
                <w:p w14:paraId="3BB533B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kern w:val="0"/>
                      <w:sz w:val="18"/>
                      <w:szCs w:val="18"/>
                      <w:lang w:val="en-US" w:eastAsia="zh-CN" w:bidi="ar-SA"/>
                    </w:rPr>
                    <w:t>6~9</w:t>
                  </w:r>
                </w:p>
              </w:tc>
            </w:tr>
            <w:tr w14:paraId="39809B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0" w:type="auto"/>
                  <w:vMerge w:val="continue"/>
                  <w:tcBorders>
                    <w:tl2br w:val="nil"/>
                    <w:tr2bl w:val="nil"/>
                  </w:tcBorders>
                  <w:shd w:val="clear" w:color="auto" w:fill="auto"/>
                  <w:noWrap w:val="0"/>
                  <w:vAlign w:val="center"/>
                </w:tcPr>
                <w:p w14:paraId="3200343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rPr>
                  </w:pPr>
                </w:p>
              </w:tc>
              <w:tc>
                <w:tcPr>
                  <w:tcW w:w="0" w:type="auto"/>
                  <w:vMerge w:val="continue"/>
                  <w:tcBorders>
                    <w:tl2br w:val="nil"/>
                    <w:tr2bl w:val="nil"/>
                  </w:tcBorders>
                  <w:shd w:val="clear" w:color="auto" w:fill="auto"/>
                  <w:noWrap w:val="0"/>
                  <w:vAlign w:val="center"/>
                </w:tcPr>
                <w:p w14:paraId="7B5B5D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rPr>
                  </w:pPr>
                </w:p>
              </w:tc>
              <w:tc>
                <w:tcPr>
                  <w:tcW w:w="0" w:type="auto"/>
                  <w:vMerge w:val="continue"/>
                  <w:tcBorders>
                    <w:tl2br w:val="nil"/>
                    <w:tr2bl w:val="nil"/>
                  </w:tcBorders>
                  <w:shd w:val="clear" w:color="auto" w:fill="auto"/>
                  <w:noWrap w:val="0"/>
                  <w:vAlign w:val="center"/>
                </w:tcPr>
                <w:p w14:paraId="08D15E1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rPr>
                  </w:pPr>
                </w:p>
              </w:tc>
              <w:tc>
                <w:tcPr>
                  <w:tcW w:w="0" w:type="auto"/>
                  <w:tcBorders>
                    <w:tl2br w:val="nil"/>
                    <w:tr2bl w:val="nil"/>
                  </w:tcBorders>
                  <w:shd w:val="clear" w:color="auto" w:fill="auto"/>
                  <w:noWrap w:val="0"/>
                  <w:vAlign w:val="center"/>
                </w:tcPr>
                <w:p w14:paraId="5E0CE4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lang w:val="en-US" w:eastAsia="zh-CN"/>
                    </w:rPr>
                  </w:pPr>
                  <w:r>
                    <w:rPr>
                      <w:rFonts w:hint="eastAsia" w:cs="Times New Roman"/>
                      <w:color w:val="auto"/>
                      <w:kern w:val="0"/>
                      <w:sz w:val="18"/>
                      <w:szCs w:val="18"/>
                      <w:lang w:val="en-US" w:eastAsia="zh-CN"/>
                    </w:rPr>
                    <w:t>氨氮</w:t>
                  </w:r>
                </w:p>
              </w:tc>
              <w:tc>
                <w:tcPr>
                  <w:tcW w:w="781" w:type="dxa"/>
                  <w:tcBorders>
                    <w:tl2br w:val="nil"/>
                    <w:tr2bl w:val="nil"/>
                  </w:tcBorders>
                  <w:shd w:val="clear" w:color="auto" w:fill="auto"/>
                  <w:noWrap w:val="0"/>
                  <w:vAlign w:val="center"/>
                </w:tcPr>
                <w:p w14:paraId="6176C3A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0.14</w:t>
                  </w:r>
                </w:p>
              </w:tc>
              <w:tc>
                <w:tcPr>
                  <w:tcW w:w="855" w:type="dxa"/>
                  <w:tcBorders>
                    <w:tl2br w:val="nil"/>
                    <w:tr2bl w:val="nil"/>
                  </w:tcBorders>
                  <w:shd w:val="clear" w:color="auto" w:fill="auto"/>
                  <w:noWrap w:val="0"/>
                  <w:vAlign w:val="center"/>
                </w:tcPr>
                <w:p w14:paraId="577FB60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0.49</w:t>
                  </w:r>
                </w:p>
              </w:tc>
              <w:tc>
                <w:tcPr>
                  <w:tcW w:w="994" w:type="dxa"/>
                  <w:tcBorders>
                    <w:tl2br w:val="nil"/>
                    <w:tr2bl w:val="nil"/>
                  </w:tcBorders>
                  <w:shd w:val="clear" w:color="auto" w:fill="auto"/>
                  <w:noWrap w:val="0"/>
                  <w:vAlign w:val="center"/>
                </w:tcPr>
                <w:p w14:paraId="732C85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0.81</w:t>
                  </w:r>
                </w:p>
              </w:tc>
              <w:tc>
                <w:tcPr>
                  <w:tcW w:w="0" w:type="auto"/>
                  <w:tcBorders>
                    <w:tl2br w:val="nil"/>
                    <w:tr2bl w:val="nil"/>
                  </w:tcBorders>
                  <w:shd w:val="clear" w:color="auto" w:fill="auto"/>
                  <w:noWrap w:val="0"/>
                  <w:vAlign w:val="center"/>
                </w:tcPr>
                <w:p w14:paraId="4724E35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eastAsia" w:ascii="Times New Roman" w:hAnsi="Times New Roman" w:eastAsia="宋体" w:cs="Times New Roman"/>
                      <w:color w:val="auto"/>
                      <w:kern w:val="0"/>
                      <w:sz w:val="18"/>
                      <w:szCs w:val="18"/>
                      <w:lang w:val="en-US" w:eastAsia="zh-CN" w:bidi="ar-SA"/>
                    </w:rPr>
                    <w:t>8</w:t>
                  </w:r>
                </w:p>
              </w:tc>
            </w:tr>
            <w:tr w14:paraId="2FA404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0" w:type="auto"/>
                  <w:vMerge w:val="continue"/>
                  <w:tcBorders>
                    <w:tl2br w:val="nil"/>
                    <w:tr2bl w:val="nil"/>
                  </w:tcBorders>
                  <w:shd w:val="clear" w:color="auto" w:fill="auto"/>
                  <w:noWrap w:val="0"/>
                  <w:vAlign w:val="center"/>
                </w:tcPr>
                <w:p w14:paraId="2FFB31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rPr>
                  </w:pPr>
                </w:p>
              </w:tc>
              <w:tc>
                <w:tcPr>
                  <w:tcW w:w="0" w:type="auto"/>
                  <w:vMerge w:val="continue"/>
                  <w:tcBorders>
                    <w:tl2br w:val="nil"/>
                    <w:tr2bl w:val="nil"/>
                  </w:tcBorders>
                  <w:shd w:val="clear" w:color="auto" w:fill="auto"/>
                  <w:noWrap w:val="0"/>
                  <w:vAlign w:val="center"/>
                </w:tcPr>
                <w:p w14:paraId="234F06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rPr>
                  </w:pPr>
                </w:p>
              </w:tc>
              <w:tc>
                <w:tcPr>
                  <w:tcW w:w="0" w:type="auto"/>
                  <w:vMerge w:val="continue"/>
                  <w:tcBorders>
                    <w:tl2br w:val="nil"/>
                    <w:tr2bl w:val="nil"/>
                  </w:tcBorders>
                  <w:shd w:val="clear" w:color="auto" w:fill="auto"/>
                  <w:noWrap w:val="0"/>
                  <w:vAlign w:val="center"/>
                </w:tcPr>
                <w:p w14:paraId="586CF8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rPr>
                  </w:pPr>
                </w:p>
              </w:tc>
              <w:tc>
                <w:tcPr>
                  <w:tcW w:w="0" w:type="auto"/>
                  <w:tcBorders>
                    <w:tl2br w:val="nil"/>
                    <w:tr2bl w:val="nil"/>
                  </w:tcBorders>
                  <w:shd w:val="clear" w:color="auto" w:fill="auto"/>
                  <w:noWrap w:val="0"/>
                  <w:vAlign w:val="center"/>
                </w:tcPr>
                <w:p w14:paraId="119F0E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石油类</w:t>
                  </w:r>
                </w:p>
              </w:tc>
              <w:tc>
                <w:tcPr>
                  <w:tcW w:w="781" w:type="dxa"/>
                  <w:tcBorders>
                    <w:tl2br w:val="nil"/>
                    <w:tr2bl w:val="nil"/>
                  </w:tcBorders>
                  <w:shd w:val="clear" w:color="auto" w:fill="auto"/>
                  <w:noWrap w:val="0"/>
                  <w:vAlign w:val="center"/>
                </w:tcPr>
                <w:p w14:paraId="5773B8A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0.23</w:t>
                  </w:r>
                </w:p>
              </w:tc>
              <w:tc>
                <w:tcPr>
                  <w:tcW w:w="855" w:type="dxa"/>
                  <w:tcBorders>
                    <w:tl2br w:val="nil"/>
                    <w:tr2bl w:val="nil"/>
                  </w:tcBorders>
                  <w:shd w:val="clear" w:color="auto" w:fill="auto"/>
                  <w:noWrap w:val="0"/>
                  <w:vAlign w:val="center"/>
                </w:tcPr>
                <w:p w14:paraId="02B0B51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0.80</w:t>
                  </w:r>
                </w:p>
              </w:tc>
              <w:tc>
                <w:tcPr>
                  <w:tcW w:w="994" w:type="dxa"/>
                  <w:tcBorders>
                    <w:tl2br w:val="nil"/>
                    <w:tr2bl w:val="nil"/>
                  </w:tcBorders>
                  <w:shd w:val="clear" w:color="auto" w:fill="auto"/>
                  <w:noWrap w:val="0"/>
                  <w:vAlign w:val="center"/>
                </w:tcPr>
                <w:p w14:paraId="2C71EB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1.32</w:t>
                  </w:r>
                </w:p>
              </w:tc>
              <w:tc>
                <w:tcPr>
                  <w:tcW w:w="0" w:type="auto"/>
                  <w:tcBorders>
                    <w:tl2br w:val="nil"/>
                    <w:tr2bl w:val="nil"/>
                  </w:tcBorders>
                  <w:shd w:val="clear" w:color="auto" w:fill="auto"/>
                  <w:noWrap w:val="0"/>
                  <w:vAlign w:val="center"/>
                </w:tcPr>
                <w:p w14:paraId="771BB1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eastAsia" w:ascii="Times New Roman" w:hAnsi="Times New Roman" w:eastAsia="宋体" w:cs="Times New Roman"/>
                      <w:color w:val="auto"/>
                      <w:kern w:val="0"/>
                      <w:sz w:val="18"/>
                      <w:szCs w:val="18"/>
                      <w:lang w:val="en-US" w:eastAsia="zh-CN" w:bidi="ar-SA"/>
                    </w:rPr>
                    <w:t>3</w:t>
                  </w:r>
                </w:p>
              </w:tc>
            </w:tr>
            <w:tr w14:paraId="3E982F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0" w:type="auto"/>
                  <w:gridSpan w:val="8"/>
                  <w:tcBorders>
                    <w:tl2br w:val="nil"/>
                    <w:tr2bl w:val="nil"/>
                  </w:tcBorders>
                  <w:shd w:val="clear" w:color="auto" w:fill="auto"/>
                  <w:noWrap w:val="0"/>
                  <w:vAlign w:val="center"/>
                </w:tcPr>
                <w:p w14:paraId="47109A8F">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 w:val="18"/>
                      <w:szCs w:val="18"/>
                      <w:lang w:val="en-US" w:eastAsia="zh-CN" w:bidi="ar-SA"/>
                    </w:rPr>
                  </w:pPr>
                  <w:r>
                    <w:rPr>
                      <w:rFonts w:hint="eastAsia" w:ascii="Times New Roman" w:hAnsi="Times New Roman" w:eastAsia="宋体" w:cs="Times New Roman"/>
                      <w:color w:val="auto"/>
                      <w:kern w:val="0"/>
                      <w:sz w:val="18"/>
                      <w:szCs w:val="18"/>
                      <w:lang w:val="en-US" w:eastAsia="zh-CN" w:bidi="ar-SA"/>
                    </w:rPr>
                    <w:t>根据</w:t>
                  </w:r>
                  <w:r>
                    <w:rPr>
                      <w:rFonts w:hint="eastAsia" w:ascii="Times New Roman" w:hAnsi="Times New Roman" w:eastAsia="宋体" w:cs="Times New Roman"/>
                      <w:color w:val="auto"/>
                      <w:sz w:val="18"/>
                      <w:szCs w:val="18"/>
                      <w:lang w:eastAsia="zh-CN"/>
                    </w:rPr>
                    <w:t>《</w:t>
                  </w:r>
                  <w:r>
                    <w:rPr>
                      <w:rFonts w:hint="eastAsia" w:ascii="Times New Roman" w:hAnsi="Times New Roman" w:eastAsia="宋体" w:cs="Times New Roman"/>
                      <w:color w:val="auto"/>
                      <w:sz w:val="18"/>
                      <w:szCs w:val="18"/>
                      <w:lang w:val="en-US" w:eastAsia="zh-CN"/>
                    </w:rPr>
                    <w:t>钢铁工业水污染物排放标准</w:t>
                  </w:r>
                  <w:r>
                    <w:rPr>
                      <w:rFonts w:hint="eastAsia" w:ascii="Times New Roman" w:hAnsi="Times New Roman" w:eastAsia="宋体" w:cs="Times New Roman"/>
                      <w:color w:val="auto"/>
                      <w:sz w:val="18"/>
                      <w:szCs w:val="18"/>
                      <w:lang w:eastAsia="zh-CN"/>
                    </w:rPr>
                    <w:t>》（</w:t>
                  </w:r>
                  <w:r>
                    <w:rPr>
                      <w:rFonts w:hint="eastAsia" w:ascii="Times New Roman" w:hAnsi="Times New Roman" w:eastAsia="宋体" w:cs="Times New Roman"/>
                      <w:color w:val="auto"/>
                      <w:sz w:val="18"/>
                      <w:szCs w:val="18"/>
                      <w:lang w:val="en-US" w:eastAsia="zh-CN"/>
                    </w:rPr>
                    <w:t>GB13456-2012</w:t>
                  </w:r>
                  <w:r>
                    <w:rPr>
                      <w:rFonts w:hint="eastAsia" w:ascii="Times New Roman" w:hAnsi="Times New Roman" w:eastAsia="宋体" w:cs="Times New Roman"/>
                      <w:color w:val="auto"/>
                      <w:sz w:val="18"/>
                      <w:szCs w:val="18"/>
                      <w:lang w:eastAsia="zh-CN"/>
                    </w:rPr>
                    <w:t>）</w:t>
                  </w:r>
                  <w:r>
                    <w:rPr>
                      <w:rFonts w:hint="eastAsia" w:ascii="Times New Roman" w:hAnsi="Times New Roman" w:eastAsia="宋体" w:cs="Times New Roman"/>
                      <w:color w:val="auto"/>
                      <w:sz w:val="18"/>
                      <w:szCs w:val="18"/>
                      <w:lang w:val="en-US" w:eastAsia="zh-CN"/>
                    </w:rPr>
                    <w:t>及其修改单</w:t>
                  </w:r>
                  <w:r>
                    <w:rPr>
                      <w:rFonts w:hint="eastAsia" w:ascii="Times New Roman" w:hAnsi="Times New Roman" w:eastAsia="宋体" w:cs="Times New Roman"/>
                      <w:color w:val="auto"/>
                      <w:kern w:val="0"/>
                      <w:sz w:val="18"/>
                      <w:szCs w:val="18"/>
                      <w:lang w:val="en-US" w:eastAsia="zh-CN" w:bidi="ar-SA"/>
                    </w:rPr>
                    <w:t>计算，本项目基准排水量为</w:t>
                  </w:r>
                  <w:r>
                    <w:rPr>
                      <w:rFonts w:hint="eastAsia" w:cs="Times New Roman"/>
                      <w:color w:val="auto"/>
                      <w:kern w:val="0"/>
                      <w:sz w:val="18"/>
                      <w:szCs w:val="18"/>
                      <w:lang w:val="en-US" w:eastAsia="zh-CN" w:bidi="ar-SA"/>
                    </w:rPr>
                    <w:t>1.64</w:t>
                  </w:r>
                  <w:r>
                    <w:rPr>
                      <w:rFonts w:hint="eastAsia" w:ascii="Times New Roman" w:hAnsi="Times New Roman" w:eastAsia="宋体" w:cs="Times New Roman"/>
                      <w:color w:val="auto"/>
                      <w:kern w:val="0"/>
                      <w:sz w:val="18"/>
                      <w:szCs w:val="18"/>
                      <w:lang w:val="en-US" w:eastAsia="zh-CN" w:bidi="ar-SA"/>
                    </w:rPr>
                    <w:t>，因此本次进行折算并对折算后浓度进行达标分析</w:t>
                  </w:r>
                </w:p>
              </w:tc>
            </w:tr>
          </w:tbl>
          <w:p w14:paraId="745B9FD8">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right="0" w:firstLine="420" w:firstLineChars="200"/>
              <w:jc w:val="both"/>
              <w:textAlignment w:val="auto"/>
              <w:rPr>
                <w:rFonts w:hint="eastAsia"/>
                <w:color w:val="auto"/>
                <w:sz w:val="21"/>
                <w:szCs w:val="21"/>
                <w:highlight w:val="none"/>
                <w:lang w:val="en-US" w:eastAsia="zh-CN"/>
              </w:rPr>
            </w:pPr>
            <w:r>
              <w:rPr>
                <w:rFonts w:hint="eastAsia" w:ascii="宋体" w:hAnsi="宋体"/>
                <w:color w:val="auto"/>
                <w:lang w:val="de-DE"/>
              </w:rPr>
              <w:t>综上，本项目外排废水中各项因子满足</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钢铁工业水污染物排放标准</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GB13456-2012</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及其修改单表3特别排放限值间接排放要求及园区污水处理厂进水水质要求</w:t>
            </w:r>
            <w:r>
              <w:rPr>
                <w:rFonts w:hint="eastAsia" w:cs="Times New Roman"/>
                <w:color w:val="auto"/>
                <w:sz w:val="21"/>
                <w:szCs w:val="21"/>
                <w:lang w:val="en-US" w:eastAsia="zh-CN"/>
              </w:rPr>
              <w:t>。</w:t>
            </w:r>
          </w:p>
          <w:p w14:paraId="5464BCBA">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right="0" w:firstLine="420" w:firstLineChars="200"/>
              <w:jc w:val="both"/>
              <w:textAlignment w:val="auto"/>
              <w:rPr>
                <w:rFonts w:hint="eastAsia"/>
                <w:color w:val="auto"/>
                <w:sz w:val="21"/>
                <w:szCs w:val="21"/>
                <w:highlight w:val="none"/>
                <w:lang w:val="en-US" w:eastAsia="zh-CN"/>
              </w:rPr>
            </w:pPr>
            <w:r>
              <w:rPr>
                <w:rFonts w:hint="eastAsia"/>
                <w:color w:val="auto"/>
                <w:sz w:val="21"/>
                <w:szCs w:val="21"/>
                <w:highlight w:val="none"/>
                <w:lang w:val="en-US" w:eastAsia="zh-CN"/>
              </w:rPr>
              <w:t>根据</w:t>
            </w:r>
            <w:r>
              <w:rPr>
                <w:rFonts w:hint="eastAsia" w:ascii="Times New Roman" w:hAnsi="Times New Roman"/>
                <w:color w:val="auto"/>
                <w:sz w:val="21"/>
                <w:szCs w:val="21"/>
                <w:highlight w:val="none"/>
              </w:rPr>
              <w:t>《排污许可证申请与核发技术规范</w:t>
            </w:r>
            <w:r>
              <w:rPr>
                <w:rFonts w:hint="eastAsia"/>
                <w:color w:val="auto"/>
                <w:sz w:val="21"/>
                <w:szCs w:val="21"/>
                <w:highlight w:val="none"/>
                <w:lang w:val="en-US" w:eastAsia="zh-CN"/>
              </w:rPr>
              <w:t>钢铁工业</w:t>
            </w:r>
            <w:r>
              <w:rPr>
                <w:rFonts w:hint="eastAsia" w:ascii="Times New Roman" w:hAnsi="Times New Roman"/>
                <w:color w:val="auto"/>
                <w:sz w:val="21"/>
                <w:szCs w:val="21"/>
                <w:highlight w:val="none"/>
              </w:rPr>
              <w:t>》（HJ</w:t>
            </w:r>
            <w:r>
              <w:rPr>
                <w:rFonts w:hint="eastAsia"/>
                <w:color w:val="auto"/>
                <w:sz w:val="21"/>
                <w:szCs w:val="21"/>
                <w:highlight w:val="none"/>
                <w:lang w:val="en-US" w:eastAsia="zh-CN"/>
              </w:rPr>
              <w:t>846</w:t>
            </w:r>
            <w:r>
              <w:rPr>
                <w:rFonts w:hint="eastAsia" w:ascii="Times New Roman" w:hAnsi="Times New Roman"/>
                <w:color w:val="auto"/>
                <w:sz w:val="21"/>
                <w:szCs w:val="21"/>
                <w:highlight w:val="none"/>
              </w:rPr>
              <w:t>-201</w:t>
            </w:r>
            <w:r>
              <w:rPr>
                <w:rFonts w:hint="eastAsia"/>
                <w:color w:val="auto"/>
                <w:sz w:val="21"/>
                <w:szCs w:val="21"/>
                <w:highlight w:val="none"/>
                <w:lang w:val="en-US" w:eastAsia="zh-CN"/>
              </w:rPr>
              <w:t>7</w:t>
            </w:r>
            <w:r>
              <w:rPr>
                <w:rFonts w:hint="eastAsia" w:ascii="Times New Roman" w:hAnsi="Times New Roman"/>
                <w:color w:val="auto"/>
                <w:sz w:val="21"/>
                <w:szCs w:val="21"/>
                <w:highlight w:val="none"/>
              </w:rPr>
              <w:t>）</w:t>
            </w:r>
            <w:r>
              <w:rPr>
                <w:rFonts w:hint="eastAsia"/>
                <w:color w:val="auto"/>
                <w:sz w:val="21"/>
                <w:szCs w:val="21"/>
                <w:highlight w:val="none"/>
                <w:lang w:eastAsia="zh-CN"/>
              </w:rPr>
              <w:t>、《</w:t>
            </w:r>
            <w:r>
              <w:rPr>
                <w:rFonts w:hint="eastAsia"/>
                <w:color w:val="auto"/>
                <w:sz w:val="21"/>
                <w:szCs w:val="21"/>
                <w:highlight w:val="none"/>
                <w:lang w:val="en-US" w:eastAsia="zh-CN"/>
              </w:rPr>
              <w:t>钢铁工业环境保护设计规范</w:t>
            </w:r>
            <w:r>
              <w:rPr>
                <w:rFonts w:hint="eastAsia"/>
                <w:color w:val="auto"/>
                <w:sz w:val="21"/>
                <w:szCs w:val="21"/>
                <w:highlight w:val="none"/>
                <w:lang w:eastAsia="zh-CN"/>
              </w:rPr>
              <w:t>》（</w:t>
            </w:r>
            <w:r>
              <w:rPr>
                <w:rFonts w:hint="eastAsia"/>
                <w:color w:val="auto"/>
                <w:sz w:val="21"/>
                <w:szCs w:val="21"/>
                <w:highlight w:val="none"/>
                <w:lang w:val="en-US" w:eastAsia="zh-CN"/>
              </w:rPr>
              <w:t>GB50406-2017</w:t>
            </w:r>
            <w:r>
              <w:rPr>
                <w:rFonts w:hint="eastAsia"/>
                <w:color w:val="auto"/>
                <w:sz w:val="21"/>
                <w:szCs w:val="21"/>
                <w:highlight w:val="none"/>
                <w:lang w:eastAsia="zh-CN"/>
              </w:rPr>
              <w:t>）、《</w:t>
            </w:r>
            <w:r>
              <w:rPr>
                <w:rFonts w:hint="eastAsia"/>
                <w:color w:val="auto"/>
                <w:sz w:val="21"/>
                <w:szCs w:val="21"/>
                <w:highlight w:val="none"/>
                <w:lang w:val="en-US" w:eastAsia="zh-CN"/>
              </w:rPr>
              <w:t>钢铁行业炼钢工艺污染防治最佳可行技术指南</w:t>
            </w:r>
            <w:r>
              <w:rPr>
                <w:rFonts w:hint="eastAsia"/>
                <w:color w:val="auto"/>
                <w:sz w:val="21"/>
                <w:szCs w:val="21"/>
                <w:highlight w:val="none"/>
                <w:lang w:eastAsia="zh-CN"/>
              </w:rPr>
              <w:t>》、《</w:t>
            </w:r>
            <w:r>
              <w:rPr>
                <w:rFonts w:hint="eastAsia"/>
                <w:color w:val="auto"/>
                <w:sz w:val="21"/>
                <w:szCs w:val="21"/>
                <w:highlight w:val="none"/>
                <w:lang w:val="en-US" w:eastAsia="zh-CN"/>
              </w:rPr>
              <w:t>钢铁工业废水治理及回用工程技术规范</w:t>
            </w:r>
            <w:r>
              <w:rPr>
                <w:rFonts w:hint="eastAsia"/>
                <w:color w:val="auto"/>
                <w:sz w:val="21"/>
                <w:szCs w:val="21"/>
                <w:highlight w:val="none"/>
                <w:lang w:eastAsia="zh-CN"/>
              </w:rPr>
              <w:t>》（</w:t>
            </w:r>
            <w:r>
              <w:rPr>
                <w:rFonts w:hint="eastAsia"/>
                <w:color w:val="auto"/>
                <w:sz w:val="21"/>
                <w:szCs w:val="21"/>
                <w:highlight w:val="none"/>
                <w:lang w:val="en-US" w:eastAsia="zh-CN"/>
              </w:rPr>
              <w:t>HJ2019-2012</w:t>
            </w:r>
            <w:r>
              <w:rPr>
                <w:rFonts w:hint="eastAsia"/>
                <w:color w:val="auto"/>
                <w:sz w:val="21"/>
                <w:szCs w:val="21"/>
                <w:highlight w:val="none"/>
                <w:lang w:eastAsia="zh-CN"/>
              </w:rPr>
              <w:t>），</w:t>
            </w:r>
            <w:r>
              <w:rPr>
                <w:rFonts w:hint="eastAsia"/>
                <w:color w:val="auto"/>
                <w:sz w:val="21"/>
                <w:szCs w:val="21"/>
                <w:highlight w:val="none"/>
                <w:lang w:val="en-US" w:eastAsia="zh-CN"/>
              </w:rPr>
              <w:t>项目废水处理工艺均为可行工艺。</w:t>
            </w:r>
          </w:p>
          <w:p w14:paraId="1F2C95DC">
            <w:pPr>
              <w:pStyle w:val="185"/>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color w:val="auto"/>
                <w:sz w:val="21"/>
                <w:szCs w:val="21"/>
              </w:rPr>
            </w:pPr>
            <w:r>
              <w:rPr>
                <w:rFonts w:hint="eastAsia" w:ascii="Times New Roman" w:hAnsi="Times New Roman" w:eastAsia="宋体" w:cs="Times New Roman"/>
                <w:b/>
                <w:bCs/>
                <w:color w:val="auto"/>
                <w:kern w:val="0"/>
                <w:sz w:val="21"/>
                <w:szCs w:val="21"/>
                <w:lang w:val="en-US" w:eastAsia="zh-CN" w:bidi="ar-SA"/>
              </w:rPr>
              <w:t>3、</w:t>
            </w:r>
            <w:r>
              <w:rPr>
                <w:rFonts w:hint="default" w:ascii="Times New Roman" w:hAnsi="Times New Roman" w:eastAsia="宋体" w:cs="Times New Roman"/>
                <w:b/>
                <w:bCs/>
                <w:color w:val="auto"/>
                <w:kern w:val="0"/>
                <w:sz w:val="21"/>
                <w:szCs w:val="21"/>
                <w:lang w:val="en-US" w:eastAsia="zh-CN" w:bidi="ar-SA"/>
              </w:rPr>
              <w:t>项目废水依托可行性分析</w:t>
            </w:r>
          </w:p>
          <w:p w14:paraId="637B5CE3">
            <w:pPr>
              <w:shd w:val="clear" w:color="auto" w:fill="auto"/>
              <w:spacing w:line="360" w:lineRule="auto"/>
              <w:ind w:firstLine="420" w:firstLineChars="20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lang w:val="en-US" w:eastAsia="zh-CN"/>
              </w:rPr>
              <w:t>污水处理厂处理规模及工艺</w:t>
            </w:r>
          </w:p>
          <w:p w14:paraId="01A76639">
            <w:pPr>
              <w:shd w:val="clear" w:color="auto" w:fill="auto"/>
              <w:spacing w:line="360" w:lineRule="auto"/>
              <w:ind w:firstLine="420" w:firstLineChars="20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昌吉高新区</w:t>
            </w:r>
            <w:r>
              <w:rPr>
                <w:rFonts w:hint="default" w:ascii="Times New Roman" w:hAnsi="Times New Roman" w:eastAsia="宋体" w:cs="Times New Roman"/>
                <w:color w:val="auto"/>
                <w:sz w:val="21"/>
                <w:szCs w:val="21"/>
                <w:lang w:val="en-US" w:eastAsia="zh-CN"/>
              </w:rPr>
              <w:t>污水处理厂</w:t>
            </w:r>
            <w:r>
              <w:rPr>
                <w:rFonts w:hint="eastAsia" w:ascii="Times New Roman" w:hAnsi="Times New Roman" w:eastAsia="宋体" w:cs="Times New Roman"/>
                <w:color w:val="auto"/>
                <w:sz w:val="21"/>
                <w:szCs w:val="21"/>
                <w:lang w:val="en-US" w:eastAsia="zh-CN"/>
              </w:rPr>
              <w:t>位于昌吉高新技术产业开发区西北角，</w:t>
            </w:r>
            <w:r>
              <w:rPr>
                <w:rFonts w:hint="default" w:ascii="Times New Roman" w:hAnsi="Times New Roman" w:eastAsia="宋体" w:cs="Times New Roman"/>
                <w:color w:val="auto"/>
                <w:sz w:val="21"/>
                <w:szCs w:val="21"/>
                <w:lang w:val="en-US" w:eastAsia="zh-CN"/>
              </w:rPr>
              <w:t>201</w:t>
            </w:r>
            <w:r>
              <w:rPr>
                <w:rFonts w:hint="eastAsia" w:ascii="Times New Roman" w:hAnsi="Times New Roman" w:eastAsia="宋体" w:cs="Times New Roman"/>
                <w:color w:val="auto"/>
                <w:sz w:val="21"/>
                <w:szCs w:val="21"/>
                <w:lang w:val="en-US" w:eastAsia="zh-CN"/>
              </w:rPr>
              <w:t>省道以南，该污水处理厂污水接纳范围主要包括昌吉高新技术产业开发区内各企业的工业污水、军户农场和榆树沟镇的生活污水，设计处理规模</w:t>
            </w:r>
            <w:r>
              <w:rPr>
                <w:rFonts w:hint="default" w:ascii="Times New Roman" w:hAnsi="Times New Roman" w:eastAsia="宋体" w:cs="Times New Roman"/>
                <w:color w:val="auto"/>
                <w:sz w:val="21"/>
                <w:szCs w:val="21"/>
                <w:lang w:val="en-US" w:eastAsia="zh-CN"/>
              </w:rPr>
              <w:t>3</w:t>
            </w:r>
            <w:r>
              <w:rPr>
                <w:rFonts w:hint="eastAsia" w:ascii="Times New Roman" w:hAnsi="Times New Roman" w:eastAsia="宋体" w:cs="Times New Roman"/>
                <w:color w:val="auto"/>
                <w:sz w:val="21"/>
                <w:szCs w:val="21"/>
                <w:lang w:val="en-US" w:eastAsia="zh-CN"/>
              </w:rPr>
              <w:t>万</w:t>
            </w: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/d</w:t>
            </w:r>
            <w:r>
              <w:rPr>
                <w:rFonts w:hint="eastAsia" w:ascii="Times New Roman" w:hAnsi="Times New Roman" w:eastAsia="宋体" w:cs="Times New Roman"/>
                <w:color w:val="auto"/>
                <w:sz w:val="21"/>
                <w:szCs w:val="21"/>
                <w:lang w:val="en-US" w:eastAsia="zh-CN"/>
              </w:rPr>
              <w:t>，项目</w:t>
            </w:r>
            <w:r>
              <w:rPr>
                <w:rFonts w:hint="default" w:ascii="Times New Roman" w:hAnsi="Times New Roman" w:eastAsia="宋体" w:cs="Times New Roman"/>
                <w:color w:val="auto"/>
                <w:sz w:val="21"/>
                <w:szCs w:val="21"/>
                <w:lang w:val="en-US" w:eastAsia="zh-CN"/>
              </w:rPr>
              <w:t>2012</w:t>
            </w:r>
            <w:r>
              <w:rPr>
                <w:rFonts w:hint="eastAsia" w:ascii="Times New Roman" w:hAnsi="Times New Roman" w:eastAsia="宋体" w:cs="Times New Roman"/>
                <w:color w:val="auto"/>
                <w:sz w:val="21"/>
                <w:szCs w:val="21"/>
                <w:lang w:val="en-US" w:eastAsia="zh-CN"/>
              </w:rPr>
              <w:t>年</w:t>
            </w:r>
            <w:r>
              <w:rPr>
                <w:rFonts w:hint="default" w:ascii="Times New Roman" w:hAnsi="Times New Roman" w:eastAsia="宋体" w:cs="Times New Roman"/>
                <w:color w:val="auto"/>
                <w:sz w:val="21"/>
                <w:szCs w:val="21"/>
                <w:lang w:val="en-US" w:eastAsia="zh-CN"/>
              </w:rPr>
              <w:t>5</w:t>
            </w:r>
            <w:r>
              <w:rPr>
                <w:rFonts w:hint="eastAsia" w:ascii="Times New Roman" w:hAnsi="Times New Roman" w:eastAsia="宋体" w:cs="Times New Roman"/>
                <w:color w:val="auto"/>
                <w:sz w:val="21"/>
                <w:szCs w:val="21"/>
                <w:lang w:val="en-US" w:eastAsia="zh-CN"/>
              </w:rPr>
              <w:t>月</w:t>
            </w:r>
            <w:r>
              <w:rPr>
                <w:rFonts w:hint="default" w:ascii="Times New Roman" w:hAnsi="Times New Roman" w:eastAsia="宋体" w:cs="Times New Roman"/>
                <w:color w:val="auto"/>
                <w:sz w:val="21"/>
                <w:szCs w:val="21"/>
                <w:lang w:val="en-US" w:eastAsia="zh-CN"/>
              </w:rPr>
              <w:t>25</w:t>
            </w:r>
            <w:r>
              <w:rPr>
                <w:rFonts w:hint="eastAsia" w:ascii="Times New Roman" w:hAnsi="Times New Roman" w:eastAsia="宋体" w:cs="Times New Roman"/>
                <w:color w:val="auto"/>
                <w:sz w:val="21"/>
                <w:szCs w:val="21"/>
                <w:lang w:val="en-US" w:eastAsia="zh-CN"/>
              </w:rPr>
              <w:t>日一期开工建设，</w:t>
            </w:r>
            <w:r>
              <w:rPr>
                <w:rFonts w:hint="default" w:ascii="Times New Roman" w:hAnsi="Times New Roman" w:eastAsia="宋体" w:cs="Times New Roman"/>
                <w:color w:val="auto"/>
                <w:sz w:val="21"/>
                <w:szCs w:val="21"/>
                <w:lang w:val="en-US" w:eastAsia="zh-CN"/>
              </w:rPr>
              <w:t>2013</w:t>
            </w:r>
            <w:r>
              <w:rPr>
                <w:rFonts w:hint="eastAsia" w:ascii="Times New Roman" w:hAnsi="Times New Roman" w:eastAsia="宋体" w:cs="Times New Roman"/>
                <w:color w:val="auto"/>
                <w:sz w:val="21"/>
                <w:szCs w:val="21"/>
                <w:lang w:val="en-US" w:eastAsia="zh-CN"/>
              </w:rPr>
              <w:t>年</w:t>
            </w:r>
            <w:r>
              <w:rPr>
                <w:rFonts w:hint="default" w:ascii="Times New Roman" w:hAnsi="Times New Roman" w:eastAsia="宋体" w:cs="Times New Roman"/>
                <w:color w:val="auto"/>
                <w:sz w:val="21"/>
                <w:szCs w:val="21"/>
                <w:lang w:val="en-US" w:eastAsia="zh-CN"/>
              </w:rPr>
              <w:t>11</w:t>
            </w:r>
            <w:r>
              <w:rPr>
                <w:rFonts w:hint="eastAsia" w:ascii="Times New Roman" w:hAnsi="Times New Roman" w:eastAsia="宋体" w:cs="Times New Roman"/>
                <w:color w:val="auto"/>
                <w:sz w:val="21"/>
                <w:szCs w:val="21"/>
                <w:lang w:val="en-US" w:eastAsia="zh-CN"/>
              </w:rPr>
              <w:t>月</w:t>
            </w:r>
            <w:r>
              <w:rPr>
                <w:rFonts w:hint="default" w:ascii="Times New Roman" w:hAnsi="Times New Roman" w:eastAsia="宋体" w:cs="Times New Roman"/>
                <w:color w:val="auto"/>
                <w:sz w:val="21"/>
                <w:szCs w:val="21"/>
                <w:lang w:val="en-US" w:eastAsia="zh-CN"/>
              </w:rPr>
              <w:t>15</w:t>
            </w:r>
            <w:r>
              <w:rPr>
                <w:rFonts w:hint="eastAsia" w:ascii="Times New Roman" w:hAnsi="Times New Roman" w:eastAsia="宋体" w:cs="Times New Roman"/>
                <w:color w:val="auto"/>
                <w:sz w:val="21"/>
                <w:szCs w:val="21"/>
                <w:lang w:val="en-US" w:eastAsia="zh-CN"/>
              </w:rPr>
              <w:t>日建成运行，实际处理规模</w:t>
            </w:r>
            <w:r>
              <w:rPr>
                <w:rFonts w:hint="default" w:ascii="Times New Roman" w:hAnsi="Times New Roman" w:eastAsia="宋体" w:cs="Times New Roman"/>
                <w:color w:val="auto"/>
                <w:sz w:val="21"/>
                <w:szCs w:val="21"/>
                <w:lang w:val="en-US" w:eastAsia="zh-CN"/>
              </w:rPr>
              <w:t>15000m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/d</w:t>
            </w:r>
            <w:r>
              <w:rPr>
                <w:rFonts w:hint="eastAsia" w:ascii="Times New Roman" w:hAnsi="Times New Roman" w:eastAsia="宋体" w:cs="Times New Roman"/>
                <w:color w:val="auto"/>
                <w:sz w:val="21"/>
                <w:szCs w:val="21"/>
                <w:lang w:val="en-US" w:eastAsia="zh-CN"/>
              </w:rPr>
              <w:t>；于</w:t>
            </w:r>
            <w:r>
              <w:rPr>
                <w:rFonts w:hint="default" w:ascii="Times New Roman" w:hAnsi="Times New Roman" w:eastAsia="宋体" w:cs="Times New Roman"/>
                <w:color w:val="auto"/>
                <w:sz w:val="21"/>
                <w:szCs w:val="21"/>
                <w:lang w:val="en-US" w:eastAsia="zh-CN"/>
              </w:rPr>
              <w:t>2015</w:t>
            </w:r>
            <w:r>
              <w:rPr>
                <w:rFonts w:hint="eastAsia" w:ascii="Times New Roman" w:hAnsi="Times New Roman" w:eastAsia="宋体" w:cs="Times New Roman"/>
                <w:color w:val="auto"/>
                <w:sz w:val="21"/>
                <w:szCs w:val="21"/>
                <w:lang w:val="en-US" w:eastAsia="zh-CN"/>
              </w:rPr>
              <w:t>年</w:t>
            </w:r>
            <w:r>
              <w:rPr>
                <w:rFonts w:hint="default" w:ascii="Times New Roman" w:hAnsi="Times New Roman" w:eastAsia="宋体" w:cs="Times New Roman"/>
                <w:color w:val="auto"/>
                <w:sz w:val="21"/>
                <w:szCs w:val="21"/>
                <w:lang w:val="en-US" w:eastAsia="zh-CN"/>
              </w:rPr>
              <w:t>11</w:t>
            </w:r>
            <w:r>
              <w:rPr>
                <w:rFonts w:hint="eastAsia" w:ascii="Times New Roman" w:hAnsi="Times New Roman" w:eastAsia="宋体" w:cs="Times New Roman"/>
                <w:color w:val="auto"/>
                <w:sz w:val="21"/>
                <w:szCs w:val="21"/>
                <w:lang w:val="en-US" w:eastAsia="zh-CN"/>
              </w:rPr>
              <w:t>月</w:t>
            </w:r>
            <w:r>
              <w:rPr>
                <w:rFonts w:hint="default" w:ascii="Times New Roman" w:hAnsi="Times New Roman" w:eastAsia="宋体" w:cs="Times New Roman"/>
                <w:color w:val="auto"/>
                <w:sz w:val="21"/>
                <w:szCs w:val="21"/>
                <w:lang w:val="en-US" w:eastAsia="zh-CN"/>
              </w:rPr>
              <w:t>7</w:t>
            </w:r>
            <w:r>
              <w:rPr>
                <w:rFonts w:hint="eastAsia" w:ascii="Times New Roman" w:hAnsi="Times New Roman" w:eastAsia="宋体" w:cs="Times New Roman"/>
                <w:color w:val="auto"/>
                <w:sz w:val="21"/>
                <w:szCs w:val="21"/>
                <w:lang w:val="en-US" w:eastAsia="zh-CN"/>
              </w:rPr>
              <w:t>日取得新疆环保厅关于其竣工环境保护验收合格的函（新环函〔</w:t>
            </w:r>
            <w:r>
              <w:rPr>
                <w:rFonts w:hint="default" w:ascii="Times New Roman" w:hAnsi="Times New Roman" w:eastAsia="宋体" w:cs="Times New Roman"/>
                <w:color w:val="auto"/>
                <w:sz w:val="21"/>
                <w:szCs w:val="21"/>
                <w:lang w:val="en-US" w:eastAsia="zh-CN"/>
              </w:rPr>
              <w:t>2015</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1245</w:t>
            </w:r>
            <w:r>
              <w:rPr>
                <w:rFonts w:hint="eastAsia" w:ascii="Times New Roman" w:hAnsi="Times New Roman" w:eastAsia="宋体" w:cs="Times New Roman"/>
                <w:color w:val="auto"/>
                <w:sz w:val="21"/>
                <w:szCs w:val="21"/>
                <w:lang w:val="en-US" w:eastAsia="zh-CN"/>
              </w:rPr>
              <w:t>号）。园区目前北区和南区废水均接通管网，纳入昌吉高新区</w:t>
            </w:r>
            <w:r>
              <w:rPr>
                <w:rFonts w:hint="default" w:ascii="Times New Roman" w:hAnsi="Times New Roman" w:eastAsia="宋体" w:cs="Times New Roman"/>
                <w:color w:val="auto"/>
                <w:sz w:val="21"/>
                <w:szCs w:val="21"/>
                <w:lang w:val="en-US" w:eastAsia="zh-CN"/>
              </w:rPr>
              <w:t>污水处理厂</w:t>
            </w:r>
            <w:r>
              <w:rPr>
                <w:rFonts w:hint="eastAsia" w:ascii="Times New Roman" w:hAnsi="Times New Roman" w:eastAsia="宋体" w:cs="Times New Roman"/>
                <w:color w:val="auto"/>
                <w:sz w:val="21"/>
                <w:szCs w:val="21"/>
                <w:lang w:val="en-US" w:eastAsia="zh-CN"/>
              </w:rPr>
              <w:t>进行处理后达标排放。</w:t>
            </w:r>
          </w:p>
          <w:p w14:paraId="08245E67">
            <w:pPr>
              <w:shd w:val="clear" w:color="auto" w:fill="auto"/>
              <w:spacing w:line="360" w:lineRule="auto"/>
              <w:ind w:firstLine="420" w:firstLineChars="200"/>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2018</w:t>
            </w:r>
            <w:r>
              <w:rPr>
                <w:rFonts w:hint="eastAsia" w:ascii="Times New Roman" w:hAnsi="Times New Roman" w:eastAsia="宋体" w:cs="Times New Roman"/>
                <w:color w:val="auto"/>
                <w:sz w:val="21"/>
                <w:szCs w:val="21"/>
                <w:lang w:val="en-US" w:eastAsia="zh-CN"/>
              </w:rPr>
              <w:t>年对原规模</w:t>
            </w:r>
            <w:r>
              <w:rPr>
                <w:rFonts w:hint="default" w:ascii="Times New Roman" w:hAnsi="Times New Roman" w:eastAsia="宋体" w:cs="Times New Roman"/>
                <w:color w:val="auto"/>
                <w:sz w:val="21"/>
                <w:szCs w:val="21"/>
                <w:lang w:val="en-US" w:eastAsia="zh-CN"/>
              </w:rPr>
              <w:t>30000m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/d</w:t>
            </w:r>
            <w:r>
              <w:rPr>
                <w:rFonts w:hint="eastAsia" w:ascii="Times New Roman" w:hAnsi="Times New Roman" w:eastAsia="宋体" w:cs="Times New Roman"/>
                <w:color w:val="auto"/>
                <w:sz w:val="21"/>
                <w:szCs w:val="21"/>
                <w:lang w:val="en-US" w:eastAsia="zh-CN"/>
              </w:rPr>
              <w:t>进行了一级</w:t>
            </w:r>
            <w:r>
              <w:rPr>
                <w:rFonts w:hint="default" w:ascii="Times New Roman" w:hAnsi="Times New Roman" w:eastAsia="宋体" w:cs="Times New Roman"/>
                <w:color w:val="auto"/>
                <w:sz w:val="21"/>
                <w:szCs w:val="21"/>
                <w:lang w:val="en-US" w:eastAsia="zh-CN"/>
              </w:rPr>
              <w:t>A</w:t>
            </w:r>
            <w:r>
              <w:rPr>
                <w:rFonts w:hint="eastAsia" w:ascii="Times New Roman" w:hAnsi="Times New Roman" w:eastAsia="宋体" w:cs="Times New Roman"/>
                <w:color w:val="auto"/>
                <w:sz w:val="21"/>
                <w:szCs w:val="21"/>
                <w:lang w:val="en-US" w:eastAsia="zh-CN"/>
              </w:rPr>
              <w:t>提标改造，于</w:t>
            </w:r>
            <w:r>
              <w:rPr>
                <w:rFonts w:hint="default" w:ascii="Times New Roman" w:hAnsi="Times New Roman" w:eastAsia="宋体" w:cs="Times New Roman"/>
                <w:color w:val="auto"/>
                <w:sz w:val="21"/>
                <w:szCs w:val="21"/>
                <w:lang w:val="en-US" w:eastAsia="zh-CN"/>
              </w:rPr>
              <w:t>2018</w:t>
            </w:r>
            <w:r>
              <w:rPr>
                <w:rFonts w:hint="eastAsia" w:ascii="Times New Roman" w:hAnsi="Times New Roman" w:eastAsia="宋体" w:cs="Times New Roman"/>
                <w:color w:val="auto"/>
                <w:sz w:val="21"/>
                <w:szCs w:val="21"/>
                <w:lang w:val="en-US" w:eastAsia="zh-CN"/>
              </w:rPr>
              <w:t>年</w:t>
            </w:r>
            <w:r>
              <w:rPr>
                <w:rFonts w:hint="default" w:ascii="Times New Roman" w:hAnsi="Times New Roman" w:eastAsia="宋体" w:cs="Times New Roman"/>
                <w:color w:val="auto"/>
                <w:sz w:val="21"/>
                <w:szCs w:val="21"/>
                <w:lang w:val="en-US" w:eastAsia="zh-CN"/>
              </w:rPr>
              <w:t>8</w:t>
            </w:r>
            <w:r>
              <w:rPr>
                <w:rFonts w:hint="eastAsia" w:ascii="Times New Roman" w:hAnsi="Times New Roman" w:eastAsia="宋体" w:cs="Times New Roman"/>
                <w:color w:val="auto"/>
                <w:sz w:val="21"/>
                <w:szCs w:val="21"/>
                <w:lang w:val="en-US" w:eastAsia="zh-CN"/>
              </w:rPr>
              <w:t>月</w:t>
            </w:r>
            <w:r>
              <w:rPr>
                <w:rFonts w:hint="default" w:ascii="Times New Roman" w:hAnsi="Times New Roman" w:eastAsia="宋体" w:cs="Times New Roman"/>
                <w:color w:val="auto"/>
                <w:sz w:val="21"/>
                <w:szCs w:val="21"/>
                <w:lang w:val="en-US" w:eastAsia="zh-CN"/>
              </w:rPr>
              <w:t>10</w:t>
            </w:r>
            <w:r>
              <w:rPr>
                <w:rFonts w:hint="eastAsia" w:ascii="Times New Roman" w:hAnsi="Times New Roman" w:eastAsia="宋体" w:cs="Times New Roman"/>
                <w:color w:val="auto"/>
                <w:sz w:val="21"/>
                <w:szCs w:val="21"/>
                <w:lang w:val="en-US" w:eastAsia="zh-CN"/>
              </w:rPr>
              <w:t>日取得了《关于昌吉国家高新技术产业开发区污水处理厂一级</w:t>
            </w:r>
            <w:r>
              <w:rPr>
                <w:rFonts w:hint="default" w:ascii="Times New Roman" w:hAnsi="Times New Roman" w:eastAsia="宋体" w:cs="Times New Roman"/>
                <w:color w:val="auto"/>
                <w:sz w:val="21"/>
                <w:szCs w:val="21"/>
                <w:lang w:val="en-US" w:eastAsia="zh-CN"/>
              </w:rPr>
              <w:t>A</w:t>
            </w:r>
            <w:r>
              <w:rPr>
                <w:rFonts w:hint="eastAsia" w:ascii="Times New Roman" w:hAnsi="Times New Roman" w:eastAsia="宋体" w:cs="Times New Roman"/>
                <w:color w:val="auto"/>
                <w:sz w:val="21"/>
                <w:szCs w:val="21"/>
                <w:lang w:val="en-US" w:eastAsia="zh-CN"/>
              </w:rPr>
              <w:t>提标改造工程环境影响报告表》的批复（昌州环评〔</w:t>
            </w:r>
            <w:r>
              <w:rPr>
                <w:rFonts w:hint="default" w:ascii="Times New Roman" w:hAnsi="Times New Roman" w:eastAsia="宋体" w:cs="Times New Roman"/>
                <w:color w:val="auto"/>
                <w:sz w:val="21"/>
                <w:szCs w:val="21"/>
                <w:lang w:val="en-US" w:eastAsia="zh-CN"/>
              </w:rPr>
              <w:t>2018</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33</w:t>
            </w:r>
            <w:r>
              <w:rPr>
                <w:rFonts w:hint="eastAsia" w:ascii="Times New Roman" w:hAnsi="Times New Roman" w:eastAsia="宋体" w:cs="Times New Roman"/>
                <w:color w:val="auto"/>
                <w:sz w:val="21"/>
                <w:szCs w:val="21"/>
                <w:lang w:val="en-US" w:eastAsia="zh-CN"/>
              </w:rPr>
              <w:t>号），于</w:t>
            </w:r>
            <w:r>
              <w:rPr>
                <w:rFonts w:hint="default" w:ascii="Times New Roman" w:hAnsi="Times New Roman" w:eastAsia="宋体" w:cs="Times New Roman"/>
                <w:color w:val="auto"/>
                <w:sz w:val="21"/>
                <w:szCs w:val="21"/>
                <w:lang w:val="en-US" w:eastAsia="zh-CN"/>
              </w:rPr>
              <w:t>2018</w:t>
            </w:r>
            <w:r>
              <w:rPr>
                <w:rFonts w:hint="eastAsia" w:ascii="Times New Roman" w:hAnsi="Times New Roman" w:eastAsia="宋体" w:cs="Times New Roman"/>
                <w:color w:val="auto"/>
                <w:sz w:val="21"/>
                <w:szCs w:val="21"/>
                <w:lang w:val="en-US" w:eastAsia="zh-CN"/>
              </w:rPr>
              <w:t>年</w:t>
            </w:r>
            <w:r>
              <w:rPr>
                <w:rFonts w:hint="default" w:ascii="Times New Roman" w:hAnsi="Times New Roman" w:eastAsia="宋体" w:cs="Times New Roman"/>
                <w:color w:val="auto"/>
                <w:sz w:val="21"/>
                <w:szCs w:val="21"/>
                <w:lang w:val="en-US" w:eastAsia="zh-CN"/>
              </w:rPr>
              <w:t>8</w:t>
            </w:r>
            <w:r>
              <w:rPr>
                <w:rFonts w:hint="eastAsia" w:ascii="Times New Roman" w:hAnsi="Times New Roman" w:eastAsia="宋体" w:cs="Times New Roman"/>
                <w:color w:val="auto"/>
                <w:sz w:val="21"/>
                <w:szCs w:val="21"/>
                <w:lang w:val="en-US" w:eastAsia="zh-CN"/>
              </w:rPr>
              <w:t>月</w:t>
            </w:r>
            <w:r>
              <w:rPr>
                <w:rFonts w:hint="default" w:ascii="Times New Roman" w:hAnsi="Times New Roman" w:eastAsia="宋体" w:cs="Times New Roman"/>
                <w:color w:val="auto"/>
                <w:sz w:val="21"/>
                <w:szCs w:val="21"/>
                <w:lang w:val="en-US" w:eastAsia="zh-CN"/>
              </w:rPr>
              <w:t>20</w:t>
            </w:r>
            <w:r>
              <w:rPr>
                <w:rFonts w:hint="eastAsia" w:ascii="Times New Roman" w:hAnsi="Times New Roman" w:eastAsia="宋体" w:cs="Times New Roman"/>
                <w:color w:val="auto"/>
                <w:sz w:val="21"/>
                <w:szCs w:val="21"/>
                <w:lang w:val="en-US" w:eastAsia="zh-CN"/>
              </w:rPr>
              <w:t>日进行了竣工环境保护验收工作。提标改造后污水处理厂工艺为污水→粗格栅及污水提升泵站→细格栅及曝气沉砂池→</w:t>
            </w:r>
            <w:r>
              <w:rPr>
                <w:rFonts w:hint="default" w:ascii="Times New Roman" w:hAnsi="Times New Roman" w:eastAsia="宋体" w:cs="Times New Roman"/>
                <w:color w:val="auto"/>
                <w:sz w:val="21"/>
                <w:szCs w:val="21"/>
                <w:lang w:val="en-US" w:eastAsia="zh-CN"/>
              </w:rPr>
              <w:t>MBBR</w:t>
            </w:r>
            <w:r>
              <w:rPr>
                <w:rFonts w:hint="eastAsia" w:ascii="Times New Roman" w:hAnsi="Times New Roman" w:eastAsia="宋体" w:cs="Times New Roman"/>
                <w:color w:val="auto"/>
                <w:sz w:val="21"/>
                <w:szCs w:val="21"/>
                <w:lang w:val="en-US" w:eastAsia="zh-CN"/>
              </w:rPr>
              <w:t>池→二沉池→芬顿氧化池→絮凝沉淀池→纤维转盘滤池→紫外消毒渠→出水，污水处理厂出水水质达到《城镇污水处理厂污染物排放标准》（</w:t>
            </w:r>
            <w:r>
              <w:rPr>
                <w:rFonts w:hint="default" w:ascii="Times New Roman" w:hAnsi="Times New Roman" w:eastAsia="宋体" w:cs="Times New Roman"/>
                <w:color w:val="auto"/>
                <w:sz w:val="21"/>
                <w:szCs w:val="21"/>
                <w:lang w:val="en-US" w:eastAsia="zh-CN"/>
              </w:rPr>
              <w:t>GB18918-2002</w:t>
            </w:r>
            <w:r>
              <w:rPr>
                <w:rFonts w:hint="eastAsia" w:ascii="Times New Roman" w:hAnsi="Times New Roman" w:eastAsia="宋体" w:cs="Times New Roman"/>
                <w:color w:val="auto"/>
                <w:sz w:val="21"/>
                <w:szCs w:val="21"/>
                <w:lang w:val="en-US" w:eastAsia="zh-CN"/>
              </w:rPr>
              <w:t>）中的一级</w:t>
            </w:r>
            <w:r>
              <w:rPr>
                <w:rFonts w:hint="default" w:ascii="Times New Roman" w:hAnsi="Times New Roman" w:eastAsia="宋体" w:cs="Times New Roman"/>
                <w:color w:val="auto"/>
                <w:sz w:val="21"/>
                <w:szCs w:val="21"/>
                <w:lang w:val="en-US" w:eastAsia="zh-CN"/>
              </w:rPr>
              <w:t>A</w:t>
            </w:r>
            <w:r>
              <w:rPr>
                <w:rFonts w:hint="eastAsia" w:ascii="Times New Roman" w:hAnsi="Times New Roman" w:eastAsia="宋体" w:cs="Times New Roman"/>
                <w:color w:val="auto"/>
                <w:sz w:val="21"/>
                <w:szCs w:val="21"/>
                <w:lang w:val="en-US" w:eastAsia="zh-CN"/>
              </w:rPr>
              <w:t>标准，夏季尾水排入污水处理厂西侧的高新区生态灌溉项目蓄水池中，用于高新区工业冷却水、绿化、洗车、浇洒道路、景观用水，冬季尾水排入园区中水库。</w:t>
            </w:r>
          </w:p>
          <w:p w14:paraId="6BB6AD71">
            <w:pPr>
              <w:shd w:val="clear" w:color="auto" w:fill="auto"/>
              <w:spacing w:line="360" w:lineRule="auto"/>
              <w:ind w:firstLine="420" w:firstLineChars="20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lang w:val="en-US" w:eastAsia="zh-CN"/>
              </w:rPr>
              <w:t>管网衔接</w:t>
            </w:r>
          </w:p>
          <w:p w14:paraId="44EC3D86">
            <w:pPr>
              <w:shd w:val="clear" w:color="auto" w:fill="auto"/>
              <w:spacing w:line="360" w:lineRule="auto"/>
              <w:ind w:firstLine="420" w:firstLineChars="20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昌吉高新海天</w:t>
            </w:r>
            <w:r>
              <w:rPr>
                <w:rFonts w:hint="default" w:ascii="Times New Roman" w:hAnsi="Times New Roman" w:eastAsia="宋体" w:cs="Times New Roman"/>
                <w:color w:val="auto"/>
                <w:sz w:val="21"/>
                <w:szCs w:val="21"/>
                <w:lang w:val="en-US" w:eastAsia="zh-CN"/>
              </w:rPr>
              <w:t>污水处理厂的服务范围为园区内废水。本项目</w:t>
            </w:r>
            <w:r>
              <w:rPr>
                <w:rFonts w:hint="eastAsia" w:ascii="Times New Roman" w:hAnsi="Times New Roman" w:eastAsia="宋体" w:cs="Times New Roman"/>
                <w:color w:val="auto"/>
                <w:sz w:val="21"/>
                <w:szCs w:val="21"/>
                <w:lang w:val="en-US" w:eastAsia="zh-CN"/>
              </w:rPr>
              <w:t>厂区</w:t>
            </w:r>
            <w:r>
              <w:rPr>
                <w:rFonts w:hint="default" w:ascii="Times New Roman" w:hAnsi="Times New Roman" w:eastAsia="宋体" w:cs="Times New Roman"/>
                <w:color w:val="auto"/>
                <w:sz w:val="21"/>
                <w:szCs w:val="21"/>
                <w:lang w:val="en-US" w:eastAsia="zh-CN"/>
              </w:rPr>
              <w:t>污水管网已</w:t>
            </w:r>
            <w:r>
              <w:rPr>
                <w:rFonts w:hint="eastAsia" w:ascii="Times New Roman" w:hAnsi="Times New Roman" w:eastAsia="宋体" w:cs="Times New Roman"/>
                <w:color w:val="auto"/>
                <w:sz w:val="21"/>
                <w:szCs w:val="21"/>
                <w:lang w:val="en-US" w:eastAsia="zh-CN"/>
              </w:rPr>
              <w:t>与</w:t>
            </w:r>
            <w:r>
              <w:rPr>
                <w:rFonts w:hint="default" w:ascii="Times New Roman" w:hAnsi="Times New Roman" w:eastAsia="宋体" w:cs="Times New Roman"/>
                <w:color w:val="auto"/>
                <w:sz w:val="21"/>
                <w:szCs w:val="21"/>
                <w:lang w:val="en-US" w:eastAsia="zh-CN"/>
              </w:rPr>
              <w:t>园区污水</w:t>
            </w:r>
            <w:r>
              <w:rPr>
                <w:rFonts w:hint="default" w:ascii="Times New Roman" w:hAnsi="Times New Roman" w:eastAsia="宋体" w:cs="Times New Roman"/>
                <w:color w:val="auto"/>
                <w:kern w:val="2"/>
                <w:sz w:val="21"/>
                <w:szCs w:val="21"/>
                <w:lang w:val="en-US" w:eastAsia="zh-CN" w:bidi="ar-SA"/>
              </w:rPr>
              <w:t>管网对接，项目</w:t>
            </w:r>
            <w:r>
              <w:rPr>
                <w:rFonts w:hint="eastAsia" w:ascii="Times New Roman" w:hAnsi="Times New Roman" w:eastAsia="宋体" w:cs="Times New Roman"/>
                <w:color w:val="auto"/>
                <w:kern w:val="2"/>
                <w:sz w:val="21"/>
                <w:szCs w:val="21"/>
                <w:lang w:val="en-US" w:eastAsia="zh-CN" w:bidi="ar-SA"/>
              </w:rPr>
              <w:t>污水通过</w:t>
            </w:r>
            <w:r>
              <w:rPr>
                <w:rFonts w:hint="default" w:ascii="Times New Roman" w:hAnsi="Times New Roman" w:eastAsia="宋体" w:cs="Times New Roman"/>
                <w:color w:val="auto"/>
                <w:kern w:val="2"/>
                <w:sz w:val="21"/>
                <w:szCs w:val="21"/>
                <w:lang w:val="en-US" w:eastAsia="zh-CN" w:bidi="ar-SA"/>
              </w:rPr>
              <w:t>园区污水管网进入</w:t>
            </w:r>
            <w:r>
              <w:rPr>
                <w:rFonts w:hint="eastAsia" w:ascii="Times New Roman" w:hAnsi="Times New Roman" w:eastAsia="宋体" w:cs="Times New Roman"/>
                <w:color w:val="auto"/>
                <w:kern w:val="2"/>
                <w:sz w:val="21"/>
                <w:szCs w:val="21"/>
                <w:shd w:val="clear" w:color="auto" w:fill="auto"/>
                <w:lang w:val="en-US" w:eastAsia="zh-CN"/>
              </w:rPr>
              <w:t>昌吉高新区</w:t>
            </w:r>
            <w:r>
              <w:rPr>
                <w:rFonts w:hint="default" w:ascii="Times New Roman" w:hAnsi="Times New Roman" w:eastAsia="宋体" w:cs="Times New Roman"/>
                <w:color w:val="auto"/>
                <w:kern w:val="2"/>
                <w:sz w:val="21"/>
                <w:szCs w:val="21"/>
                <w:shd w:val="clear" w:color="auto" w:fill="auto"/>
                <w:lang w:val="en-US" w:eastAsia="zh-CN"/>
              </w:rPr>
              <w:t>污水处理厂</w:t>
            </w:r>
            <w:r>
              <w:rPr>
                <w:rFonts w:hint="default" w:ascii="Times New Roman" w:hAnsi="Times New Roman" w:eastAsia="宋体" w:cs="Times New Roman"/>
                <w:color w:val="auto"/>
                <w:kern w:val="2"/>
                <w:sz w:val="21"/>
                <w:szCs w:val="21"/>
                <w:lang w:val="en-US" w:eastAsia="zh-CN" w:bidi="ar-SA"/>
              </w:rPr>
              <w:t>可行。</w:t>
            </w:r>
          </w:p>
          <w:p w14:paraId="07F5156C">
            <w:pPr>
              <w:pStyle w:val="18"/>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eastAsia" w:ascii="Times New Roman" w:hAnsi="Times New Roman" w:eastAsia="宋体" w:cs="Times New Roman"/>
                <w:color w:val="auto"/>
                <w:kern w:val="2"/>
                <w:sz w:val="21"/>
                <w:szCs w:val="21"/>
                <w:lang w:val="en-US" w:eastAsia="zh-CN" w:bidi="ar-SA"/>
              </w:rPr>
              <w:t>4</w:t>
            </w:r>
            <w:r>
              <w:rPr>
                <w:rFonts w:hint="default" w:ascii="Times New Roman" w:hAnsi="Times New Roman" w:eastAsia="宋体" w:cs="Times New Roman"/>
                <w:color w:val="auto"/>
                <w:kern w:val="2"/>
                <w:sz w:val="21"/>
                <w:szCs w:val="21"/>
                <w:lang w:val="en-US" w:eastAsia="zh-CN" w:bidi="ar-SA"/>
              </w:rPr>
              <w:t>）水量分析</w:t>
            </w:r>
          </w:p>
          <w:p w14:paraId="2D70A3DD">
            <w:pPr>
              <w:pStyle w:val="18"/>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本项目运营期</w:t>
            </w:r>
            <w:r>
              <w:rPr>
                <w:rFonts w:hint="eastAsia" w:ascii="Times New Roman" w:hAnsi="Times New Roman" w:eastAsia="宋体" w:cs="Times New Roman"/>
                <w:color w:val="auto"/>
                <w:sz w:val="21"/>
                <w:szCs w:val="21"/>
                <w:lang w:eastAsia="zh-CN"/>
              </w:rPr>
              <w:t>废水</w:t>
            </w:r>
            <w:r>
              <w:rPr>
                <w:rFonts w:hint="default" w:ascii="Times New Roman" w:hAnsi="Times New Roman" w:eastAsia="宋体" w:cs="Times New Roman"/>
                <w:color w:val="auto"/>
                <w:sz w:val="21"/>
                <w:szCs w:val="21"/>
              </w:rPr>
              <w:t>排放量</w:t>
            </w:r>
            <w:r>
              <w:rPr>
                <w:rFonts w:hint="eastAsia" w:cs="Times New Roman"/>
                <w:color w:val="auto"/>
                <w:sz w:val="21"/>
                <w:szCs w:val="21"/>
                <w:lang w:val="en-US" w:eastAsia="zh-CN"/>
              </w:rPr>
              <w:t>288583.13</w:t>
            </w: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kern w:val="2"/>
                <w:sz w:val="21"/>
                <w:szCs w:val="21"/>
                <w:lang w:val="en-US" w:eastAsia="zh-CN" w:bidi="ar-SA"/>
              </w:rPr>
              <w:t>/a</w:t>
            </w:r>
            <w:r>
              <w:rPr>
                <w:rFonts w:hint="eastAsia" w:ascii="Times New Roman" w:hAnsi="Times New Roman" w:eastAsia="宋体" w:cs="Times New Roman"/>
                <w:color w:val="auto"/>
                <w:kern w:val="2"/>
                <w:sz w:val="21"/>
                <w:szCs w:val="21"/>
                <w:lang w:val="en-US" w:eastAsia="zh-CN" w:bidi="ar-SA"/>
              </w:rPr>
              <w:t>，</w:t>
            </w:r>
            <w:r>
              <w:rPr>
                <w:rFonts w:hint="eastAsia" w:cs="Times New Roman"/>
                <w:color w:val="auto"/>
                <w:kern w:val="2"/>
                <w:sz w:val="21"/>
                <w:szCs w:val="21"/>
                <w:lang w:val="en-US" w:eastAsia="zh-CN" w:bidi="ar-SA"/>
              </w:rPr>
              <w:t>988.3</w:t>
            </w: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kern w:val="2"/>
                <w:sz w:val="21"/>
                <w:szCs w:val="21"/>
                <w:lang w:val="en-US" w:eastAsia="zh-CN" w:bidi="ar-SA"/>
              </w:rPr>
              <w:t>/</w:t>
            </w:r>
            <w:r>
              <w:rPr>
                <w:rFonts w:hint="eastAsia" w:ascii="Times New Roman" w:hAnsi="Times New Roman" w:eastAsia="宋体" w:cs="Times New Roman"/>
                <w:color w:val="auto"/>
                <w:kern w:val="2"/>
                <w:sz w:val="21"/>
                <w:szCs w:val="21"/>
                <w:lang w:val="en-US" w:eastAsia="zh-CN" w:bidi="ar-SA"/>
              </w:rPr>
              <w:t>d，通过园区污水管网进入高新</w:t>
            </w:r>
            <w:r>
              <w:rPr>
                <w:rFonts w:hint="eastAsia" w:ascii="Times New Roman" w:hAnsi="Times New Roman" w:eastAsia="宋体" w:cs="Times New Roman"/>
                <w:color w:val="auto"/>
                <w:sz w:val="21"/>
                <w:szCs w:val="21"/>
                <w:lang w:val="en-US" w:eastAsia="zh-CN"/>
              </w:rPr>
              <w:t>海天</w:t>
            </w:r>
            <w:r>
              <w:rPr>
                <w:rFonts w:hint="eastAsia" w:ascii="Times New Roman" w:hAnsi="Times New Roman" w:eastAsia="宋体" w:cs="Times New Roman"/>
                <w:color w:val="auto"/>
                <w:kern w:val="2"/>
                <w:sz w:val="21"/>
                <w:szCs w:val="21"/>
                <w:lang w:val="en-US" w:eastAsia="zh-CN" w:bidi="ar-SA"/>
              </w:rPr>
              <w:t>污水处理厂处理</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园区污水处理厂能够满足拟建项目污水处理量的需求</w:t>
            </w: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按照排放标准计算，本项目排至污水厂的COD为57.71t/a，氨氮量为2.31t/a。</w:t>
            </w:r>
          </w:p>
          <w:p w14:paraId="741AF233">
            <w:pPr>
              <w:pStyle w:val="18"/>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eastAsia" w:cs="Times New Roman"/>
                <w:color w:val="auto"/>
                <w:kern w:val="2"/>
                <w:sz w:val="21"/>
                <w:szCs w:val="21"/>
                <w:lang w:val="en-US" w:eastAsia="zh-CN" w:bidi="ar-SA"/>
              </w:rPr>
              <w:t>5</w:t>
            </w:r>
            <w:r>
              <w:rPr>
                <w:rFonts w:hint="default" w:ascii="Times New Roman" w:hAnsi="Times New Roman" w:eastAsia="宋体" w:cs="Times New Roman"/>
                <w:color w:val="auto"/>
                <w:kern w:val="2"/>
                <w:sz w:val="21"/>
                <w:szCs w:val="21"/>
                <w:lang w:val="en-US" w:eastAsia="zh-CN" w:bidi="ar-SA"/>
              </w:rPr>
              <w:t>）水质</w:t>
            </w:r>
          </w:p>
          <w:p w14:paraId="53B4ED08">
            <w:pPr>
              <w:pStyle w:val="18"/>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昌吉高新区污水处理厂</w:t>
            </w:r>
            <w:r>
              <w:rPr>
                <w:rFonts w:hint="eastAsia" w:ascii="Times New Roman" w:hAnsi="Times New Roman" w:eastAsia="宋体" w:cs="Times New Roman"/>
                <w:color w:val="auto"/>
                <w:sz w:val="21"/>
                <w:szCs w:val="21"/>
                <w:lang w:val="en-US" w:eastAsia="zh-CN"/>
              </w:rPr>
              <w:t>设计进水水质标准为《污水综合排放标准》（GB8978-1996）中表4第二类污染物最高允许排放浓度中的三级标准（即COD</w:t>
            </w:r>
            <w:r>
              <w:rPr>
                <w:rFonts w:ascii="Times New Roman" w:hAnsi="Times New Roman" w:eastAsia="宋体" w:cs="Times New Roman"/>
                <w:color w:val="auto"/>
                <w:sz w:val="21"/>
                <w:szCs w:val="21"/>
                <w:vertAlign w:val="subscript"/>
                <w:lang w:eastAsia="zh-CN"/>
              </w:rPr>
              <w:t>cr</w:t>
            </w:r>
            <w:r>
              <w:rPr>
                <w:rFonts w:hint="eastAsia" w:ascii="Times New Roman" w:hAnsi="Times New Roman" w:eastAsia="宋体" w:cs="Times New Roman"/>
                <w:color w:val="auto"/>
                <w:sz w:val="21"/>
                <w:szCs w:val="21"/>
                <w:lang w:val="en-US" w:eastAsia="zh-CN"/>
              </w:rPr>
              <w:t>:500</w:t>
            </w:r>
            <w:r>
              <w:rPr>
                <w:rFonts w:hint="default" w:ascii="Times New Roman" w:hAnsi="Times New Roman" w:cs="Times New Roman"/>
                <w:color w:val="auto"/>
                <w:sz w:val="21"/>
                <w:szCs w:val="21"/>
                <w:highlight w:val="none"/>
              </w:rPr>
              <w:t>mg/</w:t>
            </w:r>
            <w:r>
              <w:rPr>
                <w:rFonts w:hint="eastAsia" w:ascii="Times New Roman" w:hAnsi="Times New Roman" w:cs="Times New Roman"/>
                <w:color w:val="auto"/>
                <w:sz w:val="21"/>
                <w:szCs w:val="21"/>
                <w:highlight w:val="none"/>
                <w:lang w:val="en-US" w:eastAsia="zh-CN"/>
              </w:rPr>
              <w:t>L</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lang w:val="en-US" w:eastAsia="zh-CN"/>
              </w:rPr>
              <w:t>BOD</w:t>
            </w:r>
            <w:r>
              <w:rPr>
                <w:rFonts w:hint="eastAsia" w:ascii="Times New Roman" w:hAnsi="Times New Roman" w:eastAsia="宋体" w:cs="Times New Roman"/>
                <w:color w:val="auto"/>
                <w:sz w:val="21"/>
                <w:szCs w:val="21"/>
                <w:vertAlign w:val="subscript"/>
                <w:lang w:val="en-US" w:eastAsia="zh-CN"/>
              </w:rPr>
              <w:t>5:</w:t>
            </w:r>
            <w:r>
              <w:rPr>
                <w:rFonts w:hint="eastAsia" w:ascii="Times New Roman" w:hAnsi="Times New Roman" w:cs="Times New Roman"/>
                <w:color w:val="auto"/>
                <w:sz w:val="21"/>
                <w:szCs w:val="21"/>
                <w:vertAlign w:val="baseline"/>
                <w:lang w:val="en-US" w:eastAsia="zh-CN"/>
              </w:rPr>
              <w:t>300</w:t>
            </w:r>
            <w:r>
              <w:rPr>
                <w:rFonts w:hint="default" w:ascii="Times New Roman" w:hAnsi="Times New Roman" w:cs="Times New Roman"/>
                <w:color w:val="auto"/>
                <w:sz w:val="21"/>
                <w:szCs w:val="21"/>
                <w:highlight w:val="none"/>
              </w:rPr>
              <w:t>mg/</w:t>
            </w:r>
            <w:r>
              <w:rPr>
                <w:rFonts w:hint="eastAsia" w:ascii="Times New Roman" w:hAnsi="Times New Roman" w:cs="Times New Roman"/>
                <w:color w:val="auto"/>
                <w:sz w:val="21"/>
                <w:szCs w:val="21"/>
                <w:highlight w:val="none"/>
                <w:lang w:val="en-US" w:eastAsia="zh-CN"/>
              </w:rPr>
              <w:t>L</w:t>
            </w:r>
            <w:r>
              <w:rPr>
                <w:rFonts w:hint="eastAsia" w:ascii="Times New Roman" w:hAnsi="Times New Roman" w:eastAsia="宋体" w:cs="Times New Roman"/>
                <w:color w:val="auto"/>
                <w:sz w:val="21"/>
                <w:szCs w:val="21"/>
                <w:lang w:val="en-US" w:eastAsia="zh-CN"/>
              </w:rPr>
              <w:t>，SS</w:t>
            </w:r>
            <w:r>
              <w:rPr>
                <w:rFonts w:hint="eastAsia" w:ascii="Times New Roman" w:hAnsi="Times New Roman" w:cs="Times New Roman"/>
                <w:color w:val="auto"/>
                <w:sz w:val="21"/>
                <w:szCs w:val="21"/>
                <w:vertAlign w:val="baseline"/>
                <w:lang w:eastAsia="zh-CN"/>
              </w:rPr>
              <w:t>：</w:t>
            </w:r>
            <w:r>
              <w:rPr>
                <w:rFonts w:hint="eastAsia" w:ascii="Times New Roman" w:hAnsi="Times New Roman" w:cs="Times New Roman"/>
                <w:color w:val="auto"/>
                <w:sz w:val="21"/>
                <w:szCs w:val="21"/>
                <w:vertAlign w:val="baseline"/>
                <w:lang w:val="en-US" w:eastAsia="zh-CN"/>
              </w:rPr>
              <w:t>400</w:t>
            </w:r>
            <w:r>
              <w:rPr>
                <w:rFonts w:hint="default" w:ascii="Times New Roman" w:hAnsi="Times New Roman" w:cs="Times New Roman"/>
                <w:color w:val="auto"/>
                <w:sz w:val="21"/>
                <w:szCs w:val="21"/>
                <w:highlight w:val="none"/>
              </w:rPr>
              <w:t>mg/</w:t>
            </w:r>
            <w:r>
              <w:rPr>
                <w:rFonts w:hint="eastAsia" w:ascii="Times New Roman" w:hAnsi="Times New Roman" w:cs="Times New Roman"/>
                <w:color w:val="auto"/>
                <w:sz w:val="21"/>
                <w:szCs w:val="21"/>
                <w:highlight w:val="none"/>
                <w:lang w:val="en-US" w:eastAsia="zh-CN"/>
              </w:rPr>
              <w:t>L</w:t>
            </w:r>
            <w:r>
              <w:rPr>
                <w:rFonts w:hint="eastAsia" w:ascii="Times New Roman" w:hAnsi="Times New Roman" w:eastAsia="宋体" w:cs="Times New Roman"/>
                <w:color w:val="auto"/>
                <w:sz w:val="21"/>
                <w:szCs w:val="21"/>
                <w:lang w:val="en-US" w:eastAsia="zh-CN"/>
              </w:rPr>
              <w:t>）；氨氮排放浓度执行《污水排入城镇下水道水质标准》（GB/T31962-2015）中表1污水排入城镇下水道水质控制项目限值中的B级标准45</w:t>
            </w:r>
            <w:r>
              <w:rPr>
                <w:rFonts w:hint="default" w:ascii="Times New Roman" w:hAnsi="Times New Roman" w:cs="Times New Roman"/>
                <w:color w:val="auto"/>
                <w:sz w:val="21"/>
                <w:szCs w:val="21"/>
                <w:highlight w:val="none"/>
              </w:rPr>
              <w:t>mg/</w:t>
            </w:r>
            <w:r>
              <w:rPr>
                <w:rFonts w:hint="eastAsia" w:ascii="Times New Roman" w:hAnsi="Times New Roman" w:cs="Times New Roman"/>
                <w:color w:val="auto"/>
                <w:sz w:val="21"/>
                <w:szCs w:val="21"/>
                <w:highlight w:val="none"/>
                <w:lang w:val="en-US" w:eastAsia="zh-CN"/>
              </w:rPr>
              <w:t>L</w:t>
            </w:r>
            <w:r>
              <w:rPr>
                <w:rFonts w:hint="eastAsia" w:ascii="Times New Roman" w:hAnsi="Times New Roman" w:eastAsia="宋体" w:cs="Times New Roman"/>
                <w:color w:val="auto"/>
                <w:sz w:val="21"/>
                <w:szCs w:val="21"/>
                <w:vertAlign w:val="baseline"/>
                <w:lang w:val="en-US" w:eastAsia="zh-CN"/>
              </w:rPr>
              <w:t>。</w:t>
            </w:r>
            <w:r>
              <w:rPr>
                <w:rFonts w:hint="eastAsia" w:ascii="Times New Roman" w:hAnsi="Times New Roman" w:eastAsia="宋体" w:cs="Times New Roman"/>
                <w:color w:val="auto"/>
                <w:sz w:val="21"/>
                <w:szCs w:val="21"/>
                <w:lang w:val="en-US" w:eastAsia="zh-CN"/>
              </w:rPr>
              <w:t>根据本项目废水排放情况表可知</w:t>
            </w:r>
            <w:r>
              <w:rPr>
                <w:rFonts w:hint="eastAsia" w:ascii="Times New Roman" w:hAnsi="Times New Roman" w:eastAsia="宋体" w:cs="Times New Roman"/>
                <w:color w:val="auto"/>
                <w:kern w:val="2"/>
                <w:sz w:val="21"/>
                <w:szCs w:val="21"/>
                <w:lang w:val="en-US" w:eastAsia="zh-CN" w:bidi="ar-SA"/>
              </w:rPr>
              <w:t>，本项目废水能够满足</w:t>
            </w:r>
            <w:r>
              <w:rPr>
                <w:rFonts w:hint="default" w:ascii="Times New Roman" w:hAnsi="Times New Roman" w:eastAsia="宋体" w:cs="Times New Roman"/>
                <w:color w:val="auto"/>
                <w:sz w:val="21"/>
                <w:szCs w:val="21"/>
                <w:lang w:val="en-US" w:eastAsia="zh-CN"/>
              </w:rPr>
              <w:t>昌吉高新区污水处理厂</w:t>
            </w:r>
            <w:r>
              <w:rPr>
                <w:rFonts w:hint="eastAsia" w:ascii="Times New Roman" w:hAnsi="Times New Roman" w:eastAsia="宋体" w:cs="Times New Roman"/>
                <w:color w:val="auto"/>
                <w:sz w:val="21"/>
                <w:szCs w:val="21"/>
                <w:lang w:val="en-US" w:eastAsia="zh-CN"/>
              </w:rPr>
              <w:t>设计进水水质标准</w:t>
            </w:r>
            <w:r>
              <w:rPr>
                <w:rFonts w:hint="default" w:ascii="Times New Roman" w:hAnsi="Times New Roman" w:eastAsia="宋体" w:cs="Times New Roman"/>
                <w:color w:val="auto"/>
                <w:kern w:val="2"/>
                <w:sz w:val="21"/>
                <w:szCs w:val="21"/>
                <w:lang w:val="en-US" w:eastAsia="zh-CN" w:bidi="ar-SA"/>
              </w:rPr>
              <w:t>。</w:t>
            </w:r>
          </w:p>
          <w:p w14:paraId="018BE3AD">
            <w:pPr>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lang w:val="en-US" w:eastAsia="zh-CN" w:bidi="ar-SA"/>
              </w:rPr>
              <w:t>综上所述，从园区污水管网、进水水质与水量的符合性等方面考虑，本项目废水经园区污水管网进入</w:t>
            </w:r>
            <w:r>
              <w:rPr>
                <w:rFonts w:hint="default" w:ascii="Times New Roman" w:hAnsi="Times New Roman" w:eastAsia="宋体" w:cs="Times New Roman"/>
                <w:color w:val="auto"/>
                <w:kern w:val="2"/>
                <w:sz w:val="21"/>
                <w:szCs w:val="21"/>
                <w:shd w:val="clear" w:color="auto" w:fill="auto"/>
                <w:lang w:val="en-US" w:eastAsia="zh-CN"/>
              </w:rPr>
              <w:t>昌吉高新</w:t>
            </w:r>
            <w:r>
              <w:rPr>
                <w:rFonts w:hint="eastAsia" w:ascii="Times New Roman" w:hAnsi="Times New Roman" w:eastAsia="宋体" w:cs="Times New Roman"/>
                <w:color w:val="auto"/>
                <w:sz w:val="21"/>
                <w:szCs w:val="21"/>
                <w:lang w:val="en-US" w:eastAsia="zh-CN"/>
              </w:rPr>
              <w:t>海天</w:t>
            </w:r>
            <w:r>
              <w:rPr>
                <w:rFonts w:hint="default" w:ascii="Times New Roman" w:hAnsi="Times New Roman" w:eastAsia="宋体" w:cs="Times New Roman"/>
                <w:color w:val="auto"/>
                <w:kern w:val="2"/>
                <w:sz w:val="21"/>
                <w:szCs w:val="21"/>
                <w:shd w:val="clear" w:color="auto" w:fill="auto"/>
                <w:lang w:val="en-US" w:eastAsia="zh-CN"/>
              </w:rPr>
              <w:t>污水处理厂</w:t>
            </w:r>
            <w:r>
              <w:rPr>
                <w:rFonts w:hint="default" w:ascii="Times New Roman" w:hAnsi="Times New Roman" w:eastAsia="宋体" w:cs="Times New Roman"/>
                <w:color w:val="auto"/>
                <w:kern w:val="2"/>
                <w:sz w:val="21"/>
                <w:szCs w:val="21"/>
                <w:lang w:val="en-US" w:eastAsia="zh-CN" w:bidi="ar-SA"/>
              </w:rPr>
              <w:t>处理是可行、可靠的，项目外排废水对</w:t>
            </w:r>
            <w:r>
              <w:rPr>
                <w:rFonts w:hint="default" w:ascii="Times New Roman" w:hAnsi="Times New Roman" w:eastAsia="宋体" w:cs="Times New Roman"/>
                <w:color w:val="auto"/>
                <w:kern w:val="2"/>
                <w:sz w:val="21"/>
                <w:szCs w:val="21"/>
                <w:shd w:val="clear" w:color="auto" w:fill="auto"/>
                <w:lang w:val="en-US" w:eastAsia="zh-CN"/>
              </w:rPr>
              <w:t>昌吉高新</w:t>
            </w:r>
            <w:r>
              <w:rPr>
                <w:rFonts w:hint="eastAsia" w:ascii="Times New Roman" w:hAnsi="Times New Roman" w:eastAsia="宋体" w:cs="Times New Roman"/>
                <w:color w:val="auto"/>
                <w:sz w:val="21"/>
                <w:szCs w:val="21"/>
                <w:lang w:val="en-US" w:eastAsia="zh-CN"/>
              </w:rPr>
              <w:t>海天</w:t>
            </w:r>
            <w:r>
              <w:rPr>
                <w:rFonts w:hint="default" w:ascii="Times New Roman" w:hAnsi="Times New Roman" w:eastAsia="宋体" w:cs="Times New Roman"/>
                <w:color w:val="auto"/>
                <w:kern w:val="2"/>
                <w:sz w:val="21"/>
                <w:szCs w:val="21"/>
                <w:shd w:val="clear" w:color="auto" w:fill="auto"/>
                <w:lang w:val="en-US" w:eastAsia="zh-CN"/>
              </w:rPr>
              <w:t>污水处理厂</w:t>
            </w:r>
            <w:r>
              <w:rPr>
                <w:rFonts w:hint="default" w:ascii="Times New Roman" w:hAnsi="Times New Roman" w:eastAsia="宋体" w:cs="Times New Roman"/>
                <w:color w:val="auto"/>
                <w:kern w:val="2"/>
                <w:sz w:val="21"/>
                <w:szCs w:val="21"/>
                <w:lang w:val="en-US" w:eastAsia="zh-CN" w:bidi="ar-SA"/>
              </w:rPr>
              <w:t>的冲击负荷很小。</w:t>
            </w:r>
          </w:p>
          <w:p w14:paraId="4558E334">
            <w:pPr>
              <w:pStyle w:val="26"/>
              <w:spacing w:line="360" w:lineRule="auto"/>
              <w:ind w:left="0" w:firstLine="422" w:firstLineChars="200"/>
              <w:rPr>
                <w:rFonts w:hint="default" w:ascii="Times New Roman" w:hAnsi="Times New Roman" w:cs="Times New Roman"/>
                <w:b/>
                <w:bCs/>
                <w:color w:val="auto"/>
                <w:sz w:val="21"/>
                <w:szCs w:val="21"/>
                <w:highlight w:val="none"/>
              </w:rPr>
            </w:pPr>
            <w:r>
              <w:rPr>
                <w:rFonts w:hint="eastAsia" w:ascii="Times New Roman" w:hAnsi="Times New Roman" w:cs="Times New Roman"/>
                <w:b/>
                <w:bCs/>
                <w:color w:val="auto"/>
                <w:sz w:val="21"/>
                <w:szCs w:val="21"/>
                <w:highlight w:val="none"/>
                <w:lang w:val="en-US" w:eastAsia="zh-CN"/>
              </w:rPr>
              <w:t>5、</w:t>
            </w:r>
            <w:r>
              <w:rPr>
                <w:rFonts w:hint="default" w:ascii="Times New Roman" w:hAnsi="Times New Roman" w:cs="Times New Roman"/>
                <w:b/>
                <w:bCs/>
                <w:color w:val="auto"/>
                <w:sz w:val="21"/>
                <w:szCs w:val="21"/>
                <w:highlight w:val="none"/>
              </w:rPr>
              <w:t>废水排放监测计划</w:t>
            </w:r>
          </w:p>
          <w:p w14:paraId="2FA79792">
            <w:pPr>
              <w:spacing w:line="360" w:lineRule="auto"/>
              <w:ind w:firstLine="420" w:firstLineChars="200"/>
              <w:rPr>
                <w:rFonts w:hint="default" w:ascii="Times New Roman" w:hAnsi="Times New Roman" w:cs="Times New Roman"/>
                <w:bCs/>
                <w:color w:val="auto"/>
                <w:szCs w:val="21"/>
              </w:rPr>
            </w:pPr>
            <w:r>
              <w:rPr>
                <w:rFonts w:hint="default" w:ascii="Times New Roman" w:hAnsi="Times New Roman" w:cs="Times New Roman"/>
                <w:bCs/>
                <w:color w:val="auto"/>
                <w:szCs w:val="21"/>
              </w:rPr>
              <w:t xml:space="preserve">参照《排污单位自行监测技术指南 </w:t>
            </w:r>
            <w:r>
              <w:rPr>
                <w:rFonts w:hint="default" w:ascii="Times New Roman" w:hAnsi="Times New Roman" w:cs="Times New Roman"/>
                <w:bCs/>
                <w:color w:val="auto"/>
                <w:szCs w:val="21"/>
                <w:lang w:val="en-US" w:eastAsia="zh-CN"/>
              </w:rPr>
              <w:t>钢铁工业及炼焦化学工业</w:t>
            </w:r>
            <w:r>
              <w:rPr>
                <w:rFonts w:hint="default" w:ascii="Times New Roman" w:hAnsi="Times New Roman" w:cs="Times New Roman"/>
                <w:bCs/>
                <w:color w:val="auto"/>
                <w:szCs w:val="21"/>
              </w:rPr>
              <w:t>》（HJ 1031-2019）、《排污单位自行监测技术指南 总则》（HJ 819-2017）等要求及本项目实际情况，制定监测计划，具体见下表。</w:t>
            </w:r>
          </w:p>
          <w:p w14:paraId="476F2D1C">
            <w:pPr>
              <w:spacing w:line="360" w:lineRule="auto"/>
              <w:jc w:val="center"/>
              <w:rPr>
                <w:rFonts w:hint="default" w:ascii="Times New Roman" w:hAnsi="Times New Roman" w:eastAsia="黑体" w:cs="Times New Roman"/>
                <w:bCs/>
                <w:color w:val="auto"/>
                <w:sz w:val="24"/>
                <w:highlight w:val="yellow"/>
              </w:rPr>
            </w:pPr>
            <w:r>
              <w:rPr>
                <w:rFonts w:hint="default" w:ascii="Times New Roman" w:hAnsi="Times New Roman" w:eastAsia="黑体" w:cs="Times New Roman"/>
                <w:bCs/>
                <w:color w:val="auto"/>
                <w:szCs w:val="21"/>
              </w:rPr>
              <w:t>表</w:t>
            </w:r>
            <w:r>
              <w:rPr>
                <w:rFonts w:hint="default" w:ascii="Times New Roman" w:hAnsi="Times New Roman" w:eastAsia="黑体" w:cs="Times New Roman"/>
                <w:color w:val="auto"/>
                <w:szCs w:val="21"/>
                <w:lang w:val="en-US" w:eastAsia="zh-CN"/>
              </w:rPr>
              <w:t xml:space="preserve">4-18 </w:t>
            </w:r>
            <w:r>
              <w:rPr>
                <w:rFonts w:hint="default" w:ascii="Times New Roman" w:hAnsi="Times New Roman" w:eastAsia="黑体" w:cs="Times New Roman"/>
                <w:bCs/>
                <w:color w:val="auto"/>
                <w:szCs w:val="21"/>
              </w:rPr>
              <w:t xml:space="preserve">  项目废水监测方案</w:t>
            </w:r>
          </w:p>
          <w:tbl>
            <w:tblPr>
              <w:tblStyle w:val="33"/>
              <w:tblW w:w="5000"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04"/>
              <w:gridCol w:w="1145"/>
              <w:gridCol w:w="1145"/>
              <w:gridCol w:w="892"/>
              <w:gridCol w:w="1273"/>
              <w:gridCol w:w="1785"/>
              <w:gridCol w:w="1158"/>
            </w:tblGrid>
            <w:tr w14:paraId="0B131A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4" w:type="pct"/>
                  <w:tcBorders>
                    <w:tl2br w:val="nil"/>
                    <w:tr2bl w:val="nil"/>
                  </w:tcBorders>
                  <w:shd w:val="clear" w:color="auto" w:fill="auto"/>
                  <w:noWrap w:val="0"/>
                  <w:vAlign w:val="center"/>
                </w:tcPr>
                <w:p w14:paraId="2EF1B8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rPr>
                  </w:pPr>
                  <w:r>
                    <w:rPr>
                      <w:rFonts w:hint="default" w:ascii="Times New Roman" w:hAnsi="Times New Roman" w:cs="Times New Roman"/>
                      <w:bCs/>
                      <w:color w:val="auto"/>
                      <w:sz w:val="15"/>
                      <w:szCs w:val="15"/>
                    </w:rPr>
                    <w:t>监测点位（编号）</w:t>
                  </w:r>
                </w:p>
              </w:tc>
              <w:tc>
                <w:tcPr>
                  <w:tcW w:w="689" w:type="pct"/>
                  <w:tcBorders>
                    <w:tl2br w:val="nil"/>
                    <w:tr2bl w:val="nil"/>
                  </w:tcBorders>
                  <w:shd w:val="clear" w:color="auto" w:fill="auto"/>
                  <w:noWrap w:val="0"/>
                  <w:vAlign w:val="center"/>
                </w:tcPr>
                <w:p w14:paraId="6D83EA3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15"/>
                      <w:szCs w:val="15"/>
                      <w:lang w:val="en-US" w:eastAsia="zh-CN"/>
                    </w:rPr>
                  </w:pPr>
                  <w:r>
                    <w:rPr>
                      <w:rFonts w:hint="eastAsia" w:cs="Times New Roman"/>
                      <w:bCs/>
                      <w:color w:val="auto"/>
                      <w:sz w:val="15"/>
                      <w:szCs w:val="15"/>
                      <w:lang w:val="en-US" w:eastAsia="zh-CN"/>
                    </w:rPr>
                    <w:t>排口类型</w:t>
                  </w:r>
                </w:p>
              </w:tc>
              <w:tc>
                <w:tcPr>
                  <w:tcW w:w="689" w:type="pct"/>
                  <w:tcBorders>
                    <w:tl2br w:val="nil"/>
                    <w:tr2bl w:val="nil"/>
                  </w:tcBorders>
                  <w:shd w:val="clear" w:color="auto" w:fill="auto"/>
                  <w:noWrap w:val="0"/>
                  <w:vAlign w:val="center"/>
                </w:tcPr>
                <w:p w14:paraId="33B33D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rPr>
                  </w:pPr>
                  <w:r>
                    <w:rPr>
                      <w:rFonts w:hint="default" w:ascii="Times New Roman" w:hAnsi="Times New Roman" w:cs="Times New Roman"/>
                      <w:bCs/>
                      <w:color w:val="auto"/>
                      <w:sz w:val="15"/>
                      <w:szCs w:val="15"/>
                    </w:rPr>
                    <w:t>排放去向</w:t>
                  </w:r>
                </w:p>
              </w:tc>
              <w:tc>
                <w:tcPr>
                  <w:tcW w:w="537" w:type="pct"/>
                  <w:tcBorders>
                    <w:tl2br w:val="nil"/>
                    <w:tr2bl w:val="nil"/>
                  </w:tcBorders>
                  <w:shd w:val="clear" w:color="auto" w:fill="auto"/>
                  <w:noWrap w:val="0"/>
                  <w:vAlign w:val="center"/>
                </w:tcPr>
                <w:p w14:paraId="3F553DA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rPr>
                  </w:pPr>
                  <w:r>
                    <w:rPr>
                      <w:rFonts w:hint="default" w:ascii="Times New Roman" w:hAnsi="Times New Roman" w:cs="Times New Roman"/>
                      <w:bCs/>
                      <w:color w:val="auto"/>
                      <w:sz w:val="15"/>
                      <w:szCs w:val="15"/>
                    </w:rPr>
                    <w:t>排放规律</w:t>
                  </w:r>
                </w:p>
              </w:tc>
              <w:tc>
                <w:tcPr>
                  <w:tcW w:w="766" w:type="pct"/>
                  <w:tcBorders>
                    <w:tl2br w:val="nil"/>
                    <w:tr2bl w:val="nil"/>
                  </w:tcBorders>
                  <w:shd w:val="clear" w:color="auto" w:fill="auto"/>
                  <w:noWrap w:val="0"/>
                  <w:vAlign w:val="center"/>
                </w:tcPr>
                <w:p w14:paraId="7D46D0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15"/>
                      <w:szCs w:val="15"/>
                      <w:lang w:eastAsia="zh-CN"/>
                    </w:rPr>
                  </w:pPr>
                  <w:r>
                    <w:rPr>
                      <w:rFonts w:hint="default" w:ascii="Times New Roman" w:hAnsi="Times New Roman" w:cs="Times New Roman"/>
                      <w:bCs/>
                      <w:color w:val="auto"/>
                      <w:sz w:val="15"/>
                      <w:szCs w:val="15"/>
                      <w:lang w:val="en-US" w:eastAsia="zh-CN"/>
                    </w:rPr>
                    <w:t>位置</w:t>
                  </w:r>
                </w:p>
              </w:tc>
              <w:tc>
                <w:tcPr>
                  <w:tcW w:w="1074" w:type="pct"/>
                  <w:tcBorders>
                    <w:tl2br w:val="nil"/>
                    <w:tr2bl w:val="nil"/>
                  </w:tcBorders>
                  <w:shd w:val="clear" w:color="auto" w:fill="auto"/>
                  <w:noWrap w:val="0"/>
                  <w:vAlign w:val="center"/>
                </w:tcPr>
                <w:p w14:paraId="3C1356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rPr>
                  </w:pPr>
                  <w:r>
                    <w:rPr>
                      <w:rFonts w:hint="default" w:ascii="Times New Roman" w:hAnsi="Times New Roman" w:cs="Times New Roman"/>
                      <w:bCs/>
                      <w:color w:val="auto"/>
                      <w:sz w:val="15"/>
                      <w:szCs w:val="15"/>
                    </w:rPr>
                    <w:t>监测因子</w:t>
                  </w:r>
                </w:p>
              </w:tc>
              <w:tc>
                <w:tcPr>
                  <w:tcW w:w="697" w:type="pct"/>
                  <w:tcBorders>
                    <w:tl2br w:val="nil"/>
                    <w:tr2bl w:val="nil"/>
                  </w:tcBorders>
                  <w:shd w:val="clear" w:color="auto" w:fill="auto"/>
                  <w:noWrap w:val="0"/>
                  <w:vAlign w:val="center"/>
                </w:tcPr>
                <w:p w14:paraId="729B4E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rPr>
                  </w:pPr>
                  <w:r>
                    <w:rPr>
                      <w:rFonts w:hint="default" w:ascii="Times New Roman" w:hAnsi="Times New Roman" w:cs="Times New Roman"/>
                      <w:bCs/>
                      <w:color w:val="auto"/>
                      <w:sz w:val="15"/>
                      <w:szCs w:val="15"/>
                    </w:rPr>
                    <w:t>监测频次</w:t>
                  </w:r>
                </w:p>
              </w:tc>
            </w:tr>
            <w:tr w14:paraId="177367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 w:hRule="atLeast"/>
              </w:trPr>
              <w:tc>
                <w:tcPr>
                  <w:tcW w:w="544" w:type="pct"/>
                  <w:vMerge w:val="restart"/>
                  <w:tcBorders>
                    <w:tl2br w:val="nil"/>
                    <w:tr2bl w:val="nil"/>
                  </w:tcBorders>
                  <w:shd w:val="clear" w:color="auto" w:fill="auto"/>
                  <w:noWrap w:val="0"/>
                  <w:vAlign w:val="center"/>
                </w:tcPr>
                <w:p w14:paraId="048E5AC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rPr>
                  </w:pPr>
                  <w:r>
                    <w:rPr>
                      <w:rFonts w:hint="default" w:ascii="Times New Roman" w:hAnsi="Times New Roman" w:cs="Times New Roman"/>
                      <w:bCs/>
                      <w:color w:val="auto"/>
                      <w:sz w:val="15"/>
                      <w:szCs w:val="15"/>
                    </w:rPr>
                    <w:t>废水总排口</w:t>
                  </w:r>
                </w:p>
                <w:p w14:paraId="67FE22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rPr>
                  </w:pPr>
                  <w:r>
                    <w:rPr>
                      <w:rFonts w:hint="default" w:ascii="Times New Roman" w:hAnsi="Times New Roman" w:cs="Times New Roman"/>
                      <w:bCs/>
                      <w:color w:val="auto"/>
                      <w:sz w:val="15"/>
                      <w:szCs w:val="15"/>
                    </w:rPr>
                    <w:t>(DW001)</w:t>
                  </w:r>
                </w:p>
              </w:tc>
              <w:tc>
                <w:tcPr>
                  <w:tcW w:w="689" w:type="pct"/>
                  <w:vMerge w:val="restart"/>
                  <w:tcBorders>
                    <w:tl2br w:val="nil"/>
                    <w:tr2bl w:val="nil"/>
                  </w:tcBorders>
                  <w:shd w:val="clear" w:color="auto" w:fill="auto"/>
                  <w:noWrap w:val="0"/>
                  <w:vAlign w:val="center"/>
                </w:tcPr>
                <w:p w14:paraId="6C7B04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15"/>
                      <w:szCs w:val="15"/>
                      <w:lang w:val="en-US" w:eastAsia="zh-CN"/>
                    </w:rPr>
                  </w:pPr>
                  <w:r>
                    <w:rPr>
                      <w:rFonts w:hint="eastAsia" w:cs="Times New Roman"/>
                      <w:bCs/>
                      <w:color w:val="auto"/>
                      <w:sz w:val="15"/>
                      <w:szCs w:val="15"/>
                      <w:lang w:val="en-US" w:eastAsia="zh-CN"/>
                    </w:rPr>
                    <w:t>主要排放口</w:t>
                  </w:r>
                </w:p>
              </w:tc>
              <w:tc>
                <w:tcPr>
                  <w:tcW w:w="689" w:type="pct"/>
                  <w:vMerge w:val="restart"/>
                  <w:tcBorders>
                    <w:tl2br w:val="nil"/>
                    <w:tr2bl w:val="nil"/>
                  </w:tcBorders>
                  <w:shd w:val="clear" w:color="auto" w:fill="auto"/>
                  <w:noWrap w:val="0"/>
                  <w:vAlign w:val="center"/>
                </w:tcPr>
                <w:p w14:paraId="278DE5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rPr>
                  </w:pPr>
                  <w:r>
                    <w:rPr>
                      <w:rFonts w:hint="default" w:ascii="Times New Roman" w:hAnsi="Times New Roman" w:eastAsia="宋体" w:cs="Times New Roman"/>
                      <w:bCs/>
                      <w:color w:val="auto"/>
                      <w:sz w:val="15"/>
                      <w:szCs w:val="15"/>
                    </w:rPr>
                    <w:t>昌吉高新海天污水处理厂</w:t>
                  </w:r>
                </w:p>
              </w:tc>
              <w:tc>
                <w:tcPr>
                  <w:tcW w:w="537" w:type="pct"/>
                  <w:vMerge w:val="restart"/>
                  <w:tcBorders>
                    <w:tl2br w:val="nil"/>
                    <w:tr2bl w:val="nil"/>
                  </w:tcBorders>
                  <w:shd w:val="clear" w:color="auto" w:fill="auto"/>
                  <w:noWrap w:val="0"/>
                  <w:vAlign w:val="center"/>
                </w:tcPr>
                <w:p w14:paraId="279698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rPr>
                  </w:pPr>
                  <w:r>
                    <w:rPr>
                      <w:rFonts w:hint="default" w:ascii="Times New Roman" w:hAnsi="Times New Roman" w:cs="Times New Roman"/>
                      <w:bCs/>
                      <w:color w:val="auto"/>
                      <w:sz w:val="15"/>
                      <w:szCs w:val="15"/>
                    </w:rPr>
                    <w:t>间断排放</w:t>
                  </w:r>
                </w:p>
              </w:tc>
              <w:tc>
                <w:tcPr>
                  <w:tcW w:w="766" w:type="pct"/>
                  <w:vMerge w:val="restart"/>
                  <w:tcBorders>
                    <w:tl2br w:val="nil"/>
                    <w:tr2bl w:val="nil"/>
                  </w:tcBorders>
                  <w:shd w:val="clear" w:color="auto" w:fill="auto"/>
                  <w:noWrap w:val="0"/>
                  <w:vAlign w:val="center"/>
                </w:tcPr>
                <w:p w14:paraId="47F654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lang w:val="en-US" w:eastAsia="zh-CN"/>
                    </w:rPr>
                  </w:pPr>
                  <w:r>
                    <w:rPr>
                      <w:rFonts w:hint="default" w:ascii="Times New Roman" w:hAnsi="Times New Roman" w:cs="Times New Roman"/>
                      <w:bCs/>
                      <w:color w:val="auto"/>
                      <w:sz w:val="15"/>
                      <w:szCs w:val="15"/>
                      <w:lang w:val="en-US" w:eastAsia="zh-CN"/>
                    </w:rPr>
                    <w:t>厂区东北角</w:t>
                  </w:r>
                </w:p>
              </w:tc>
              <w:tc>
                <w:tcPr>
                  <w:tcW w:w="1074" w:type="pct"/>
                  <w:tcBorders>
                    <w:tl2br w:val="nil"/>
                    <w:tr2bl w:val="nil"/>
                  </w:tcBorders>
                  <w:shd w:val="clear" w:color="auto" w:fill="auto"/>
                  <w:noWrap w:val="0"/>
                  <w:vAlign w:val="center"/>
                </w:tcPr>
                <w:p w14:paraId="51D180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15"/>
                      <w:szCs w:val="15"/>
                      <w:lang w:eastAsia="zh-CN"/>
                    </w:rPr>
                  </w:pPr>
                  <w:r>
                    <w:rPr>
                      <w:rFonts w:hint="default" w:ascii="Times New Roman" w:hAnsi="Times New Roman" w:cs="Times New Roman"/>
                      <w:bCs/>
                      <w:color w:val="auto"/>
                      <w:sz w:val="15"/>
                      <w:szCs w:val="15"/>
                    </w:rPr>
                    <w:t>流量</w:t>
                  </w:r>
                </w:p>
              </w:tc>
              <w:tc>
                <w:tcPr>
                  <w:tcW w:w="697" w:type="pct"/>
                  <w:tcBorders>
                    <w:tl2br w:val="nil"/>
                    <w:tr2bl w:val="nil"/>
                  </w:tcBorders>
                  <w:shd w:val="clear" w:color="auto" w:fill="auto"/>
                  <w:noWrap w:val="0"/>
                  <w:vAlign w:val="center"/>
                </w:tcPr>
                <w:p w14:paraId="31ABC4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15"/>
                      <w:szCs w:val="15"/>
                      <w:lang w:val="en-US" w:eastAsia="zh-CN"/>
                    </w:rPr>
                  </w:pPr>
                  <w:r>
                    <w:rPr>
                      <w:rFonts w:hint="default" w:ascii="Times New Roman" w:hAnsi="Times New Roman" w:cs="Times New Roman"/>
                      <w:bCs/>
                      <w:color w:val="auto"/>
                      <w:sz w:val="15"/>
                      <w:szCs w:val="15"/>
                      <w:lang w:val="en-US" w:eastAsia="zh-CN"/>
                    </w:rPr>
                    <w:t>自动监测</w:t>
                  </w:r>
                </w:p>
              </w:tc>
            </w:tr>
            <w:tr w14:paraId="374FF6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 w:hRule="atLeast"/>
              </w:trPr>
              <w:tc>
                <w:tcPr>
                  <w:tcW w:w="544" w:type="pct"/>
                  <w:vMerge w:val="continue"/>
                  <w:tcBorders>
                    <w:tl2br w:val="nil"/>
                    <w:tr2bl w:val="nil"/>
                  </w:tcBorders>
                  <w:shd w:val="clear" w:color="auto" w:fill="auto"/>
                  <w:noWrap w:val="0"/>
                  <w:vAlign w:val="center"/>
                </w:tcPr>
                <w:p w14:paraId="11E87C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rPr>
                  </w:pPr>
                </w:p>
              </w:tc>
              <w:tc>
                <w:tcPr>
                  <w:tcW w:w="689" w:type="pct"/>
                  <w:vMerge w:val="continue"/>
                  <w:tcBorders>
                    <w:tl2br w:val="nil"/>
                    <w:tr2bl w:val="nil"/>
                  </w:tcBorders>
                  <w:shd w:val="clear" w:color="auto" w:fill="auto"/>
                  <w:noWrap w:val="0"/>
                  <w:vAlign w:val="center"/>
                </w:tcPr>
                <w:p w14:paraId="594AF8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auto"/>
                      <w:sz w:val="15"/>
                      <w:szCs w:val="15"/>
                      <w:lang w:val="en-US" w:eastAsia="zh-CN"/>
                    </w:rPr>
                  </w:pPr>
                </w:p>
              </w:tc>
              <w:tc>
                <w:tcPr>
                  <w:tcW w:w="689" w:type="pct"/>
                  <w:vMerge w:val="continue"/>
                  <w:tcBorders>
                    <w:tl2br w:val="nil"/>
                    <w:tr2bl w:val="nil"/>
                  </w:tcBorders>
                  <w:shd w:val="clear" w:color="auto" w:fill="auto"/>
                  <w:noWrap w:val="0"/>
                  <w:vAlign w:val="center"/>
                </w:tcPr>
                <w:p w14:paraId="52606D9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15"/>
                      <w:szCs w:val="15"/>
                    </w:rPr>
                  </w:pPr>
                </w:p>
              </w:tc>
              <w:tc>
                <w:tcPr>
                  <w:tcW w:w="537" w:type="pct"/>
                  <w:vMerge w:val="continue"/>
                  <w:tcBorders>
                    <w:tl2br w:val="nil"/>
                    <w:tr2bl w:val="nil"/>
                  </w:tcBorders>
                  <w:shd w:val="clear" w:color="auto" w:fill="auto"/>
                  <w:noWrap w:val="0"/>
                  <w:vAlign w:val="center"/>
                </w:tcPr>
                <w:p w14:paraId="6DE3734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rPr>
                  </w:pPr>
                </w:p>
              </w:tc>
              <w:tc>
                <w:tcPr>
                  <w:tcW w:w="766" w:type="pct"/>
                  <w:vMerge w:val="continue"/>
                  <w:tcBorders>
                    <w:tl2br w:val="nil"/>
                    <w:tr2bl w:val="nil"/>
                  </w:tcBorders>
                  <w:shd w:val="clear" w:color="auto" w:fill="auto"/>
                  <w:noWrap w:val="0"/>
                  <w:vAlign w:val="center"/>
                </w:tcPr>
                <w:p w14:paraId="0B4621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lang w:val="en-US" w:eastAsia="zh-CN"/>
                    </w:rPr>
                  </w:pPr>
                </w:p>
              </w:tc>
              <w:tc>
                <w:tcPr>
                  <w:tcW w:w="1074" w:type="pct"/>
                  <w:tcBorders>
                    <w:tl2br w:val="nil"/>
                    <w:tr2bl w:val="nil"/>
                  </w:tcBorders>
                  <w:shd w:val="clear" w:color="auto" w:fill="auto"/>
                  <w:noWrap w:val="0"/>
                  <w:vAlign w:val="center"/>
                </w:tcPr>
                <w:p w14:paraId="6B13DEA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rPr>
                  </w:pPr>
                  <w:r>
                    <w:rPr>
                      <w:rFonts w:hint="eastAsia" w:cs="Times New Roman"/>
                      <w:bCs/>
                      <w:color w:val="auto"/>
                      <w:sz w:val="15"/>
                      <w:szCs w:val="15"/>
                      <w:lang w:val="en-US" w:eastAsia="zh-CN"/>
                    </w:rPr>
                    <w:t>pH、</w:t>
                  </w:r>
                  <w:r>
                    <w:rPr>
                      <w:rFonts w:hint="default" w:ascii="Times New Roman" w:hAnsi="Times New Roman" w:cs="Times New Roman"/>
                      <w:bCs/>
                      <w:color w:val="auto"/>
                      <w:sz w:val="15"/>
                      <w:szCs w:val="15"/>
                    </w:rPr>
                    <w:t>COD</w:t>
                  </w:r>
                  <w:r>
                    <w:rPr>
                      <w:rFonts w:hint="eastAsia" w:cs="Times New Roman"/>
                      <w:bCs/>
                      <w:color w:val="auto"/>
                      <w:sz w:val="15"/>
                      <w:szCs w:val="15"/>
                      <w:lang w:eastAsia="zh-CN"/>
                    </w:rPr>
                    <w:t>、</w:t>
                  </w:r>
                  <w:r>
                    <w:rPr>
                      <w:rFonts w:hint="default" w:ascii="Times New Roman" w:hAnsi="Times New Roman" w:cs="Times New Roman"/>
                      <w:bCs/>
                      <w:color w:val="auto"/>
                      <w:sz w:val="15"/>
                      <w:szCs w:val="15"/>
                    </w:rPr>
                    <w:t>氨氮</w:t>
                  </w:r>
                </w:p>
              </w:tc>
              <w:tc>
                <w:tcPr>
                  <w:tcW w:w="697" w:type="pct"/>
                  <w:tcBorders>
                    <w:tl2br w:val="nil"/>
                    <w:tr2bl w:val="nil"/>
                  </w:tcBorders>
                  <w:shd w:val="clear" w:color="auto" w:fill="auto"/>
                  <w:noWrap w:val="0"/>
                  <w:vAlign w:val="center"/>
                </w:tcPr>
                <w:p w14:paraId="5A6C95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lang w:val="en-US" w:eastAsia="zh-CN"/>
                    </w:rPr>
                  </w:pPr>
                  <w:r>
                    <w:rPr>
                      <w:rFonts w:hint="eastAsia" w:cs="Times New Roman"/>
                      <w:bCs/>
                      <w:color w:val="auto"/>
                      <w:sz w:val="15"/>
                      <w:szCs w:val="15"/>
                      <w:lang w:val="en-US" w:eastAsia="zh-CN"/>
                    </w:rPr>
                    <w:t>日</w:t>
                  </w:r>
                </w:p>
              </w:tc>
            </w:tr>
            <w:tr w14:paraId="06585E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 w:hRule="atLeast"/>
              </w:trPr>
              <w:tc>
                <w:tcPr>
                  <w:tcW w:w="544" w:type="pct"/>
                  <w:vMerge w:val="continue"/>
                  <w:tcBorders>
                    <w:tl2br w:val="nil"/>
                    <w:tr2bl w:val="nil"/>
                  </w:tcBorders>
                  <w:shd w:val="clear" w:color="auto" w:fill="auto"/>
                  <w:noWrap w:val="0"/>
                  <w:vAlign w:val="center"/>
                </w:tcPr>
                <w:p w14:paraId="4CD22E8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rPr>
                  </w:pPr>
                </w:p>
              </w:tc>
              <w:tc>
                <w:tcPr>
                  <w:tcW w:w="689" w:type="pct"/>
                  <w:vMerge w:val="continue"/>
                  <w:tcBorders>
                    <w:tl2br w:val="nil"/>
                    <w:tr2bl w:val="nil"/>
                  </w:tcBorders>
                  <w:shd w:val="clear" w:color="auto" w:fill="auto"/>
                  <w:noWrap w:val="0"/>
                  <w:vAlign w:val="center"/>
                </w:tcPr>
                <w:p w14:paraId="522DF9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rPr>
                  </w:pPr>
                </w:p>
              </w:tc>
              <w:tc>
                <w:tcPr>
                  <w:tcW w:w="689" w:type="pct"/>
                  <w:vMerge w:val="continue"/>
                  <w:tcBorders>
                    <w:tl2br w:val="nil"/>
                    <w:tr2bl w:val="nil"/>
                  </w:tcBorders>
                  <w:shd w:val="clear" w:color="auto" w:fill="auto"/>
                  <w:noWrap w:val="0"/>
                  <w:vAlign w:val="center"/>
                </w:tcPr>
                <w:p w14:paraId="739EC0D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rPr>
                  </w:pPr>
                </w:p>
              </w:tc>
              <w:tc>
                <w:tcPr>
                  <w:tcW w:w="537" w:type="pct"/>
                  <w:vMerge w:val="continue"/>
                  <w:tcBorders>
                    <w:tl2br w:val="nil"/>
                    <w:tr2bl w:val="nil"/>
                  </w:tcBorders>
                  <w:shd w:val="clear" w:color="auto" w:fill="auto"/>
                  <w:noWrap w:val="0"/>
                  <w:vAlign w:val="center"/>
                </w:tcPr>
                <w:p w14:paraId="3B08CD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rPr>
                  </w:pPr>
                </w:p>
              </w:tc>
              <w:tc>
                <w:tcPr>
                  <w:tcW w:w="766" w:type="pct"/>
                  <w:vMerge w:val="continue"/>
                  <w:tcBorders>
                    <w:tl2br w:val="nil"/>
                    <w:tr2bl w:val="nil"/>
                  </w:tcBorders>
                  <w:shd w:val="clear" w:color="auto" w:fill="auto"/>
                  <w:noWrap w:val="0"/>
                  <w:vAlign w:val="center"/>
                </w:tcPr>
                <w:p w14:paraId="0E44D4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lang w:val="en-US" w:eastAsia="zh-CN"/>
                    </w:rPr>
                  </w:pPr>
                </w:p>
              </w:tc>
              <w:tc>
                <w:tcPr>
                  <w:tcW w:w="1074" w:type="pct"/>
                  <w:tcBorders>
                    <w:tl2br w:val="nil"/>
                    <w:tr2bl w:val="nil"/>
                  </w:tcBorders>
                  <w:shd w:val="clear" w:color="auto" w:fill="auto"/>
                  <w:noWrap w:val="0"/>
                  <w:vAlign w:val="center"/>
                </w:tcPr>
                <w:p w14:paraId="52053A5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lang w:val="en-US"/>
                    </w:rPr>
                  </w:pPr>
                  <w:r>
                    <w:rPr>
                      <w:rFonts w:hint="default" w:ascii="Times New Roman" w:hAnsi="Times New Roman" w:cs="Times New Roman"/>
                      <w:bCs/>
                      <w:color w:val="auto"/>
                      <w:sz w:val="15"/>
                      <w:szCs w:val="15"/>
                    </w:rPr>
                    <w:t>SS、</w:t>
                  </w:r>
                  <w:r>
                    <w:rPr>
                      <w:rFonts w:hint="default" w:ascii="Times New Roman" w:hAnsi="Times New Roman" w:cs="Times New Roman"/>
                      <w:bCs/>
                      <w:color w:val="auto"/>
                      <w:sz w:val="15"/>
                      <w:szCs w:val="15"/>
                      <w:lang w:val="en-US" w:eastAsia="zh-CN"/>
                    </w:rPr>
                    <w:t>石油类</w:t>
                  </w:r>
                  <w:r>
                    <w:rPr>
                      <w:rFonts w:hint="eastAsia" w:cs="Times New Roman"/>
                      <w:bCs/>
                      <w:color w:val="auto"/>
                      <w:sz w:val="15"/>
                      <w:szCs w:val="15"/>
                      <w:lang w:val="en-US" w:eastAsia="zh-CN"/>
                    </w:rPr>
                    <w:t>、总氮、总磷</w:t>
                  </w:r>
                </w:p>
              </w:tc>
              <w:tc>
                <w:tcPr>
                  <w:tcW w:w="697" w:type="pct"/>
                  <w:tcBorders>
                    <w:tl2br w:val="nil"/>
                    <w:tr2bl w:val="nil"/>
                  </w:tcBorders>
                  <w:shd w:val="clear" w:color="auto" w:fill="auto"/>
                  <w:noWrap w:val="0"/>
                  <w:vAlign w:val="center"/>
                </w:tcPr>
                <w:p w14:paraId="0A15E9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15"/>
                      <w:szCs w:val="15"/>
                      <w:lang w:val="en-US" w:eastAsia="zh-CN"/>
                    </w:rPr>
                  </w:pPr>
                  <w:r>
                    <w:rPr>
                      <w:rFonts w:hint="default" w:ascii="Times New Roman" w:hAnsi="Times New Roman" w:cs="Times New Roman"/>
                      <w:bCs/>
                      <w:color w:val="auto"/>
                      <w:sz w:val="15"/>
                      <w:szCs w:val="15"/>
                      <w:lang w:val="en-US" w:eastAsia="zh-CN"/>
                    </w:rPr>
                    <w:t>周</w:t>
                  </w:r>
                </w:p>
              </w:tc>
            </w:tr>
            <w:tr w14:paraId="739EDB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 w:hRule="atLeast"/>
              </w:trPr>
              <w:tc>
                <w:tcPr>
                  <w:tcW w:w="544" w:type="pct"/>
                  <w:vMerge w:val="continue"/>
                  <w:tcBorders>
                    <w:tl2br w:val="nil"/>
                    <w:tr2bl w:val="nil"/>
                  </w:tcBorders>
                  <w:shd w:val="clear" w:color="auto" w:fill="auto"/>
                  <w:noWrap w:val="0"/>
                  <w:vAlign w:val="center"/>
                </w:tcPr>
                <w:p w14:paraId="4A058A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rPr>
                  </w:pPr>
                </w:p>
              </w:tc>
              <w:tc>
                <w:tcPr>
                  <w:tcW w:w="689" w:type="pct"/>
                  <w:vMerge w:val="continue"/>
                  <w:tcBorders>
                    <w:tl2br w:val="nil"/>
                    <w:tr2bl w:val="nil"/>
                  </w:tcBorders>
                  <w:shd w:val="clear" w:color="auto" w:fill="auto"/>
                  <w:noWrap w:val="0"/>
                  <w:vAlign w:val="center"/>
                </w:tcPr>
                <w:p w14:paraId="0B4066E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rPr>
                  </w:pPr>
                </w:p>
              </w:tc>
              <w:tc>
                <w:tcPr>
                  <w:tcW w:w="689" w:type="pct"/>
                  <w:vMerge w:val="continue"/>
                  <w:tcBorders>
                    <w:tl2br w:val="nil"/>
                    <w:tr2bl w:val="nil"/>
                  </w:tcBorders>
                  <w:shd w:val="clear" w:color="auto" w:fill="auto"/>
                  <w:noWrap w:val="0"/>
                  <w:vAlign w:val="center"/>
                </w:tcPr>
                <w:p w14:paraId="05074E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rPr>
                  </w:pPr>
                </w:p>
              </w:tc>
              <w:tc>
                <w:tcPr>
                  <w:tcW w:w="537" w:type="pct"/>
                  <w:vMerge w:val="continue"/>
                  <w:tcBorders>
                    <w:tl2br w:val="nil"/>
                    <w:tr2bl w:val="nil"/>
                  </w:tcBorders>
                  <w:shd w:val="clear" w:color="auto" w:fill="auto"/>
                  <w:noWrap w:val="0"/>
                  <w:vAlign w:val="center"/>
                </w:tcPr>
                <w:p w14:paraId="219F529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rPr>
                  </w:pPr>
                </w:p>
              </w:tc>
              <w:tc>
                <w:tcPr>
                  <w:tcW w:w="766" w:type="pct"/>
                  <w:vMerge w:val="continue"/>
                  <w:tcBorders>
                    <w:tl2br w:val="nil"/>
                    <w:tr2bl w:val="nil"/>
                  </w:tcBorders>
                  <w:shd w:val="clear" w:color="auto" w:fill="auto"/>
                  <w:noWrap w:val="0"/>
                  <w:vAlign w:val="center"/>
                </w:tcPr>
                <w:p w14:paraId="2F89667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lang w:val="en-US" w:eastAsia="zh-CN"/>
                    </w:rPr>
                  </w:pPr>
                </w:p>
              </w:tc>
              <w:tc>
                <w:tcPr>
                  <w:tcW w:w="1074" w:type="pct"/>
                  <w:tcBorders>
                    <w:tl2br w:val="nil"/>
                    <w:tr2bl w:val="nil"/>
                  </w:tcBorders>
                  <w:shd w:val="clear" w:color="auto" w:fill="auto"/>
                  <w:noWrap w:val="0"/>
                  <w:vAlign w:val="center"/>
                </w:tcPr>
                <w:p w14:paraId="43AA96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Cs/>
                      <w:color w:val="auto"/>
                      <w:sz w:val="15"/>
                      <w:szCs w:val="15"/>
                      <w:lang w:val="en-US" w:eastAsia="zh-CN"/>
                    </w:rPr>
                  </w:pPr>
                  <w:r>
                    <w:rPr>
                      <w:rFonts w:hint="eastAsia" w:cs="Times New Roman"/>
                      <w:bCs/>
                      <w:color w:val="auto"/>
                      <w:sz w:val="15"/>
                      <w:szCs w:val="15"/>
                      <w:lang w:val="en-US" w:eastAsia="zh-CN"/>
                    </w:rPr>
                    <w:t>总铁</w:t>
                  </w:r>
                </w:p>
              </w:tc>
              <w:tc>
                <w:tcPr>
                  <w:tcW w:w="697" w:type="pct"/>
                  <w:tcBorders>
                    <w:tl2br w:val="nil"/>
                    <w:tr2bl w:val="nil"/>
                  </w:tcBorders>
                  <w:shd w:val="clear" w:color="auto" w:fill="auto"/>
                  <w:noWrap w:val="0"/>
                  <w:vAlign w:val="center"/>
                </w:tcPr>
                <w:p w14:paraId="6D0755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5"/>
                      <w:szCs w:val="15"/>
                      <w:lang w:val="en-US" w:eastAsia="zh-CN"/>
                    </w:rPr>
                  </w:pPr>
                  <w:r>
                    <w:rPr>
                      <w:rFonts w:hint="eastAsia" w:cs="Times New Roman"/>
                      <w:bCs/>
                      <w:color w:val="auto"/>
                      <w:sz w:val="15"/>
                      <w:szCs w:val="15"/>
                      <w:lang w:val="en-US" w:eastAsia="zh-CN"/>
                    </w:rPr>
                    <w:t>季度</w:t>
                  </w:r>
                </w:p>
              </w:tc>
            </w:tr>
          </w:tbl>
          <w:p w14:paraId="6F7BE79E">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right="0" w:firstLine="422" w:firstLineChars="200"/>
              <w:jc w:val="left"/>
              <w:textAlignment w:val="auto"/>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三、噪声</w:t>
            </w:r>
          </w:p>
          <w:p w14:paraId="1C6E6158">
            <w:pPr>
              <w:spacing w:line="353" w:lineRule="auto"/>
              <w:ind w:firstLine="422" w:firstLineChars="200"/>
              <w:jc w:val="left"/>
              <w:rPr>
                <w:rFonts w:ascii="Times New Roman" w:hAnsi="Times New Roman"/>
                <w:b/>
                <w:bCs/>
                <w:color w:val="auto"/>
                <w:sz w:val="21"/>
                <w:szCs w:val="21"/>
                <w:highlight w:val="none"/>
              </w:rPr>
            </w:pPr>
            <w:r>
              <w:rPr>
                <w:rFonts w:hint="eastAsia" w:ascii="Times New Roman" w:hAnsi="Times New Roman"/>
                <w:b/>
                <w:bCs/>
                <w:color w:val="auto"/>
                <w:sz w:val="21"/>
                <w:szCs w:val="21"/>
                <w:highlight w:val="none"/>
              </w:rPr>
              <w:t>1、声环境评价等级确定</w:t>
            </w:r>
          </w:p>
          <w:p w14:paraId="3CCB32D5">
            <w:pPr>
              <w:spacing w:line="360" w:lineRule="auto"/>
              <w:ind w:firstLine="420" w:firstLineChars="200"/>
              <w:jc w:val="both"/>
              <w:rPr>
                <w:rFonts w:hint="eastAsia" w:ascii="Times New Roman" w:hAnsi="Times New Roman"/>
                <w:color w:val="auto"/>
                <w:sz w:val="21"/>
                <w:szCs w:val="21"/>
                <w:highlight w:val="none"/>
              </w:rPr>
            </w:pPr>
            <w:r>
              <w:rPr>
                <w:rFonts w:hint="eastAsia" w:ascii="Times New Roman" w:hAnsi="Times New Roman"/>
                <w:color w:val="auto"/>
                <w:sz w:val="21"/>
                <w:szCs w:val="21"/>
                <w:highlight w:val="none"/>
              </w:rPr>
              <w:t>根据《声环境质量标准》（GB3096-2008）声环境功能区分类，本项目属于3类声环境功能区。依据《环境影响评价技术导则声环境》（HJ2.4-2021）进行声环境影响评价等级划分，本项目所处声环境功能区为GB</w:t>
            </w:r>
            <w:r>
              <w:rPr>
                <w:rFonts w:ascii="Times New Roman" w:hAnsi="Times New Roman"/>
                <w:color w:val="auto"/>
                <w:sz w:val="21"/>
                <w:szCs w:val="21"/>
                <w:highlight w:val="none"/>
              </w:rPr>
              <w:t>30</w:t>
            </w:r>
            <w:r>
              <w:rPr>
                <w:rFonts w:hint="eastAsia" w:ascii="Times New Roman" w:hAnsi="Times New Roman"/>
                <w:color w:val="auto"/>
                <w:sz w:val="21"/>
                <w:szCs w:val="21"/>
                <w:highlight w:val="none"/>
              </w:rPr>
              <w:t>96规定的3类地区，则本项目声环境按三级评价。评价范围设置为厂界向外2</w:t>
            </w:r>
            <w:r>
              <w:rPr>
                <w:rFonts w:ascii="Times New Roman" w:hAnsi="Times New Roman"/>
                <w:color w:val="auto"/>
                <w:sz w:val="21"/>
                <w:szCs w:val="21"/>
                <w:highlight w:val="none"/>
              </w:rPr>
              <w:t>00</w:t>
            </w:r>
            <w:r>
              <w:rPr>
                <w:rFonts w:hint="eastAsia" w:ascii="Times New Roman" w:hAnsi="Times New Roman"/>
                <w:color w:val="auto"/>
                <w:sz w:val="21"/>
                <w:szCs w:val="21"/>
                <w:highlight w:val="none"/>
              </w:rPr>
              <w:t>m。</w:t>
            </w:r>
          </w:p>
          <w:p w14:paraId="056DF4F5">
            <w:pPr>
              <w:spacing w:line="353" w:lineRule="auto"/>
              <w:ind w:firstLine="422" w:firstLineChars="200"/>
              <w:jc w:val="left"/>
              <w:rPr>
                <w:rFonts w:ascii="Times New Roman" w:hAnsi="Times New Roman"/>
                <w:b/>
                <w:bCs/>
                <w:color w:val="auto"/>
                <w:sz w:val="21"/>
                <w:szCs w:val="21"/>
                <w:highlight w:val="none"/>
              </w:rPr>
            </w:pPr>
            <w:r>
              <w:rPr>
                <w:rFonts w:ascii="Times New Roman" w:hAnsi="Times New Roman"/>
                <w:b/>
                <w:bCs/>
                <w:color w:val="auto"/>
                <w:sz w:val="21"/>
                <w:szCs w:val="21"/>
                <w:highlight w:val="none"/>
              </w:rPr>
              <w:t>2、噪声源强分析</w:t>
            </w:r>
          </w:p>
          <w:p w14:paraId="760B0C40">
            <w:pPr>
              <w:spacing w:line="360" w:lineRule="auto"/>
              <w:ind w:firstLine="420" w:firstLineChars="200"/>
              <w:jc w:val="both"/>
              <w:rPr>
                <w:rFonts w:ascii="Times New Roman" w:hAnsi="Times New Roman"/>
                <w:color w:val="auto"/>
                <w:sz w:val="21"/>
                <w:szCs w:val="21"/>
                <w:highlight w:val="none"/>
              </w:rPr>
            </w:pPr>
            <w:r>
              <w:rPr>
                <w:rFonts w:ascii="Times New Roman" w:hAnsi="Times New Roman"/>
                <w:color w:val="auto"/>
                <w:sz w:val="21"/>
                <w:szCs w:val="21"/>
                <w:highlight w:val="none"/>
              </w:rPr>
              <w:t>本项目噪声源主要为</w:t>
            </w:r>
            <w:r>
              <w:rPr>
                <w:rFonts w:hint="eastAsia"/>
                <w:color w:val="auto"/>
                <w:sz w:val="21"/>
                <w:szCs w:val="21"/>
                <w:highlight w:val="none"/>
                <w:lang w:val="en-US" w:eastAsia="zh-CN"/>
              </w:rPr>
              <w:t>抛丸机、轧机、卷取机、剪切机、矫直机、平整机、空压机、泵类、风机</w:t>
            </w:r>
            <w:r>
              <w:rPr>
                <w:rFonts w:ascii="Times New Roman" w:hAnsi="Times New Roman"/>
                <w:color w:val="auto"/>
                <w:sz w:val="21"/>
                <w:szCs w:val="21"/>
                <w:highlight w:val="none"/>
              </w:rPr>
              <w:t>等设备</w:t>
            </w:r>
            <w:r>
              <w:rPr>
                <w:rFonts w:hint="eastAsia"/>
                <w:color w:val="auto"/>
                <w:sz w:val="21"/>
                <w:szCs w:val="21"/>
                <w:highlight w:val="none"/>
                <w:lang w:val="en-US" w:eastAsia="zh-CN"/>
              </w:rPr>
              <w:t>噪声</w:t>
            </w:r>
            <w:r>
              <w:rPr>
                <w:rFonts w:ascii="Times New Roman" w:hAnsi="Times New Roman"/>
                <w:color w:val="auto"/>
                <w:sz w:val="21"/>
                <w:szCs w:val="21"/>
                <w:highlight w:val="none"/>
              </w:rPr>
              <w:t>，</w:t>
            </w:r>
            <w:r>
              <w:rPr>
                <w:rFonts w:hint="eastAsia" w:ascii="Times New Roman" w:hAnsi="Times New Roman"/>
                <w:color w:val="auto"/>
                <w:sz w:val="21"/>
                <w:szCs w:val="21"/>
                <w:highlight w:val="none"/>
              </w:rPr>
              <w:t>生产机组中排雾系统、除尘系统、送风系统等配有较大型风机运行时产生的噪声</w:t>
            </w:r>
            <w:r>
              <w:rPr>
                <w:rFonts w:hint="eastAsia"/>
                <w:color w:val="auto"/>
                <w:sz w:val="21"/>
                <w:szCs w:val="21"/>
                <w:highlight w:val="none"/>
                <w:lang w:eastAsia="zh-CN"/>
              </w:rPr>
              <w:t>、</w:t>
            </w:r>
            <w:r>
              <w:rPr>
                <w:rFonts w:hint="eastAsia" w:ascii="Times New Roman" w:hAnsi="Times New Roman"/>
                <w:color w:val="auto"/>
                <w:sz w:val="21"/>
                <w:szCs w:val="21"/>
                <w:highlight w:val="none"/>
              </w:rPr>
              <w:t>空压机气体放散产生噪声</w:t>
            </w:r>
            <w:r>
              <w:rPr>
                <w:rFonts w:hint="eastAsia"/>
                <w:color w:val="auto"/>
                <w:sz w:val="21"/>
                <w:szCs w:val="21"/>
                <w:highlight w:val="none"/>
                <w:lang w:val="en-US" w:eastAsia="zh-CN"/>
              </w:rPr>
              <w:t>等</w:t>
            </w:r>
            <w:r>
              <w:rPr>
                <w:rFonts w:hint="eastAsia"/>
                <w:color w:val="auto"/>
                <w:sz w:val="21"/>
                <w:szCs w:val="21"/>
                <w:highlight w:val="none"/>
                <w:lang w:eastAsia="zh-CN"/>
              </w:rPr>
              <w:t>，</w:t>
            </w:r>
            <w:r>
              <w:rPr>
                <w:rFonts w:ascii="Times New Roman" w:hAnsi="Times New Roman"/>
                <w:color w:val="auto"/>
                <w:sz w:val="21"/>
                <w:szCs w:val="21"/>
                <w:highlight w:val="none"/>
              </w:rPr>
              <w:t>一般噪声值在</w:t>
            </w:r>
            <w:r>
              <w:rPr>
                <w:rFonts w:hint="eastAsia"/>
                <w:color w:val="auto"/>
                <w:sz w:val="21"/>
                <w:szCs w:val="21"/>
                <w:highlight w:val="none"/>
                <w:lang w:val="en-US" w:eastAsia="zh-CN"/>
              </w:rPr>
              <w:t>80</w:t>
            </w:r>
            <w:r>
              <w:rPr>
                <w:rFonts w:ascii="Times New Roman" w:hAnsi="Times New Roman"/>
                <w:color w:val="auto"/>
                <w:sz w:val="21"/>
                <w:szCs w:val="21"/>
                <w:highlight w:val="none"/>
              </w:rPr>
              <w:t>-</w:t>
            </w:r>
            <w:r>
              <w:rPr>
                <w:rFonts w:hint="eastAsia"/>
                <w:color w:val="auto"/>
                <w:sz w:val="21"/>
                <w:szCs w:val="21"/>
                <w:highlight w:val="none"/>
                <w:lang w:val="en-US" w:eastAsia="zh-CN"/>
              </w:rPr>
              <w:t>90</w:t>
            </w:r>
            <w:r>
              <w:rPr>
                <w:rFonts w:ascii="Times New Roman" w:hAnsi="Times New Roman"/>
                <w:color w:val="auto"/>
                <w:sz w:val="21"/>
                <w:szCs w:val="21"/>
                <w:highlight w:val="none"/>
              </w:rPr>
              <w:t>dB(A)左右。主要产噪单元噪声值见表4-</w:t>
            </w:r>
            <w:r>
              <w:rPr>
                <w:rFonts w:hint="eastAsia"/>
                <w:color w:val="auto"/>
                <w:sz w:val="21"/>
                <w:szCs w:val="21"/>
                <w:highlight w:val="none"/>
                <w:lang w:val="en-US" w:eastAsia="zh-CN"/>
              </w:rPr>
              <w:t>19</w:t>
            </w:r>
            <w:r>
              <w:rPr>
                <w:rFonts w:ascii="Times New Roman" w:hAnsi="Times New Roman"/>
                <w:color w:val="auto"/>
                <w:sz w:val="21"/>
                <w:szCs w:val="21"/>
                <w:highlight w:val="none"/>
              </w:rPr>
              <w:t>。</w:t>
            </w:r>
          </w:p>
          <w:p w14:paraId="1023C8F7">
            <w:pPr>
              <w:spacing w:line="360" w:lineRule="auto"/>
              <w:jc w:val="center"/>
              <w:rPr>
                <w:rFonts w:ascii="Times New Roman" w:hAnsi="Times New Roman" w:eastAsia="黑体"/>
                <w:bCs/>
                <w:color w:val="auto"/>
                <w:spacing w:val="2"/>
                <w:sz w:val="21"/>
                <w:szCs w:val="21"/>
                <w:highlight w:val="none"/>
              </w:rPr>
            </w:pPr>
            <w:r>
              <w:rPr>
                <w:rFonts w:ascii="Times New Roman" w:hAnsi="Times New Roman" w:eastAsia="黑体"/>
                <w:bCs/>
                <w:color w:val="auto"/>
                <w:spacing w:val="2"/>
                <w:sz w:val="21"/>
                <w:szCs w:val="21"/>
                <w:highlight w:val="none"/>
              </w:rPr>
              <w:t>表4-</w:t>
            </w:r>
            <w:r>
              <w:rPr>
                <w:rFonts w:hint="eastAsia" w:eastAsia="黑体"/>
                <w:bCs/>
                <w:color w:val="auto"/>
                <w:spacing w:val="2"/>
                <w:sz w:val="21"/>
                <w:szCs w:val="21"/>
                <w:highlight w:val="none"/>
                <w:lang w:val="en-US" w:eastAsia="zh-CN"/>
              </w:rPr>
              <w:t>19</w:t>
            </w:r>
            <w:r>
              <w:rPr>
                <w:rFonts w:ascii="Times New Roman" w:hAnsi="Times New Roman" w:eastAsia="黑体"/>
                <w:bCs/>
                <w:color w:val="auto"/>
                <w:spacing w:val="2"/>
                <w:sz w:val="21"/>
                <w:szCs w:val="21"/>
                <w:highlight w:val="none"/>
              </w:rPr>
              <w:t>项目主要产噪单元噪声值（单位：dB(A)）</w:t>
            </w:r>
          </w:p>
          <w:tbl>
            <w:tblPr>
              <w:tblStyle w:val="3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28"/>
              <w:gridCol w:w="895"/>
              <w:gridCol w:w="453"/>
              <w:gridCol w:w="1861"/>
              <w:gridCol w:w="1287"/>
              <w:gridCol w:w="1483"/>
              <w:gridCol w:w="1792"/>
            </w:tblGrid>
            <w:tr w14:paraId="16C2FE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57" w:type="pct"/>
                  <w:gridSpan w:val="2"/>
                  <w:noWrap w:val="0"/>
                  <w:vAlign w:val="center"/>
                </w:tcPr>
                <w:p w14:paraId="7B597590">
                  <w:pPr>
                    <w:topLinePunct/>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位置</w:t>
                  </w:r>
                </w:p>
              </w:tc>
              <w:tc>
                <w:tcPr>
                  <w:tcW w:w="273" w:type="pct"/>
                  <w:noWrap w:val="0"/>
                  <w:vAlign w:val="center"/>
                </w:tcPr>
                <w:p w14:paraId="63B76B70">
                  <w:pPr>
                    <w:topLinePunct/>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序号</w:t>
                  </w:r>
                </w:p>
              </w:tc>
              <w:tc>
                <w:tcPr>
                  <w:tcW w:w="1121" w:type="pct"/>
                  <w:noWrap w:val="0"/>
                  <w:vAlign w:val="center"/>
                </w:tcPr>
                <w:p w14:paraId="18D446EB">
                  <w:pPr>
                    <w:topLinePunct/>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设备名称</w:t>
                  </w:r>
                </w:p>
              </w:tc>
              <w:tc>
                <w:tcPr>
                  <w:tcW w:w="775" w:type="pct"/>
                  <w:noWrap w:val="0"/>
                  <w:vAlign w:val="center"/>
                </w:tcPr>
                <w:p w14:paraId="49E591E2">
                  <w:pPr>
                    <w:topLinePunct/>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数量（台/套）</w:t>
                  </w:r>
                </w:p>
              </w:tc>
              <w:tc>
                <w:tcPr>
                  <w:tcW w:w="893" w:type="pct"/>
                  <w:noWrap w:val="0"/>
                  <w:vAlign w:val="center"/>
                </w:tcPr>
                <w:p w14:paraId="185B850A">
                  <w:pPr>
                    <w:topLinePunct/>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噪声源强dB(A)</w:t>
                  </w:r>
                </w:p>
              </w:tc>
              <w:tc>
                <w:tcPr>
                  <w:tcW w:w="1079" w:type="pct"/>
                  <w:noWrap w:val="0"/>
                  <w:vAlign w:val="center"/>
                </w:tcPr>
                <w:p w14:paraId="2362C62B">
                  <w:pPr>
                    <w:topLinePunct/>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治理措施</w:t>
                  </w:r>
                </w:p>
              </w:tc>
            </w:tr>
            <w:tr w14:paraId="071A95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restart"/>
                  <w:noWrap w:val="0"/>
                  <w:vAlign w:val="center"/>
                </w:tcPr>
                <w:p w14:paraId="1BE4C8BD">
                  <w:pPr>
                    <w:topLinePunct/>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硅钢车间</w:t>
                  </w:r>
                </w:p>
              </w:tc>
              <w:tc>
                <w:tcPr>
                  <w:tcW w:w="539" w:type="pct"/>
                  <w:vMerge w:val="restart"/>
                  <w:noWrap w:val="0"/>
                  <w:vAlign w:val="center"/>
                </w:tcPr>
                <w:p w14:paraId="6077CC11">
                  <w:pPr>
                    <w:topLinePunct/>
                    <w:adjustRightInd w:val="0"/>
                    <w:snapToGrid w:val="0"/>
                    <w:jc w:val="center"/>
                    <w:rPr>
                      <w:rFonts w:hint="default" w:ascii="Times New Roman" w:hAnsi="Times New Roman" w:cs="Times New Roman"/>
                      <w:color w:val="auto"/>
                      <w:kern w:val="0"/>
                      <w:sz w:val="18"/>
                      <w:szCs w:val="18"/>
                      <w:highlight w:val="none"/>
                      <w:lang w:val="en-US" w:eastAsia="zh-CN"/>
                    </w:rPr>
                  </w:pPr>
                  <w:r>
                    <w:rPr>
                      <w:rFonts w:hint="default" w:ascii="Times New Roman" w:hAnsi="Times New Roman" w:cs="Times New Roman"/>
                      <w:b w:val="0"/>
                      <w:bCs w:val="0"/>
                      <w:snapToGrid w:val="0"/>
                      <w:color w:val="auto"/>
                      <w:sz w:val="18"/>
                      <w:szCs w:val="18"/>
                      <w:highlight w:val="none"/>
                      <w:lang w:val="en-US" w:eastAsia="zh-CN"/>
                    </w:rPr>
                    <w:t>常规酸化机组（APL）</w:t>
                  </w:r>
                </w:p>
              </w:tc>
              <w:tc>
                <w:tcPr>
                  <w:tcW w:w="273" w:type="pct"/>
                  <w:noWrap w:val="0"/>
                  <w:vAlign w:val="center"/>
                </w:tcPr>
                <w:p w14:paraId="61EEB050">
                  <w:pPr>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1</w:t>
                  </w:r>
                </w:p>
              </w:tc>
              <w:tc>
                <w:tcPr>
                  <w:tcW w:w="1121" w:type="pct"/>
                  <w:noWrap w:val="0"/>
                  <w:vAlign w:val="center"/>
                </w:tcPr>
                <w:p w14:paraId="73395898">
                  <w:pPr>
                    <w:autoSpaceDE w:val="0"/>
                    <w:autoSpaceDN w:val="0"/>
                    <w:adjustRightIn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开卷机</w:t>
                  </w:r>
                </w:p>
              </w:tc>
              <w:tc>
                <w:tcPr>
                  <w:tcW w:w="775" w:type="pct"/>
                  <w:noWrap w:val="0"/>
                  <w:vAlign w:val="center"/>
                </w:tcPr>
                <w:p w14:paraId="40396B5C">
                  <w:pPr>
                    <w:autoSpaceDE w:val="0"/>
                    <w:autoSpaceDN w:val="0"/>
                    <w:adjustRightIn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w:t>
                  </w:r>
                </w:p>
              </w:tc>
              <w:tc>
                <w:tcPr>
                  <w:tcW w:w="893" w:type="pct"/>
                  <w:noWrap w:val="0"/>
                  <w:vAlign w:val="center"/>
                </w:tcPr>
                <w:p w14:paraId="60112CC2">
                  <w:pPr>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85</w:t>
                  </w:r>
                </w:p>
              </w:tc>
              <w:tc>
                <w:tcPr>
                  <w:tcW w:w="1079" w:type="pct"/>
                  <w:noWrap w:val="0"/>
                  <w:vAlign w:val="center"/>
                </w:tcPr>
                <w:p w14:paraId="7063A14C">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779C58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noWrap w:val="0"/>
                  <w:vAlign w:val="center"/>
                </w:tcPr>
                <w:p w14:paraId="5684DB27">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noWrap w:val="0"/>
                  <w:vAlign w:val="center"/>
                </w:tcPr>
                <w:p w14:paraId="68FE5BE1">
                  <w:pPr>
                    <w:topLinePunct/>
                    <w:adjustRightInd w:val="0"/>
                    <w:snapToGrid w:val="0"/>
                    <w:jc w:val="center"/>
                    <w:rPr>
                      <w:rFonts w:hint="default" w:ascii="Times New Roman" w:hAnsi="Times New Roman" w:cs="Times New Roman"/>
                      <w:color w:val="auto"/>
                      <w:kern w:val="0"/>
                      <w:sz w:val="18"/>
                      <w:szCs w:val="18"/>
                      <w:highlight w:val="none"/>
                    </w:rPr>
                  </w:pPr>
                </w:p>
              </w:tc>
              <w:tc>
                <w:tcPr>
                  <w:tcW w:w="273" w:type="pct"/>
                  <w:noWrap w:val="0"/>
                  <w:vAlign w:val="center"/>
                </w:tcPr>
                <w:p w14:paraId="7178E619">
                  <w:pPr>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2</w:t>
                  </w:r>
                </w:p>
              </w:tc>
              <w:tc>
                <w:tcPr>
                  <w:tcW w:w="1121" w:type="pct"/>
                  <w:shd w:val="clear" w:color="auto" w:fill="auto"/>
                  <w:noWrap w:val="0"/>
                  <w:vAlign w:val="center"/>
                </w:tcPr>
                <w:p w14:paraId="4309F422">
                  <w:pPr>
                    <w:autoSpaceDE w:val="0"/>
                    <w:autoSpaceDN w:val="0"/>
                    <w:adjustRightIn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圆盘剪</w:t>
                  </w:r>
                </w:p>
              </w:tc>
              <w:tc>
                <w:tcPr>
                  <w:tcW w:w="775" w:type="pct"/>
                  <w:shd w:val="clear" w:color="auto" w:fill="auto"/>
                  <w:noWrap w:val="0"/>
                  <w:vAlign w:val="center"/>
                </w:tcPr>
                <w:p w14:paraId="46AC4D46">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w:t>
                  </w:r>
                </w:p>
              </w:tc>
              <w:tc>
                <w:tcPr>
                  <w:tcW w:w="893" w:type="pct"/>
                  <w:noWrap w:val="0"/>
                  <w:vAlign w:val="center"/>
                </w:tcPr>
                <w:p w14:paraId="21317684">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1079" w:type="pct"/>
                  <w:noWrap w:val="0"/>
                  <w:vAlign w:val="center"/>
                </w:tcPr>
                <w:p w14:paraId="1897AA60">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577206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noWrap w:val="0"/>
                  <w:vAlign w:val="center"/>
                </w:tcPr>
                <w:p w14:paraId="6C01990F">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noWrap w:val="0"/>
                  <w:vAlign w:val="center"/>
                </w:tcPr>
                <w:p w14:paraId="0102982E">
                  <w:pPr>
                    <w:topLinePunct/>
                    <w:adjustRightInd w:val="0"/>
                    <w:snapToGrid w:val="0"/>
                    <w:jc w:val="center"/>
                    <w:rPr>
                      <w:rFonts w:hint="default" w:ascii="Times New Roman" w:hAnsi="Times New Roman" w:cs="Times New Roman"/>
                      <w:color w:val="auto"/>
                      <w:kern w:val="0"/>
                      <w:sz w:val="18"/>
                      <w:szCs w:val="18"/>
                      <w:highlight w:val="none"/>
                    </w:rPr>
                  </w:pPr>
                </w:p>
              </w:tc>
              <w:tc>
                <w:tcPr>
                  <w:tcW w:w="273" w:type="pct"/>
                  <w:noWrap w:val="0"/>
                  <w:vAlign w:val="center"/>
                </w:tcPr>
                <w:p w14:paraId="680643D8">
                  <w:pPr>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lang w:val="en-US" w:eastAsia="zh-CN"/>
                    </w:rPr>
                    <w:t>3</w:t>
                  </w:r>
                </w:p>
              </w:tc>
              <w:tc>
                <w:tcPr>
                  <w:tcW w:w="1121" w:type="pct"/>
                  <w:shd w:val="clear" w:color="auto" w:fill="auto"/>
                  <w:noWrap w:val="0"/>
                  <w:vAlign w:val="center"/>
                </w:tcPr>
                <w:p w14:paraId="04C0C8A7">
                  <w:pPr>
                    <w:autoSpaceDE w:val="0"/>
                    <w:autoSpaceDN w:val="0"/>
                    <w:adjustRightIn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抛丸机</w:t>
                  </w:r>
                </w:p>
              </w:tc>
              <w:tc>
                <w:tcPr>
                  <w:tcW w:w="775" w:type="pct"/>
                  <w:shd w:val="clear" w:color="auto" w:fill="auto"/>
                  <w:noWrap w:val="0"/>
                  <w:vAlign w:val="center"/>
                </w:tcPr>
                <w:p w14:paraId="7F11E76A">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w:t>
                  </w:r>
                </w:p>
              </w:tc>
              <w:tc>
                <w:tcPr>
                  <w:tcW w:w="893" w:type="pct"/>
                  <w:noWrap w:val="0"/>
                  <w:vAlign w:val="center"/>
                </w:tcPr>
                <w:p w14:paraId="5DF27EA0">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1079" w:type="pct"/>
                  <w:noWrap w:val="0"/>
                  <w:vAlign w:val="center"/>
                </w:tcPr>
                <w:p w14:paraId="0DAC3151">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35CCFA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noWrap w:val="0"/>
                  <w:vAlign w:val="center"/>
                </w:tcPr>
                <w:p w14:paraId="3C4A5925">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noWrap w:val="0"/>
                  <w:vAlign w:val="center"/>
                </w:tcPr>
                <w:p w14:paraId="582967A8">
                  <w:pPr>
                    <w:topLinePunct/>
                    <w:adjustRightInd w:val="0"/>
                    <w:snapToGrid w:val="0"/>
                    <w:jc w:val="center"/>
                    <w:rPr>
                      <w:rFonts w:hint="default" w:ascii="Times New Roman" w:hAnsi="Times New Roman" w:cs="Times New Roman"/>
                      <w:color w:val="auto"/>
                      <w:kern w:val="0"/>
                      <w:sz w:val="18"/>
                      <w:szCs w:val="18"/>
                      <w:highlight w:val="none"/>
                    </w:rPr>
                  </w:pPr>
                </w:p>
              </w:tc>
              <w:tc>
                <w:tcPr>
                  <w:tcW w:w="273" w:type="pct"/>
                  <w:noWrap w:val="0"/>
                  <w:vAlign w:val="center"/>
                </w:tcPr>
                <w:p w14:paraId="77FA4A78">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4</w:t>
                  </w:r>
                </w:p>
              </w:tc>
              <w:tc>
                <w:tcPr>
                  <w:tcW w:w="1121" w:type="pct"/>
                  <w:shd w:val="clear" w:color="auto" w:fill="auto"/>
                  <w:noWrap w:val="0"/>
                  <w:vAlign w:val="center"/>
                </w:tcPr>
                <w:p w14:paraId="7D13F72C">
                  <w:pPr>
                    <w:autoSpaceDE w:val="0"/>
                    <w:autoSpaceDN w:val="0"/>
                    <w:adjustRightIn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卷取机</w:t>
                  </w:r>
                </w:p>
              </w:tc>
              <w:tc>
                <w:tcPr>
                  <w:tcW w:w="775" w:type="pct"/>
                  <w:shd w:val="clear" w:color="auto" w:fill="auto"/>
                  <w:noWrap w:val="0"/>
                  <w:vAlign w:val="center"/>
                </w:tcPr>
                <w:p w14:paraId="37E1F54E">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w:t>
                  </w:r>
                </w:p>
              </w:tc>
              <w:tc>
                <w:tcPr>
                  <w:tcW w:w="893" w:type="pct"/>
                  <w:noWrap w:val="0"/>
                  <w:vAlign w:val="center"/>
                </w:tcPr>
                <w:p w14:paraId="64530E25">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85</w:t>
                  </w:r>
                </w:p>
              </w:tc>
              <w:tc>
                <w:tcPr>
                  <w:tcW w:w="1079" w:type="pct"/>
                  <w:noWrap w:val="0"/>
                  <w:vAlign w:val="center"/>
                </w:tcPr>
                <w:p w14:paraId="3C15259A">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69EE54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noWrap w:val="0"/>
                  <w:vAlign w:val="center"/>
                </w:tcPr>
                <w:p w14:paraId="1F484CFA">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noWrap w:val="0"/>
                  <w:vAlign w:val="center"/>
                </w:tcPr>
                <w:p w14:paraId="3627BB77">
                  <w:pPr>
                    <w:topLinePunct/>
                    <w:adjustRightInd w:val="0"/>
                    <w:snapToGrid w:val="0"/>
                    <w:jc w:val="center"/>
                    <w:rPr>
                      <w:rFonts w:hint="default" w:ascii="Times New Roman" w:hAnsi="Times New Roman" w:cs="Times New Roman"/>
                      <w:color w:val="auto"/>
                      <w:kern w:val="0"/>
                      <w:sz w:val="18"/>
                      <w:szCs w:val="18"/>
                      <w:highlight w:val="none"/>
                    </w:rPr>
                  </w:pPr>
                </w:p>
              </w:tc>
              <w:tc>
                <w:tcPr>
                  <w:tcW w:w="273" w:type="pct"/>
                  <w:noWrap w:val="0"/>
                  <w:vAlign w:val="center"/>
                </w:tcPr>
                <w:p w14:paraId="6F32ADBF">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5</w:t>
                  </w:r>
                </w:p>
              </w:tc>
              <w:tc>
                <w:tcPr>
                  <w:tcW w:w="1121" w:type="pct"/>
                  <w:shd w:val="clear" w:color="auto" w:fill="auto"/>
                  <w:noWrap w:val="0"/>
                  <w:vAlign w:val="center"/>
                </w:tcPr>
                <w:p w14:paraId="36520CD6">
                  <w:pPr>
                    <w:autoSpaceDE w:val="0"/>
                    <w:autoSpaceDN w:val="0"/>
                    <w:adjustRightIn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新酸泵</w:t>
                  </w:r>
                </w:p>
              </w:tc>
              <w:tc>
                <w:tcPr>
                  <w:tcW w:w="775" w:type="pct"/>
                  <w:shd w:val="clear" w:color="auto" w:fill="auto"/>
                  <w:noWrap w:val="0"/>
                  <w:vAlign w:val="center"/>
                </w:tcPr>
                <w:p w14:paraId="212E7388">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2</w:t>
                  </w:r>
                </w:p>
              </w:tc>
              <w:tc>
                <w:tcPr>
                  <w:tcW w:w="893" w:type="pct"/>
                  <w:noWrap w:val="0"/>
                  <w:vAlign w:val="center"/>
                </w:tcPr>
                <w:p w14:paraId="5186CABF">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1079" w:type="pct"/>
                  <w:noWrap w:val="0"/>
                  <w:vAlign w:val="center"/>
                </w:tcPr>
                <w:p w14:paraId="53A6C901">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0A6C59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noWrap w:val="0"/>
                  <w:vAlign w:val="center"/>
                </w:tcPr>
                <w:p w14:paraId="10FE73F7">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noWrap w:val="0"/>
                  <w:vAlign w:val="center"/>
                </w:tcPr>
                <w:p w14:paraId="188BEFF1">
                  <w:pPr>
                    <w:topLinePunct/>
                    <w:adjustRightInd w:val="0"/>
                    <w:snapToGrid w:val="0"/>
                    <w:jc w:val="center"/>
                    <w:rPr>
                      <w:rFonts w:hint="default" w:ascii="Times New Roman" w:hAnsi="Times New Roman" w:cs="Times New Roman"/>
                      <w:color w:val="auto"/>
                      <w:kern w:val="0"/>
                      <w:sz w:val="18"/>
                      <w:szCs w:val="18"/>
                      <w:highlight w:val="none"/>
                    </w:rPr>
                  </w:pPr>
                </w:p>
              </w:tc>
              <w:tc>
                <w:tcPr>
                  <w:tcW w:w="273" w:type="pct"/>
                  <w:noWrap w:val="0"/>
                  <w:vAlign w:val="center"/>
                </w:tcPr>
                <w:p w14:paraId="044C79BB">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6</w:t>
                  </w:r>
                </w:p>
              </w:tc>
              <w:tc>
                <w:tcPr>
                  <w:tcW w:w="1121" w:type="pct"/>
                  <w:shd w:val="clear" w:color="auto" w:fill="auto"/>
                  <w:noWrap w:val="0"/>
                  <w:vAlign w:val="center"/>
                </w:tcPr>
                <w:p w14:paraId="6EC91A0D">
                  <w:pPr>
                    <w:widowControl/>
                    <w:jc w:val="center"/>
                    <w:rPr>
                      <w:rFonts w:hint="default" w:ascii="Times New Roman" w:hAnsi="Times New Roman" w:cs="Times New Roman" w:eastAsiaTheme="minorEastAsia"/>
                      <w:color w:val="auto"/>
                      <w:kern w:val="0"/>
                      <w:sz w:val="18"/>
                      <w:szCs w:val="18"/>
                      <w:lang w:val="en-US" w:eastAsia="zh-CN" w:bidi="ar-SA"/>
                    </w:rPr>
                  </w:pPr>
                  <w:r>
                    <w:rPr>
                      <w:rFonts w:hint="default" w:ascii="Times New Roman" w:hAnsi="Times New Roman" w:cs="Times New Roman" w:eastAsiaTheme="minorEastAsia"/>
                      <w:color w:val="auto"/>
                      <w:kern w:val="0"/>
                      <w:sz w:val="18"/>
                      <w:szCs w:val="18"/>
                    </w:rPr>
                    <w:t>配酸泵</w:t>
                  </w:r>
                </w:p>
              </w:tc>
              <w:tc>
                <w:tcPr>
                  <w:tcW w:w="775" w:type="pct"/>
                  <w:shd w:val="clear" w:color="auto" w:fill="auto"/>
                  <w:noWrap w:val="0"/>
                  <w:vAlign w:val="center"/>
                </w:tcPr>
                <w:p w14:paraId="5A92731A">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2</w:t>
                  </w:r>
                </w:p>
              </w:tc>
              <w:tc>
                <w:tcPr>
                  <w:tcW w:w="893" w:type="pct"/>
                  <w:noWrap w:val="0"/>
                  <w:vAlign w:val="center"/>
                </w:tcPr>
                <w:p w14:paraId="73BF2C7B">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1079" w:type="pct"/>
                  <w:noWrap w:val="0"/>
                  <w:vAlign w:val="center"/>
                </w:tcPr>
                <w:p w14:paraId="318D4340">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056CDB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noWrap w:val="0"/>
                  <w:vAlign w:val="center"/>
                </w:tcPr>
                <w:p w14:paraId="064F1785">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noWrap w:val="0"/>
                  <w:vAlign w:val="center"/>
                </w:tcPr>
                <w:p w14:paraId="3BCBD303">
                  <w:pPr>
                    <w:topLinePunct/>
                    <w:adjustRightInd w:val="0"/>
                    <w:snapToGrid w:val="0"/>
                    <w:jc w:val="center"/>
                    <w:rPr>
                      <w:rFonts w:hint="default" w:ascii="Times New Roman" w:hAnsi="Times New Roman" w:cs="Times New Roman"/>
                      <w:color w:val="auto"/>
                      <w:kern w:val="0"/>
                      <w:sz w:val="18"/>
                      <w:szCs w:val="18"/>
                      <w:highlight w:val="none"/>
                    </w:rPr>
                  </w:pPr>
                </w:p>
              </w:tc>
              <w:tc>
                <w:tcPr>
                  <w:tcW w:w="273" w:type="pct"/>
                  <w:noWrap w:val="0"/>
                  <w:vAlign w:val="center"/>
                </w:tcPr>
                <w:p w14:paraId="301FD943">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7</w:t>
                  </w:r>
                </w:p>
              </w:tc>
              <w:tc>
                <w:tcPr>
                  <w:tcW w:w="1121" w:type="pct"/>
                  <w:shd w:val="clear" w:color="auto" w:fill="auto"/>
                  <w:noWrap w:val="0"/>
                  <w:vAlign w:val="center"/>
                </w:tcPr>
                <w:p w14:paraId="5509CF24">
                  <w:pPr>
                    <w:widowControl/>
                    <w:jc w:val="center"/>
                    <w:rPr>
                      <w:rFonts w:hint="default" w:ascii="Times New Roman" w:hAnsi="Times New Roman" w:cs="Times New Roman" w:eastAsiaTheme="minorEastAsia"/>
                      <w:color w:val="auto"/>
                      <w:kern w:val="0"/>
                      <w:sz w:val="18"/>
                      <w:szCs w:val="18"/>
                      <w:lang w:val="en-US" w:eastAsia="zh-CN" w:bidi="ar-SA"/>
                    </w:rPr>
                  </w:pPr>
                  <w:r>
                    <w:rPr>
                      <w:rFonts w:hint="default" w:ascii="Times New Roman" w:hAnsi="Times New Roman" w:cs="Times New Roman" w:eastAsiaTheme="minorEastAsia"/>
                      <w:color w:val="auto"/>
                      <w:kern w:val="0"/>
                      <w:sz w:val="18"/>
                      <w:szCs w:val="18"/>
                    </w:rPr>
                    <w:t>废酸泵</w:t>
                  </w:r>
                </w:p>
              </w:tc>
              <w:tc>
                <w:tcPr>
                  <w:tcW w:w="775" w:type="pct"/>
                  <w:shd w:val="clear" w:color="auto" w:fill="auto"/>
                  <w:noWrap w:val="0"/>
                  <w:vAlign w:val="center"/>
                </w:tcPr>
                <w:p w14:paraId="53DE5C67">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2</w:t>
                  </w:r>
                </w:p>
              </w:tc>
              <w:tc>
                <w:tcPr>
                  <w:tcW w:w="893" w:type="pct"/>
                  <w:noWrap w:val="0"/>
                  <w:vAlign w:val="center"/>
                </w:tcPr>
                <w:p w14:paraId="41CE19E0">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1079" w:type="pct"/>
                  <w:noWrap w:val="0"/>
                  <w:vAlign w:val="center"/>
                </w:tcPr>
                <w:p w14:paraId="6336A6FB">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1C8F42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noWrap w:val="0"/>
                  <w:vAlign w:val="center"/>
                </w:tcPr>
                <w:p w14:paraId="0642CD10">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noWrap w:val="0"/>
                  <w:vAlign w:val="center"/>
                </w:tcPr>
                <w:p w14:paraId="591F7A90">
                  <w:pPr>
                    <w:topLinePunct/>
                    <w:adjustRightInd w:val="0"/>
                    <w:snapToGrid w:val="0"/>
                    <w:jc w:val="center"/>
                    <w:rPr>
                      <w:rFonts w:hint="default" w:ascii="Times New Roman" w:hAnsi="Times New Roman" w:cs="Times New Roman"/>
                      <w:color w:val="auto"/>
                      <w:kern w:val="0"/>
                      <w:sz w:val="18"/>
                      <w:szCs w:val="18"/>
                      <w:highlight w:val="none"/>
                    </w:rPr>
                  </w:pPr>
                </w:p>
              </w:tc>
              <w:tc>
                <w:tcPr>
                  <w:tcW w:w="273" w:type="pct"/>
                  <w:noWrap w:val="0"/>
                  <w:vAlign w:val="center"/>
                </w:tcPr>
                <w:p w14:paraId="107F4484">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8</w:t>
                  </w:r>
                </w:p>
              </w:tc>
              <w:tc>
                <w:tcPr>
                  <w:tcW w:w="1121" w:type="pct"/>
                  <w:shd w:val="clear" w:color="auto" w:fill="auto"/>
                  <w:noWrap w:val="0"/>
                  <w:vAlign w:val="center"/>
                </w:tcPr>
                <w:p w14:paraId="17CAFE61">
                  <w:pPr>
                    <w:widowControl/>
                    <w:jc w:val="center"/>
                    <w:rPr>
                      <w:rFonts w:hint="default" w:ascii="Times New Roman" w:hAnsi="Times New Roman" w:cs="Times New Roman" w:eastAsiaTheme="minorEastAsia"/>
                      <w:color w:val="auto"/>
                      <w:kern w:val="0"/>
                      <w:sz w:val="18"/>
                      <w:szCs w:val="18"/>
                      <w:lang w:val="en-US" w:eastAsia="zh-CN" w:bidi="ar-SA"/>
                    </w:rPr>
                  </w:pPr>
                  <w:r>
                    <w:rPr>
                      <w:rFonts w:hint="default" w:ascii="Times New Roman" w:hAnsi="Times New Roman" w:cs="Times New Roman" w:eastAsiaTheme="minorEastAsia"/>
                      <w:color w:val="auto"/>
                      <w:kern w:val="0"/>
                      <w:sz w:val="18"/>
                      <w:szCs w:val="18"/>
                    </w:rPr>
                    <w:t>酸循环泵</w:t>
                  </w:r>
                </w:p>
              </w:tc>
              <w:tc>
                <w:tcPr>
                  <w:tcW w:w="775" w:type="pct"/>
                  <w:shd w:val="clear" w:color="auto" w:fill="auto"/>
                  <w:noWrap w:val="0"/>
                  <w:vAlign w:val="center"/>
                </w:tcPr>
                <w:p w14:paraId="660416E8">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2</w:t>
                  </w:r>
                </w:p>
              </w:tc>
              <w:tc>
                <w:tcPr>
                  <w:tcW w:w="893" w:type="pct"/>
                  <w:noWrap w:val="0"/>
                  <w:vAlign w:val="center"/>
                </w:tcPr>
                <w:p w14:paraId="6A23D4E9">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1079" w:type="pct"/>
                  <w:noWrap w:val="0"/>
                  <w:vAlign w:val="center"/>
                </w:tcPr>
                <w:p w14:paraId="383B9235">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32652B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noWrap w:val="0"/>
                  <w:vAlign w:val="center"/>
                </w:tcPr>
                <w:p w14:paraId="0CD92D00">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noWrap w:val="0"/>
                  <w:vAlign w:val="center"/>
                </w:tcPr>
                <w:p w14:paraId="26671F6E">
                  <w:pPr>
                    <w:topLinePunct/>
                    <w:adjustRightInd w:val="0"/>
                    <w:snapToGrid w:val="0"/>
                    <w:jc w:val="center"/>
                    <w:rPr>
                      <w:rFonts w:hint="default" w:ascii="Times New Roman" w:hAnsi="Times New Roman" w:cs="Times New Roman"/>
                      <w:color w:val="auto"/>
                      <w:kern w:val="0"/>
                      <w:sz w:val="18"/>
                      <w:szCs w:val="18"/>
                      <w:highlight w:val="none"/>
                    </w:rPr>
                  </w:pPr>
                </w:p>
              </w:tc>
              <w:tc>
                <w:tcPr>
                  <w:tcW w:w="273" w:type="pct"/>
                  <w:noWrap w:val="0"/>
                  <w:vAlign w:val="center"/>
                </w:tcPr>
                <w:p w14:paraId="4DDEEDDE">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9</w:t>
                  </w:r>
                </w:p>
              </w:tc>
              <w:tc>
                <w:tcPr>
                  <w:tcW w:w="1121" w:type="pct"/>
                  <w:shd w:val="clear" w:color="auto" w:fill="auto"/>
                  <w:noWrap w:val="0"/>
                  <w:vAlign w:val="center"/>
                </w:tcPr>
                <w:p w14:paraId="2E6D33C4">
                  <w:pPr>
                    <w:widowControl/>
                    <w:jc w:val="center"/>
                    <w:rPr>
                      <w:rFonts w:hint="default" w:ascii="Times New Roman" w:hAnsi="Times New Roman" w:cs="Times New Roman" w:eastAsiaTheme="minorEastAsia"/>
                      <w:color w:val="auto"/>
                      <w:kern w:val="0"/>
                      <w:sz w:val="18"/>
                      <w:szCs w:val="18"/>
                      <w:lang w:val="en-US" w:eastAsia="zh-CN" w:bidi="ar-SA"/>
                    </w:rPr>
                  </w:pPr>
                  <w:r>
                    <w:rPr>
                      <w:rFonts w:hint="default" w:ascii="Times New Roman" w:hAnsi="Times New Roman" w:cs="Times New Roman" w:eastAsiaTheme="minorEastAsia"/>
                      <w:color w:val="auto"/>
                      <w:kern w:val="0"/>
                      <w:sz w:val="18"/>
                      <w:szCs w:val="18"/>
                    </w:rPr>
                    <w:t>地坑提升泵</w:t>
                  </w:r>
                </w:p>
              </w:tc>
              <w:tc>
                <w:tcPr>
                  <w:tcW w:w="775" w:type="pct"/>
                  <w:shd w:val="clear" w:color="auto" w:fill="auto"/>
                  <w:noWrap w:val="0"/>
                  <w:vAlign w:val="center"/>
                </w:tcPr>
                <w:p w14:paraId="6637F4EC">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2</w:t>
                  </w:r>
                </w:p>
              </w:tc>
              <w:tc>
                <w:tcPr>
                  <w:tcW w:w="893" w:type="pct"/>
                  <w:noWrap w:val="0"/>
                  <w:vAlign w:val="center"/>
                </w:tcPr>
                <w:p w14:paraId="5F0E76FA">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1079" w:type="pct"/>
                  <w:noWrap w:val="0"/>
                  <w:vAlign w:val="center"/>
                </w:tcPr>
                <w:p w14:paraId="4A562698">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39A5B5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noWrap w:val="0"/>
                  <w:vAlign w:val="center"/>
                </w:tcPr>
                <w:p w14:paraId="25511B52">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noWrap w:val="0"/>
                  <w:vAlign w:val="center"/>
                </w:tcPr>
                <w:p w14:paraId="6FC6E686">
                  <w:pPr>
                    <w:topLinePunct/>
                    <w:adjustRightInd w:val="0"/>
                    <w:snapToGrid w:val="0"/>
                    <w:jc w:val="center"/>
                    <w:rPr>
                      <w:rFonts w:hint="default" w:ascii="Times New Roman" w:hAnsi="Times New Roman" w:cs="Times New Roman"/>
                      <w:color w:val="auto"/>
                      <w:kern w:val="0"/>
                      <w:sz w:val="18"/>
                      <w:szCs w:val="18"/>
                      <w:highlight w:val="none"/>
                    </w:rPr>
                  </w:pPr>
                </w:p>
              </w:tc>
              <w:tc>
                <w:tcPr>
                  <w:tcW w:w="273" w:type="pct"/>
                  <w:noWrap w:val="0"/>
                  <w:vAlign w:val="center"/>
                </w:tcPr>
                <w:p w14:paraId="2094A8E8">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10</w:t>
                  </w:r>
                </w:p>
              </w:tc>
              <w:tc>
                <w:tcPr>
                  <w:tcW w:w="1121" w:type="pct"/>
                  <w:shd w:val="clear" w:color="auto" w:fill="auto"/>
                  <w:noWrap w:val="0"/>
                  <w:vAlign w:val="center"/>
                </w:tcPr>
                <w:p w14:paraId="33FBD5CB">
                  <w:pPr>
                    <w:widowControl/>
                    <w:jc w:val="center"/>
                    <w:rPr>
                      <w:rFonts w:hint="default" w:ascii="Times New Roman" w:hAnsi="Times New Roman" w:cs="Times New Roman" w:eastAsiaTheme="minorEastAsia"/>
                      <w:color w:val="auto"/>
                      <w:kern w:val="0"/>
                      <w:sz w:val="18"/>
                      <w:szCs w:val="18"/>
                      <w:lang w:val="en-US" w:eastAsia="zh-CN" w:bidi="ar-SA"/>
                    </w:rPr>
                  </w:pPr>
                  <w:r>
                    <w:rPr>
                      <w:rFonts w:hint="default" w:ascii="Times New Roman" w:hAnsi="Times New Roman" w:cs="Times New Roman" w:eastAsiaTheme="minorEastAsia"/>
                      <w:color w:val="auto"/>
                      <w:kern w:val="0"/>
                      <w:sz w:val="18"/>
                      <w:szCs w:val="18"/>
                    </w:rPr>
                    <w:t>高压冲洗水泵</w:t>
                  </w:r>
                </w:p>
              </w:tc>
              <w:tc>
                <w:tcPr>
                  <w:tcW w:w="775" w:type="pct"/>
                  <w:shd w:val="clear" w:color="auto" w:fill="auto"/>
                  <w:noWrap w:val="0"/>
                  <w:vAlign w:val="center"/>
                </w:tcPr>
                <w:p w14:paraId="2CE087E1">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2</w:t>
                  </w:r>
                </w:p>
              </w:tc>
              <w:tc>
                <w:tcPr>
                  <w:tcW w:w="893" w:type="pct"/>
                  <w:noWrap w:val="0"/>
                  <w:vAlign w:val="center"/>
                </w:tcPr>
                <w:p w14:paraId="60C5B55D">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1079" w:type="pct"/>
                  <w:noWrap w:val="0"/>
                  <w:vAlign w:val="center"/>
                </w:tcPr>
                <w:p w14:paraId="01EBBF2D">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13A196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noWrap w:val="0"/>
                  <w:vAlign w:val="center"/>
                </w:tcPr>
                <w:p w14:paraId="3C3457AA">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noWrap w:val="0"/>
                  <w:vAlign w:val="center"/>
                </w:tcPr>
                <w:p w14:paraId="35B64D8D">
                  <w:pPr>
                    <w:topLinePunct/>
                    <w:adjustRightInd w:val="0"/>
                    <w:snapToGrid w:val="0"/>
                    <w:jc w:val="center"/>
                    <w:rPr>
                      <w:rFonts w:hint="default" w:ascii="Times New Roman" w:hAnsi="Times New Roman" w:cs="Times New Roman"/>
                      <w:color w:val="auto"/>
                      <w:kern w:val="0"/>
                      <w:sz w:val="18"/>
                      <w:szCs w:val="18"/>
                      <w:highlight w:val="none"/>
                    </w:rPr>
                  </w:pPr>
                </w:p>
              </w:tc>
              <w:tc>
                <w:tcPr>
                  <w:tcW w:w="273" w:type="pct"/>
                  <w:noWrap w:val="0"/>
                  <w:vAlign w:val="center"/>
                </w:tcPr>
                <w:p w14:paraId="430AFBBC">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11</w:t>
                  </w:r>
                </w:p>
              </w:tc>
              <w:tc>
                <w:tcPr>
                  <w:tcW w:w="1121" w:type="pct"/>
                  <w:shd w:val="clear" w:color="auto" w:fill="auto"/>
                  <w:noWrap w:val="0"/>
                  <w:vAlign w:val="center"/>
                </w:tcPr>
                <w:p w14:paraId="4BB92973">
                  <w:pPr>
                    <w:widowControl/>
                    <w:jc w:val="center"/>
                    <w:rPr>
                      <w:rFonts w:hint="default" w:ascii="Times New Roman" w:hAnsi="Times New Roman" w:cs="Times New Roman" w:eastAsiaTheme="minorEastAsia"/>
                      <w:color w:val="auto"/>
                      <w:kern w:val="0"/>
                      <w:sz w:val="18"/>
                      <w:szCs w:val="18"/>
                      <w:lang w:val="en-US" w:eastAsia="zh-CN" w:bidi="ar-SA"/>
                    </w:rPr>
                  </w:pPr>
                  <w:r>
                    <w:rPr>
                      <w:rFonts w:hint="default" w:ascii="Times New Roman" w:hAnsi="Times New Roman" w:cs="Times New Roman" w:eastAsiaTheme="minorEastAsia"/>
                      <w:color w:val="auto"/>
                      <w:kern w:val="0"/>
                      <w:sz w:val="18"/>
                      <w:szCs w:val="18"/>
                    </w:rPr>
                    <w:t>冲洗水泵</w:t>
                  </w:r>
                </w:p>
              </w:tc>
              <w:tc>
                <w:tcPr>
                  <w:tcW w:w="775" w:type="pct"/>
                  <w:shd w:val="clear" w:color="auto" w:fill="auto"/>
                  <w:noWrap w:val="0"/>
                  <w:vAlign w:val="center"/>
                </w:tcPr>
                <w:p w14:paraId="6A28B5CF">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4</w:t>
                  </w:r>
                </w:p>
              </w:tc>
              <w:tc>
                <w:tcPr>
                  <w:tcW w:w="893" w:type="pct"/>
                  <w:noWrap w:val="0"/>
                  <w:vAlign w:val="center"/>
                </w:tcPr>
                <w:p w14:paraId="60158D03">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1079" w:type="pct"/>
                  <w:noWrap w:val="0"/>
                  <w:vAlign w:val="center"/>
                </w:tcPr>
                <w:p w14:paraId="5CFEC761">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202B1E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noWrap w:val="0"/>
                  <w:vAlign w:val="center"/>
                </w:tcPr>
                <w:p w14:paraId="31EF9D2B">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noWrap w:val="0"/>
                  <w:vAlign w:val="center"/>
                </w:tcPr>
                <w:p w14:paraId="10845E54">
                  <w:pPr>
                    <w:topLinePunct/>
                    <w:adjustRightInd w:val="0"/>
                    <w:snapToGrid w:val="0"/>
                    <w:jc w:val="center"/>
                    <w:rPr>
                      <w:rFonts w:hint="default" w:ascii="Times New Roman" w:hAnsi="Times New Roman" w:cs="Times New Roman"/>
                      <w:color w:val="auto"/>
                      <w:kern w:val="0"/>
                      <w:sz w:val="18"/>
                      <w:szCs w:val="18"/>
                      <w:highlight w:val="none"/>
                    </w:rPr>
                  </w:pPr>
                </w:p>
              </w:tc>
              <w:tc>
                <w:tcPr>
                  <w:tcW w:w="273" w:type="pct"/>
                  <w:noWrap w:val="0"/>
                  <w:vAlign w:val="center"/>
                </w:tcPr>
                <w:p w14:paraId="19A44D84">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12</w:t>
                  </w:r>
                </w:p>
              </w:tc>
              <w:tc>
                <w:tcPr>
                  <w:tcW w:w="1121" w:type="pct"/>
                  <w:shd w:val="clear" w:color="auto" w:fill="auto"/>
                  <w:noWrap w:val="0"/>
                  <w:vAlign w:val="center"/>
                </w:tcPr>
                <w:p w14:paraId="6AAACD93">
                  <w:pPr>
                    <w:widowControl/>
                    <w:jc w:val="center"/>
                    <w:rPr>
                      <w:rFonts w:hint="default" w:ascii="Times New Roman" w:hAnsi="Times New Roman" w:cs="Times New Roman" w:eastAsiaTheme="minorEastAsia"/>
                      <w:color w:val="auto"/>
                      <w:kern w:val="0"/>
                      <w:sz w:val="18"/>
                      <w:szCs w:val="18"/>
                      <w:lang w:val="en-US" w:eastAsia="zh-CN" w:bidi="ar-SA"/>
                    </w:rPr>
                  </w:pPr>
                  <w:r>
                    <w:rPr>
                      <w:rFonts w:hint="default" w:ascii="Times New Roman" w:hAnsi="Times New Roman" w:cs="Times New Roman" w:eastAsiaTheme="minorEastAsia"/>
                      <w:color w:val="auto"/>
                      <w:kern w:val="0"/>
                      <w:sz w:val="18"/>
                      <w:szCs w:val="18"/>
                    </w:rPr>
                    <w:t>冲洗水泵</w:t>
                  </w:r>
                </w:p>
              </w:tc>
              <w:tc>
                <w:tcPr>
                  <w:tcW w:w="775" w:type="pct"/>
                  <w:shd w:val="clear" w:color="auto" w:fill="auto"/>
                  <w:noWrap w:val="0"/>
                  <w:vAlign w:val="center"/>
                </w:tcPr>
                <w:p w14:paraId="1187B5C4">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2</w:t>
                  </w:r>
                </w:p>
              </w:tc>
              <w:tc>
                <w:tcPr>
                  <w:tcW w:w="893" w:type="pct"/>
                  <w:noWrap w:val="0"/>
                  <w:vAlign w:val="center"/>
                </w:tcPr>
                <w:p w14:paraId="182FFAEF">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1079" w:type="pct"/>
                  <w:noWrap w:val="0"/>
                  <w:vAlign w:val="center"/>
                </w:tcPr>
                <w:p w14:paraId="639BD285">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4D4D6D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noWrap w:val="0"/>
                  <w:vAlign w:val="center"/>
                </w:tcPr>
                <w:p w14:paraId="216079AE">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noWrap w:val="0"/>
                  <w:vAlign w:val="center"/>
                </w:tcPr>
                <w:p w14:paraId="68F2EBA0">
                  <w:pPr>
                    <w:topLinePunct/>
                    <w:adjustRightInd w:val="0"/>
                    <w:snapToGrid w:val="0"/>
                    <w:jc w:val="center"/>
                    <w:rPr>
                      <w:rFonts w:hint="default" w:ascii="Times New Roman" w:hAnsi="Times New Roman" w:cs="Times New Roman"/>
                      <w:color w:val="auto"/>
                      <w:kern w:val="0"/>
                      <w:sz w:val="18"/>
                      <w:szCs w:val="18"/>
                      <w:highlight w:val="none"/>
                    </w:rPr>
                  </w:pPr>
                </w:p>
              </w:tc>
              <w:tc>
                <w:tcPr>
                  <w:tcW w:w="273" w:type="pct"/>
                  <w:noWrap w:val="0"/>
                  <w:vAlign w:val="center"/>
                </w:tcPr>
                <w:p w14:paraId="296F985D">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13</w:t>
                  </w:r>
                </w:p>
              </w:tc>
              <w:tc>
                <w:tcPr>
                  <w:tcW w:w="1121" w:type="pct"/>
                  <w:shd w:val="clear" w:color="auto" w:fill="auto"/>
                  <w:noWrap w:val="0"/>
                  <w:vAlign w:val="center"/>
                </w:tcPr>
                <w:p w14:paraId="357F5791">
                  <w:pPr>
                    <w:widowControl/>
                    <w:jc w:val="center"/>
                    <w:rPr>
                      <w:rFonts w:hint="default" w:ascii="Times New Roman" w:hAnsi="Times New Roman" w:cs="Times New Roman" w:eastAsiaTheme="minorEastAsia"/>
                      <w:color w:val="auto"/>
                      <w:kern w:val="0"/>
                      <w:sz w:val="18"/>
                      <w:szCs w:val="18"/>
                      <w:lang w:val="en-US" w:eastAsia="zh-CN" w:bidi="ar-SA"/>
                    </w:rPr>
                  </w:pPr>
                  <w:r>
                    <w:rPr>
                      <w:rFonts w:hint="default" w:ascii="Times New Roman" w:hAnsi="Times New Roman" w:cs="Times New Roman" w:eastAsiaTheme="minorEastAsia"/>
                      <w:color w:val="auto"/>
                      <w:kern w:val="0"/>
                      <w:sz w:val="18"/>
                      <w:szCs w:val="18"/>
                    </w:rPr>
                    <w:t>热水泵</w:t>
                  </w:r>
                </w:p>
              </w:tc>
              <w:tc>
                <w:tcPr>
                  <w:tcW w:w="775" w:type="pct"/>
                  <w:shd w:val="clear" w:color="auto" w:fill="auto"/>
                  <w:noWrap w:val="0"/>
                  <w:vAlign w:val="center"/>
                </w:tcPr>
                <w:p w14:paraId="7A5FF8FC">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2</w:t>
                  </w:r>
                </w:p>
              </w:tc>
              <w:tc>
                <w:tcPr>
                  <w:tcW w:w="893" w:type="pct"/>
                  <w:noWrap w:val="0"/>
                  <w:vAlign w:val="center"/>
                </w:tcPr>
                <w:p w14:paraId="38D9A2D0">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1079" w:type="pct"/>
                  <w:noWrap w:val="0"/>
                  <w:vAlign w:val="center"/>
                </w:tcPr>
                <w:p w14:paraId="65B30C32">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4788EA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noWrap w:val="0"/>
                  <w:vAlign w:val="center"/>
                </w:tcPr>
                <w:p w14:paraId="0496B471">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noWrap w:val="0"/>
                  <w:vAlign w:val="center"/>
                </w:tcPr>
                <w:p w14:paraId="62F6B5C5">
                  <w:pPr>
                    <w:topLinePunct/>
                    <w:adjustRightInd w:val="0"/>
                    <w:snapToGrid w:val="0"/>
                    <w:jc w:val="center"/>
                    <w:rPr>
                      <w:rFonts w:hint="default" w:ascii="Times New Roman" w:hAnsi="Times New Roman" w:cs="Times New Roman"/>
                      <w:color w:val="auto"/>
                      <w:kern w:val="0"/>
                      <w:sz w:val="18"/>
                      <w:szCs w:val="18"/>
                      <w:highlight w:val="none"/>
                    </w:rPr>
                  </w:pPr>
                </w:p>
              </w:tc>
              <w:tc>
                <w:tcPr>
                  <w:tcW w:w="273" w:type="pct"/>
                  <w:noWrap w:val="0"/>
                  <w:vAlign w:val="center"/>
                </w:tcPr>
                <w:p w14:paraId="0022F7FD">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14</w:t>
                  </w:r>
                </w:p>
              </w:tc>
              <w:tc>
                <w:tcPr>
                  <w:tcW w:w="1121" w:type="pct"/>
                  <w:shd w:val="clear" w:color="auto" w:fill="auto"/>
                  <w:noWrap w:val="0"/>
                  <w:vAlign w:val="center"/>
                </w:tcPr>
                <w:p w14:paraId="33E051ED">
                  <w:pPr>
                    <w:widowControl/>
                    <w:jc w:val="center"/>
                    <w:rPr>
                      <w:rFonts w:hint="default" w:ascii="Times New Roman" w:hAnsi="Times New Roman" w:cs="Times New Roman" w:eastAsiaTheme="minorEastAsia"/>
                      <w:color w:val="auto"/>
                      <w:kern w:val="0"/>
                      <w:sz w:val="18"/>
                      <w:szCs w:val="18"/>
                      <w:lang w:val="en-US" w:eastAsia="zh-CN" w:bidi="ar-SA"/>
                    </w:rPr>
                  </w:pPr>
                  <w:r>
                    <w:rPr>
                      <w:rFonts w:hint="default" w:ascii="Times New Roman" w:hAnsi="Times New Roman" w:cs="Times New Roman" w:eastAsiaTheme="minorEastAsia"/>
                      <w:color w:val="auto"/>
                      <w:kern w:val="0"/>
                      <w:sz w:val="18"/>
                      <w:szCs w:val="18"/>
                    </w:rPr>
                    <w:t>玻璃钢变频风机</w:t>
                  </w:r>
                </w:p>
              </w:tc>
              <w:tc>
                <w:tcPr>
                  <w:tcW w:w="775" w:type="pct"/>
                  <w:shd w:val="clear" w:color="auto" w:fill="auto"/>
                  <w:noWrap w:val="0"/>
                  <w:vAlign w:val="center"/>
                </w:tcPr>
                <w:p w14:paraId="16A0C86E">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2</w:t>
                  </w:r>
                </w:p>
              </w:tc>
              <w:tc>
                <w:tcPr>
                  <w:tcW w:w="893" w:type="pct"/>
                  <w:noWrap w:val="0"/>
                  <w:vAlign w:val="center"/>
                </w:tcPr>
                <w:p w14:paraId="43DC821D">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1079" w:type="pct"/>
                  <w:noWrap w:val="0"/>
                  <w:vAlign w:val="center"/>
                </w:tcPr>
                <w:p w14:paraId="619B68D0">
                  <w:pPr>
                    <w:topLinePunct/>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0FF0E0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183017EC">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462AA0ED">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7F5F03CA">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15</w:t>
                  </w:r>
                </w:p>
              </w:tc>
              <w:tc>
                <w:tcPr>
                  <w:tcW w:w="1121" w:type="pct"/>
                  <w:shd w:val="clear" w:color="auto" w:fill="auto"/>
                  <w:vAlign w:val="center"/>
                </w:tcPr>
                <w:p w14:paraId="3538119D">
                  <w:pPr>
                    <w:widowControl/>
                    <w:jc w:val="center"/>
                    <w:rPr>
                      <w:rFonts w:hint="default" w:ascii="Times New Roman" w:hAnsi="Times New Roman" w:cs="Times New Roman" w:eastAsiaTheme="minorEastAsia"/>
                      <w:color w:val="auto"/>
                      <w:kern w:val="0"/>
                      <w:sz w:val="18"/>
                      <w:szCs w:val="18"/>
                      <w:lang w:val="en-US" w:eastAsia="zh-CN" w:bidi="ar-SA"/>
                    </w:rPr>
                  </w:pPr>
                  <w:r>
                    <w:rPr>
                      <w:rFonts w:hint="default" w:ascii="Times New Roman" w:hAnsi="Times New Roman" w:cs="Times New Roman" w:eastAsiaTheme="minorEastAsia"/>
                      <w:color w:val="auto"/>
                      <w:kern w:val="0"/>
                      <w:sz w:val="18"/>
                      <w:szCs w:val="18"/>
                    </w:rPr>
                    <w:t>循环液下泵</w:t>
                  </w:r>
                </w:p>
              </w:tc>
              <w:tc>
                <w:tcPr>
                  <w:tcW w:w="775" w:type="pct"/>
                  <w:shd w:val="clear" w:color="auto" w:fill="auto"/>
                  <w:vAlign w:val="center"/>
                </w:tcPr>
                <w:p w14:paraId="352CB277">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6</w:t>
                  </w:r>
                </w:p>
              </w:tc>
              <w:tc>
                <w:tcPr>
                  <w:tcW w:w="0" w:type="auto"/>
                  <w:vAlign w:val="center"/>
                </w:tcPr>
                <w:p w14:paraId="30951E2C">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50778C9F">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570813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14EE805A">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784DDA40">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68250D72">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16</w:t>
                  </w:r>
                </w:p>
              </w:tc>
              <w:tc>
                <w:tcPr>
                  <w:tcW w:w="1121" w:type="pct"/>
                  <w:shd w:val="clear" w:color="auto" w:fill="auto"/>
                  <w:vAlign w:val="center"/>
                </w:tcPr>
                <w:p w14:paraId="23BDD39B">
                  <w:pPr>
                    <w:widowControl/>
                    <w:jc w:val="center"/>
                    <w:rPr>
                      <w:rFonts w:hint="default" w:ascii="Times New Roman" w:hAnsi="Times New Roman" w:cs="Times New Roman" w:eastAsiaTheme="minorEastAsia"/>
                      <w:color w:val="auto"/>
                      <w:kern w:val="0"/>
                      <w:sz w:val="18"/>
                      <w:szCs w:val="18"/>
                      <w:lang w:val="en-US" w:eastAsia="zh-CN" w:bidi="ar-SA"/>
                    </w:rPr>
                  </w:pPr>
                  <w:r>
                    <w:rPr>
                      <w:rFonts w:hint="default" w:ascii="Times New Roman" w:hAnsi="Times New Roman" w:cs="Times New Roman" w:eastAsiaTheme="minorEastAsia"/>
                      <w:color w:val="auto"/>
                      <w:kern w:val="0"/>
                      <w:sz w:val="18"/>
                      <w:szCs w:val="18"/>
                    </w:rPr>
                    <w:t>计量泵</w:t>
                  </w:r>
                </w:p>
              </w:tc>
              <w:tc>
                <w:tcPr>
                  <w:tcW w:w="775" w:type="pct"/>
                  <w:shd w:val="clear" w:color="auto" w:fill="auto"/>
                  <w:vAlign w:val="center"/>
                </w:tcPr>
                <w:p w14:paraId="1CE2745C">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6</w:t>
                  </w:r>
                </w:p>
              </w:tc>
              <w:tc>
                <w:tcPr>
                  <w:tcW w:w="0" w:type="auto"/>
                  <w:vAlign w:val="center"/>
                </w:tcPr>
                <w:p w14:paraId="13E4828E">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32F9D1B2">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3FE589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5C5B04B6">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7326EB55">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669A2EE7">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17</w:t>
                  </w:r>
                </w:p>
              </w:tc>
              <w:tc>
                <w:tcPr>
                  <w:tcW w:w="1121" w:type="pct"/>
                  <w:shd w:val="clear" w:color="auto" w:fill="auto"/>
                  <w:vAlign w:val="center"/>
                </w:tcPr>
                <w:p w14:paraId="35D41D25">
                  <w:pPr>
                    <w:widowControl/>
                    <w:jc w:val="center"/>
                    <w:rPr>
                      <w:rFonts w:hint="default" w:ascii="Times New Roman" w:hAnsi="Times New Roman" w:cs="Times New Roman" w:eastAsiaTheme="minorEastAsia"/>
                      <w:color w:val="auto"/>
                      <w:kern w:val="0"/>
                      <w:sz w:val="18"/>
                      <w:szCs w:val="18"/>
                      <w:lang w:val="en-US" w:eastAsia="zh-CN" w:bidi="ar-SA"/>
                    </w:rPr>
                  </w:pPr>
                  <w:r>
                    <w:rPr>
                      <w:rFonts w:hint="default" w:ascii="Times New Roman" w:hAnsi="Times New Roman" w:cs="Times New Roman" w:eastAsiaTheme="minorEastAsia"/>
                      <w:color w:val="auto"/>
                      <w:kern w:val="0"/>
                      <w:sz w:val="18"/>
                      <w:szCs w:val="18"/>
                    </w:rPr>
                    <w:t>机械搅拌机</w:t>
                  </w:r>
                </w:p>
              </w:tc>
              <w:tc>
                <w:tcPr>
                  <w:tcW w:w="775" w:type="pct"/>
                  <w:shd w:val="clear" w:color="auto" w:fill="auto"/>
                  <w:vAlign w:val="center"/>
                </w:tcPr>
                <w:p w14:paraId="761ED203">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3</w:t>
                  </w:r>
                </w:p>
              </w:tc>
              <w:tc>
                <w:tcPr>
                  <w:tcW w:w="0" w:type="auto"/>
                  <w:vAlign w:val="center"/>
                </w:tcPr>
                <w:p w14:paraId="15F728BC">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1E9C487C">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1F203E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8" w:type="pct"/>
                  <w:vMerge w:val="continue"/>
                  <w:vAlign w:val="center"/>
                </w:tcPr>
                <w:p w14:paraId="5E92048F">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667D16C0">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56DDDB92">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18</w:t>
                  </w:r>
                </w:p>
              </w:tc>
              <w:tc>
                <w:tcPr>
                  <w:tcW w:w="1121" w:type="pct"/>
                  <w:shd w:val="clear" w:color="auto" w:fill="auto"/>
                  <w:vAlign w:val="center"/>
                </w:tcPr>
                <w:p w14:paraId="5102AB5C">
                  <w:pPr>
                    <w:widowControl/>
                    <w:jc w:val="center"/>
                    <w:rPr>
                      <w:rFonts w:hint="default" w:ascii="Times New Roman" w:hAnsi="Times New Roman" w:cs="Times New Roman" w:eastAsiaTheme="minorEastAsia"/>
                      <w:color w:val="auto"/>
                      <w:kern w:val="0"/>
                      <w:sz w:val="18"/>
                      <w:szCs w:val="18"/>
                      <w:lang w:val="en-US" w:eastAsia="zh-CN" w:bidi="ar-SA"/>
                    </w:rPr>
                  </w:pPr>
                  <w:r>
                    <w:rPr>
                      <w:rFonts w:hint="default" w:ascii="Times New Roman" w:hAnsi="Times New Roman" w:cs="Times New Roman" w:eastAsiaTheme="minorEastAsia"/>
                      <w:color w:val="auto"/>
                      <w:kern w:val="0"/>
                      <w:sz w:val="18"/>
                      <w:szCs w:val="18"/>
                    </w:rPr>
                    <w:t>冷却塔</w:t>
                  </w:r>
                </w:p>
              </w:tc>
              <w:tc>
                <w:tcPr>
                  <w:tcW w:w="775" w:type="pct"/>
                  <w:shd w:val="clear" w:color="auto" w:fill="auto"/>
                  <w:vAlign w:val="center"/>
                </w:tcPr>
                <w:p w14:paraId="404BD2DB">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w:t>
                  </w:r>
                </w:p>
              </w:tc>
              <w:tc>
                <w:tcPr>
                  <w:tcW w:w="0" w:type="auto"/>
                  <w:vAlign w:val="center"/>
                </w:tcPr>
                <w:p w14:paraId="772050FC">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22B5C958">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18D9C8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0C8E33BA">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1FED63F5">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4FE0A28B">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19</w:t>
                  </w:r>
                </w:p>
              </w:tc>
              <w:tc>
                <w:tcPr>
                  <w:tcW w:w="1121" w:type="pct"/>
                  <w:shd w:val="clear" w:color="auto" w:fill="auto"/>
                  <w:vAlign w:val="center"/>
                </w:tcPr>
                <w:p w14:paraId="00B865FC">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NOF助燃风机</w:t>
                  </w:r>
                </w:p>
              </w:tc>
              <w:tc>
                <w:tcPr>
                  <w:tcW w:w="775" w:type="pct"/>
                  <w:shd w:val="clear" w:color="auto" w:fill="auto"/>
                  <w:vAlign w:val="center"/>
                </w:tcPr>
                <w:p w14:paraId="239CA697">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w:t>
                  </w:r>
                </w:p>
              </w:tc>
              <w:tc>
                <w:tcPr>
                  <w:tcW w:w="0" w:type="auto"/>
                  <w:vAlign w:val="center"/>
                </w:tcPr>
                <w:p w14:paraId="1DF6FB63">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3A265BBF">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5C011E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2B229333">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29B6D217">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318866A3">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20</w:t>
                  </w:r>
                </w:p>
              </w:tc>
              <w:tc>
                <w:tcPr>
                  <w:tcW w:w="1121" w:type="pct"/>
                  <w:shd w:val="clear" w:color="auto" w:fill="auto"/>
                  <w:vAlign w:val="center"/>
                </w:tcPr>
                <w:p w14:paraId="0D340794">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NOF助燃风机</w:t>
                  </w:r>
                </w:p>
              </w:tc>
              <w:tc>
                <w:tcPr>
                  <w:tcW w:w="775" w:type="pct"/>
                  <w:shd w:val="clear" w:color="auto" w:fill="auto"/>
                  <w:vAlign w:val="center"/>
                </w:tcPr>
                <w:p w14:paraId="093E2C2E">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w:t>
                  </w:r>
                </w:p>
              </w:tc>
              <w:tc>
                <w:tcPr>
                  <w:tcW w:w="0" w:type="auto"/>
                  <w:vAlign w:val="center"/>
                </w:tcPr>
                <w:p w14:paraId="566C80F8">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525A7CA4">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1D5E88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2F4DEFAD">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2E1A2A41">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4EABEEC2">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21</w:t>
                  </w:r>
                </w:p>
              </w:tc>
              <w:tc>
                <w:tcPr>
                  <w:tcW w:w="1121" w:type="pct"/>
                  <w:shd w:val="clear" w:color="auto" w:fill="auto"/>
                  <w:vAlign w:val="center"/>
                </w:tcPr>
                <w:p w14:paraId="7C7AF0EA">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NOF排烟风机</w:t>
                  </w:r>
                </w:p>
              </w:tc>
              <w:tc>
                <w:tcPr>
                  <w:tcW w:w="775" w:type="pct"/>
                  <w:shd w:val="clear" w:color="auto" w:fill="auto"/>
                  <w:vAlign w:val="center"/>
                </w:tcPr>
                <w:p w14:paraId="7716506C">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w:t>
                  </w:r>
                </w:p>
              </w:tc>
              <w:tc>
                <w:tcPr>
                  <w:tcW w:w="0" w:type="auto"/>
                  <w:vAlign w:val="center"/>
                </w:tcPr>
                <w:p w14:paraId="2F9443FE">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4936A265">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653A39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3B0C6BA6">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176A1E6C">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4DBF555A">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22</w:t>
                  </w:r>
                </w:p>
              </w:tc>
              <w:tc>
                <w:tcPr>
                  <w:tcW w:w="1121" w:type="pct"/>
                  <w:shd w:val="clear" w:color="auto" w:fill="auto"/>
                  <w:vAlign w:val="center"/>
                </w:tcPr>
                <w:p w14:paraId="0BF0078C">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RTF助燃风机</w:t>
                  </w:r>
                </w:p>
              </w:tc>
              <w:tc>
                <w:tcPr>
                  <w:tcW w:w="775" w:type="pct"/>
                  <w:shd w:val="clear" w:color="auto" w:fill="auto"/>
                  <w:vAlign w:val="center"/>
                </w:tcPr>
                <w:p w14:paraId="251232F8">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w:t>
                  </w:r>
                </w:p>
              </w:tc>
              <w:tc>
                <w:tcPr>
                  <w:tcW w:w="0" w:type="auto"/>
                  <w:vAlign w:val="center"/>
                </w:tcPr>
                <w:p w14:paraId="3A6375A8">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0254ADEB">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1462D5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38ABF162">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1D682789">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3101830B">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23</w:t>
                  </w:r>
                </w:p>
              </w:tc>
              <w:tc>
                <w:tcPr>
                  <w:tcW w:w="1121" w:type="pct"/>
                  <w:shd w:val="clear" w:color="auto" w:fill="auto"/>
                  <w:vAlign w:val="center"/>
                </w:tcPr>
                <w:p w14:paraId="0C14A5B2">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RTF排烟风机</w:t>
                  </w:r>
                </w:p>
              </w:tc>
              <w:tc>
                <w:tcPr>
                  <w:tcW w:w="775" w:type="pct"/>
                  <w:shd w:val="clear" w:color="auto" w:fill="auto"/>
                  <w:vAlign w:val="center"/>
                </w:tcPr>
                <w:p w14:paraId="7DEDAA7A">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w:t>
                  </w:r>
                </w:p>
              </w:tc>
              <w:tc>
                <w:tcPr>
                  <w:tcW w:w="0" w:type="auto"/>
                  <w:vAlign w:val="center"/>
                </w:tcPr>
                <w:p w14:paraId="0E00986C">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0858F081">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63493E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1C2D915F">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5AB6C163">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0DAAED38">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24</w:t>
                  </w:r>
                </w:p>
              </w:tc>
              <w:tc>
                <w:tcPr>
                  <w:tcW w:w="1121" w:type="pct"/>
                  <w:shd w:val="clear" w:color="auto" w:fill="auto"/>
                  <w:vAlign w:val="center"/>
                </w:tcPr>
                <w:p w14:paraId="2024671C">
                  <w:pPr>
                    <w:widowControl/>
                    <w:jc w:val="center"/>
                    <w:rPr>
                      <w:rFonts w:hint="default" w:ascii="Times New Roman" w:hAnsi="Times New Roman" w:cs="Times New Roman" w:eastAsiaTheme="minorEastAsia"/>
                      <w:color w:val="auto"/>
                      <w:kern w:val="0"/>
                      <w:sz w:val="18"/>
                      <w:szCs w:val="18"/>
                      <w:lang w:val="en-US" w:eastAsia="zh-CN" w:bidi="ar-SA"/>
                    </w:rPr>
                  </w:pPr>
                  <w:r>
                    <w:rPr>
                      <w:rFonts w:hint="default" w:ascii="Times New Roman" w:hAnsi="Times New Roman" w:cs="Times New Roman" w:eastAsiaTheme="minorEastAsia"/>
                      <w:color w:val="auto"/>
                      <w:sz w:val="18"/>
                      <w:szCs w:val="18"/>
                    </w:rPr>
                    <w:t>1#RCF冷却风机</w:t>
                  </w:r>
                </w:p>
              </w:tc>
              <w:tc>
                <w:tcPr>
                  <w:tcW w:w="775" w:type="pct"/>
                  <w:shd w:val="clear" w:color="auto" w:fill="auto"/>
                  <w:vAlign w:val="center"/>
                </w:tcPr>
                <w:p w14:paraId="3087218F">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w:t>
                  </w:r>
                </w:p>
              </w:tc>
              <w:tc>
                <w:tcPr>
                  <w:tcW w:w="0" w:type="auto"/>
                  <w:vAlign w:val="center"/>
                </w:tcPr>
                <w:p w14:paraId="6A5C2EE3">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0C999F21">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661CAD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6E3BBF6F">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48272B6A">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78FA4681">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25</w:t>
                  </w:r>
                </w:p>
              </w:tc>
              <w:tc>
                <w:tcPr>
                  <w:tcW w:w="1121" w:type="pct"/>
                  <w:shd w:val="clear" w:color="auto" w:fill="auto"/>
                  <w:vAlign w:val="center"/>
                </w:tcPr>
                <w:p w14:paraId="05503622">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2#RCF冷却风机</w:t>
                  </w:r>
                </w:p>
              </w:tc>
              <w:tc>
                <w:tcPr>
                  <w:tcW w:w="775" w:type="pct"/>
                  <w:shd w:val="clear" w:color="auto" w:fill="auto"/>
                  <w:vAlign w:val="center"/>
                </w:tcPr>
                <w:p w14:paraId="3A99A78B">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w:t>
                  </w:r>
                </w:p>
              </w:tc>
              <w:tc>
                <w:tcPr>
                  <w:tcW w:w="0" w:type="auto"/>
                  <w:vAlign w:val="center"/>
                </w:tcPr>
                <w:p w14:paraId="77592C2E">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0868EB9E">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49AE48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1AF53942">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0D75A18C">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63999091">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26</w:t>
                  </w:r>
                </w:p>
              </w:tc>
              <w:tc>
                <w:tcPr>
                  <w:tcW w:w="1121" w:type="pct"/>
                  <w:shd w:val="clear" w:color="auto" w:fill="auto"/>
                  <w:vAlign w:val="center"/>
                </w:tcPr>
                <w:p w14:paraId="628EE03E">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1#WSC风机</w:t>
                  </w:r>
                </w:p>
              </w:tc>
              <w:tc>
                <w:tcPr>
                  <w:tcW w:w="775" w:type="pct"/>
                  <w:shd w:val="clear" w:color="auto" w:fill="auto"/>
                  <w:vAlign w:val="center"/>
                </w:tcPr>
                <w:p w14:paraId="1BAFFC6A">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w:t>
                  </w:r>
                </w:p>
              </w:tc>
              <w:tc>
                <w:tcPr>
                  <w:tcW w:w="0" w:type="auto"/>
                  <w:vAlign w:val="center"/>
                </w:tcPr>
                <w:p w14:paraId="1B9B32B2">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610A4DBC">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158DC9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1B686709">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299B4114">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0D5D950C">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27</w:t>
                  </w:r>
                </w:p>
              </w:tc>
              <w:tc>
                <w:tcPr>
                  <w:tcW w:w="1121" w:type="pct"/>
                  <w:shd w:val="clear" w:color="auto" w:fill="auto"/>
                  <w:vAlign w:val="center"/>
                </w:tcPr>
                <w:p w14:paraId="51000D7A">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擦拭风机</w:t>
                  </w:r>
                </w:p>
              </w:tc>
              <w:tc>
                <w:tcPr>
                  <w:tcW w:w="775" w:type="pct"/>
                  <w:shd w:val="clear" w:color="auto" w:fill="auto"/>
                  <w:vAlign w:val="center"/>
                </w:tcPr>
                <w:p w14:paraId="2B919731">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w:t>
                  </w:r>
                </w:p>
              </w:tc>
              <w:tc>
                <w:tcPr>
                  <w:tcW w:w="0" w:type="auto"/>
                  <w:vAlign w:val="center"/>
                </w:tcPr>
                <w:p w14:paraId="7B48B62E">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4A7873C1">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67F022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6905384B">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39F2A9D1">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1302CCDA">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28</w:t>
                  </w:r>
                </w:p>
              </w:tc>
              <w:tc>
                <w:tcPr>
                  <w:tcW w:w="1121" w:type="pct"/>
                  <w:shd w:val="clear" w:color="auto" w:fill="auto"/>
                  <w:vAlign w:val="center"/>
                </w:tcPr>
                <w:p w14:paraId="2B7EE20F">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AJC冷却风机</w:t>
                  </w:r>
                </w:p>
              </w:tc>
              <w:tc>
                <w:tcPr>
                  <w:tcW w:w="775" w:type="pct"/>
                  <w:shd w:val="clear" w:color="auto" w:fill="auto"/>
                  <w:vAlign w:val="center"/>
                </w:tcPr>
                <w:p w14:paraId="6EAD375A">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2</w:t>
                  </w:r>
                </w:p>
              </w:tc>
              <w:tc>
                <w:tcPr>
                  <w:tcW w:w="0" w:type="auto"/>
                  <w:vAlign w:val="center"/>
                </w:tcPr>
                <w:p w14:paraId="75AC1DC2">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2B079F4F">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091CA7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383E1E44">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5A2F4391">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6DF71CFC">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29</w:t>
                  </w:r>
                </w:p>
              </w:tc>
              <w:tc>
                <w:tcPr>
                  <w:tcW w:w="1121" w:type="pct"/>
                  <w:shd w:val="clear" w:color="auto" w:fill="auto"/>
                  <w:vAlign w:val="center"/>
                </w:tcPr>
                <w:p w14:paraId="06AACC29">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AJC排气风机</w:t>
                  </w:r>
                </w:p>
              </w:tc>
              <w:tc>
                <w:tcPr>
                  <w:tcW w:w="775" w:type="pct"/>
                  <w:shd w:val="clear" w:color="auto" w:fill="auto"/>
                  <w:vAlign w:val="center"/>
                </w:tcPr>
                <w:p w14:paraId="25E795AF">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w:t>
                  </w:r>
                </w:p>
              </w:tc>
              <w:tc>
                <w:tcPr>
                  <w:tcW w:w="0" w:type="auto"/>
                  <w:vAlign w:val="center"/>
                </w:tcPr>
                <w:p w14:paraId="4E1C48CA">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623432FA">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1A5E64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173CCCCF">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270331D7">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27C29E3E">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30</w:t>
                  </w:r>
                </w:p>
              </w:tc>
              <w:tc>
                <w:tcPr>
                  <w:tcW w:w="1121" w:type="pct"/>
                  <w:shd w:val="clear" w:color="auto" w:fill="auto"/>
                  <w:vAlign w:val="center"/>
                </w:tcPr>
                <w:p w14:paraId="30C82152">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热风干燥风机</w:t>
                  </w:r>
                </w:p>
              </w:tc>
              <w:tc>
                <w:tcPr>
                  <w:tcW w:w="775" w:type="pct"/>
                  <w:shd w:val="clear" w:color="auto" w:fill="auto"/>
                  <w:vAlign w:val="center"/>
                </w:tcPr>
                <w:p w14:paraId="4BE17450">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w:t>
                  </w:r>
                </w:p>
              </w:tc>
              <w:tc>
                <w:tcPr>
                  <w:tcW w:w="0" w:type="auto"/>
                  <w:vAlign w:val="center"/>
                </w:tcPr>
                <w:p w14:paraId="6276F60C">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328B84A6">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2A4A23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59357412">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5BC016A4">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2CADB349">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31</w:t>
                  </w:r>
                </w:p>
              </w:tc>
              <w:tc>
                <w:tcPr>
                  <w:tcW w:w="1121" w:type="pct"/>
                  <w:shd w:val="clear" w:color="auto" w:fill="auto"/>
                  <w:vAlign w:val="center"/>
                </w:tcPr>
                <w:p w14:paraId="515A683A">
                  <w:pPr>
                    <w:widowControl/>
                    <w:jc w:val="center"/>
                    <w:rPr>
                      <w:rFonts w:hint="default" w:ascii="Times New Roman" w:hAnsi="Times New Roman" w:cs="Times New Roman" w:eastAsiaTheme="minorEastAsia"/>
                      <w:color w:val="auto"/>
                      <w:kern w:val="0"/>
                      <w:sz w:val="18"/>
                      <w:szCs w:val="18"/>
                      <w:lang w:val="en-US" w:eastAsia="zh-CN" w:bidi="ar-SA"/>
                    </w:rPr>
                  </w:pPr>
                  <w:r>
                    <w:rPr>
                      <w:rFonts w:hint="default" w:ascii="Times New Roman" w:hAnsi="Times New Roman" w:cs="Times New Roman" w:eastAsiaTheme="minorEastAsia"/>
                      <w:color w:val="auto"/>
                      <w:sz w:val="18"/>
                      <w:szCs w:val="18"/>
                    </w:rPr>
                    <w:t>丸料吹扫风机</w:t>
                  </w:r>
                </w:p>
              </w:tc>
              <w:tc>
                <w:tcPr>
                  <w:tcW w:w="775" w:type="pct"/>
                  <w:shd w:val="clear" w:color="auto" w:fill="auto"/>
                  <w:vAlign w:val="center"/>
                </w:tcPr>
                <w:p w14:paraId="59DC634E">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2</w:t>
                  </w:r>
                </w:p>
              </w:tc>
              <w:tc>
                <w:tcPr>
                  <w:tcW w:w="0" w:type="auto"/>
                  <w:vAlign w:val="center"/>
                </w:tcPr>
                <w:p w14:paraId="16ACC87D">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77A59B8D">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309AEE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15C7B9E5">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restart"/>
                  <w:vAlign w:val="center"/>
                </w:tcPr>
                <w:p w14:paraId="2A44969B">
                  <w:pPr>
                    <w:topLinePunct/>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2"/>
                      <w:sz w:val="18"/>
                      <w:szCs w:val="18"/>
                      <w:highlight w:val="none"/>
                      <w:lang w:val="en-US" w:eastAsia="zh-CN"/>
                    </w:rPr>
                    <w:t>轧前准备机组（CPL）</w:t>
                  </w:r>
                </w:p>
              </w:tc>
              <w:tc>
                <w:tcPr>
                  <w:tcW w:w="0" w:type="auto"/>
                  <w:vAlign w:val="center"/>
                </w:tcPr>
                <w:p w14:paraId="0959FCB5">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w:t>
                  </w:r>
                </w:p>
              </w:tc>
              <w:tc>
                <w:tcPr>
                  <w:tcW w:w="1121" w:type="pct"/>
                  <w:shd w:val="clear" w:color="auto" w:fill="auto"/>
                  <w:vAlign w:val="center"/>
                </w:tcPr>
                <w:p w14:paraId="2ECB1F27">
                  <w:pPr>
                    <w:widowControl/>
                    <w:jc w:val="center"/>
                    <w:rPr>
                      <w:rFonts w:hint="default" w:ascii="Times New Roman" w:hAnsi="Times New Roman" w:cs="Times New Roman" w:eastAsiaTheme="minorEastAsia"/>
                      <w:color w:val="auto"/>
                      <w:kern w:val="0"/>
                      <w:sz w:val="18"/>
                      <w:szCs w:val="18"/>
                      <w:lang w:val="en-US" w:eastAsia="zh-CN"/>
                    </w:rPr>
                  </w:pPr>
                  <w:r>
                    <w:rPr>
                      <w:rFonts w:hint="default" w:ascii="Times New Roman" w:hAnsi="Times New Roman" w:cs="Times New Roman" w:eastAsiaTheme="minorEastAsia"/>
                      <w:color w:val="auto"/>
                      <w:kern w:val="0"/>
                      <w:sz w:val="18"/>
                      <w:szCs w:val="18"/>
                      <w:lang w:val="en-US" w:eastAsia="zh-CN"/>
                    </w:rPr>
                    <w:t>开卷机</w:t>
                  </w:r>
                </w:p>
              </w:tc>
              <w:tc>
                <w:tcPr>
                  <w:tcW w:w="775" w:type="pct"/>
                  <w:vAlign w:val="center"/>
                </w:tcPr>
                <w:p w14:paraId="69023AA4">
                  <w:pPr>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w:t>
                  </w:r>
                </w:p>
              </w:tc>
              <w:tc>
                <w:tcPr>
                  <w:tcW w:w="0" w:type="auto"/>
                  <w:vAlign w:val="center"/>
                </w:tcPr>
                <w:p w14:paraId="7067ED8A">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85</w:t>
                  </w:r>
                </w:p>
              </w:tc>
              <w:tc>
                <w:tcPr>
                  <w:tcW w:w="0" w:type="auto"/>
                  <w:vAlign w:val="center"/>
                </w:tcPr>
                <w:p w14:paraId="629B9DF7">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4D4FE6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341B9EB2">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2FCFA566">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4BC54D92">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2</w:t>
                  </w:r>
                </w:p>
              </w:tc>
              <w:tc>
                <w:tcPr>
                  <w:tcW w:w="1121" w:type="pct"/>
                  <w:shd w:val="clear" w:color="auto" w:fill="auto"/>
                  <w:vAlign w:val="center"/>
                </w:tcPr>
                <w:p w14:paraId="5F7229A5">
                  <w:pPr>
                    <w:widowControl/>
                    <w:jc w:val="center"/>
                    <w:rPr>
                      <w:rFonts w:hint="default" w:ascii="Times New Roman" w:hAnsi="Times New Roman" w:cs="Times New Roman" w:eastAsiaTheme="minorEastAsia"/>
                      <w:color w:val="auto"/>
                      <w:kern w:val="0"/>
                      <w:sz w:val="18"/>
                      <w:szCs w:val="18"/>
                      <w:lang w:val="en-US" w:eastAsia="zh-CN"/>
                    </w:rPr>
                  </w:pPr>
                  <w:r>
                    <w:rPr>
                      <w:rFonts w:hint="default" w:ascii="Times New Roman" w:hAnsi="Times New Roman" w:cs="Times New Roman" w:eastAsiaTheme="minorEastAsia"/>
                      <w:color w:val="auto"/>
                      <w:kern w:val="0"/>
                      <w:sz w:val="18"/>
                      <w:szCs w:val="18"/>
                      <w:lang w:val="en-US" w:eastAsia="zh-CN"/>
                    </w:rPr>
                    <w:t>卷取机</w:t>
                  </w:r>
                </w:p>
              </w:tc>
              <w:tc>
                <w:tcPr>
                  <w:tcW w:w="775" w:type="pct"/>
                  <w:vAlign w:val="center"/>
                </w:tcPr>
                <w:p w14:paraId="65E0B04D">
                  <w:pPr>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w:t>
                  </w:r>
                </w:p>
              </w:tc>
              <w:tc>
                <w:tcPr>
                  <w:tcW w:w="0" w:type="auto"/>
                  <w:vAlign w:val="center"/>
                </w:tcPr>
                <w:p w14:paraId="372C845E">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85</w:t>
                  </w:r>
                </w:p>
              </w:tc>
              <w:tc>
                <w:tcPr>
                  <w:tcW w:w="0" w:type="auto"/>
                  <w:vAlign w:val="center"/>
                </w:tcPr>
                <w:p w14:paraId="14B457BC">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701763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723F2162">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restart"/>
                  <w:vAlign w:val="center"/>
                </w:tcPr>
                <w:p w14:paraId="3CC16AAB">
                  <w:pPr>
                    <w:topLinePunct/>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2"/>
                      <w:sz w:val="18"/>
                      <w:szCs w:val="18"/>
                      <w:highlight w:val="none"/>
                      <w:lang w:val="en-US" w:eastAsia="zh-CN"/>
                    </w:rPr>
                    <w:t>二十辊单机架轧机机组（RCM）</w:t>
                  </w:r>
                </w:p>
              </w:tc>
              <w:tc>
                <w:tcPr>
                  <w:tcW w:w="0" w:type="auto"/>
                  <w:vAlign w:val="center"/>
                </w:tcPr>
                <w:p w14:paraId="44C9CA78">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w:t>
                  </w:r>
                </w:p>
              </w:tc>
              <w:tc>
                <w:tcPr>
                  <w:tcW w:w="1121" w:type="pct"/>
                  <w:shd w:val="clear" w:color="auto" w:fill="auto"/>
                  <w:vAlign w:val="center"/>
                </w:tcPr>
                <w:p w14:paraId="5923EA64">
                  <w:pPr>
                    <w:widowControl/>
                    <w:jc w:val="center"/>
                    <w:rPr>
                      <w:rFonts w:hint="default" w:ascii="Times New Roman" w:hAnsi="Times New Roman" w:cs="Times New Roman" w:eastAsiaTheme="minorEastAsia"/>
                      <w:color w:val="auto"/>
                      <w:kern w:val="0"/>
                      <w:sz w:val="18"/>
                      <w:szCs w:val="18"/>
                      <w:lang w:val="en-US" w:eastAsia="zh-CN"/>
                    </w:rPr>
                  </w:pPr>
                  <w:r>
                    <w:rPr>
                      <w:rFonts w:hint="default" w:ascii="Times New Roman" w:hAnsi="Times New Roman" w:cs="Times New Roman" w:eastAsiaTheme="minorEastAsia"/>
                      <w:color w:val="auto"/>
                      <w:kern w:val="0"/>
                      <w:sz w:val="18"/>
                      <w:szCs w:val="18"/>
                      <w:lang w:val="en-US" w:eastAsia="zh-CN"/>
                    </w:rPr>
                    <w:t>开卷机</w:t>
                  </w:r>
                </w:p>
              </w:tc>
              <w:tc>
                <w:tcPr>
                  <w:tcW w:w="775" w:type="pct"/>
                  <w:vAlign w:val="center"/>
                </w:tcPr>
                <w:p w14:paraId="0630740F">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0" w:type="auto"/>
                  <w:vAlign w:val="center"/>
                </w:tcPr>
                <w:p w14:paraId="534A190E">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85</w:t>
                  </w:r>
                </w:p>
              </w:tc>
              <w:tc>
                <w:tcPr>
                  <w:tcW w:w="0" w:type="auto"/>
                  <w:vAlign w:val="center"/>
                </w:tcPr>
                <w:p w14:paraId="6E47EEAF">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41F18E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6FFA8841">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477E0D79">
                  <w:pPr>
                    <w:topLinePunct/>
                    <w:adjustRightInd w:val="0"/>
                    <w:snapToGrid w:val="0"/>
                    <w:jc w:val="center"/>
                    <w:rPr>
                      <w:rFonts w:hint="default" w:ascii="Times New Roman" w:hAnsi="Times New Roman" w:cs="Times New Roman"/>
                      <w:color w:val="auto"/>
                      <w:kern w:val="2"/>
                      <w:sz w:val="18"/>
                      <w:szCs w:val="18"/>
                      <w:highlight w:val="none"/>
                      <w:lang w:val="en-US" w:eastAsia="zh-CN"/>
                    </w:rPr>
                  </w:pPr>
                </w:p>
              </w:tc>
              <w:tc>
                <w:tcPr>
                  <w:tcW w:w="0" w:type="auto"/>
                  <w:vAlign w:val="center"/>
                </w:tcPr>
                <w:p w14:paraId="0C172529">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2</w:t>
                  </w:r>
                </w:p>
              </w:tc>
              <w:tc>
                <w:tcPr>
                  <w:tcW w:w="1121" w:type="pct"/>
                  <w:shd w:val="clear" w:color="auto" w:fill="auto"/>
                  <w:vAlign w:val="center"/>
                </w:tcPr>
                <w:p w14:paraId="76594FB4">
                  <w:pPr>
                    <w:widowControl/>
                    <w:jc w:val="center"/>
                    <w:rPr>
                      <w:rFonts w:hint="default" w:ascii="Times New Roman" w:hAnsi="Times New Roman" w:cs="Times New Roman" w:eastAsiaTheme="minorEastAsia"/>
                      <w:color w:val="auto"/>
                      <w:kern w:val="0"/>
                      <w:sz w:val="18"/>
                      <w:szCs w:val="18"/>
                      <w:lang w:val="en-US" w:eastAsia="zh-CN"/>
                    </w:rPr>
                  </w:pPr>
                  <w:r>
                    <w:rPr>
                      <w:rFonts w:hint="default" w:ascii="Times New Roman" w:hAnsi="Times New Roman" w:cs="Times New Roman" w:eastAsiaTheme="minorEastAsia"/>
                      <w:color w:val="auto"/>
                      <w:kern w:val="0"/>
                      <w:sz w:val="18"/>
                      <w:szCs w:val="18"/>
                      <w:lang w:val="en-US" w:eastAsia="zh-CN"/>
                    </w:rPr>
                    <w:t>风机</w:t>
                  </w:r>
                </w:p>
              </w:tc>
              <w:tc>
                <w:tcPr>
                  <w:tcW w:w="775" w:type="pct"/>
                  <w:vAlign w:val="center"/>
                </w:tcPr>
                <w:p w14:paraId="30400EF6">
                  <w:pPr>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w:t>
                  </w:r>
                </w:p>
              </w:tc>
              <w:tc>
                <w:tcPr>
                  <w:tcW w:w="0" w:type="auto"/>
                  <w:vAlign w:val="center"/>
                </w:tcPr>
                <w:p w14:paraId="636A90C7">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5766E8F2">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688E40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72C2F7BA">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31473836">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0F50D16F">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3</w:t>
                  </w:r>
                </w:p>
              </w:tc>
              <w:tc>
                <w:tcPr>
                  <w:tcW w:w="1121" w:type="pct"/>
                  <w:shd w:val="clear" w:color="auto" w:fill="auto"/>
                  <w:vAlign w:val="center"/>
                </w:tcPr>
                <w:p w14:paraId="46A20E62">
                  <w:pPr>
                    <w:widowControl/>
                    <w:jc w:val="center"/>
                    <w:rPr>
                      <w:rFonts w:hint="default" w:ascii="Times New Roman" w:hAnsi="Times New Roman" w:cs="Times New Roman" w:eastAsiaTheme="minorEastAsia"/>
                      <w:color w:val="auto"/>
                      <w:kern w:val="0"/>
                      <w:sz w:val="18"/>
                      <w:szCs w:val="18"/>
                      <w:lang w:val="en-US" w:eastAsia="zh-CN"/>
                    </w:rPr>
                  </w:pPr>
                  <w:r>
                    <w:rPr>
                      <w:rFonts w:hint="default" w:ascii="Times New Roman" w:hAnsi="Times New Roman" w:cs="Times New Roman" w:eastAsiaTheme="minorEastAsia"/>
                      <w:color w:val="auto"/>
                      <w:kern w:val="0"/>
                      <w:sz w:val="18"/>
                      <w:szCs w:val="18"/>
                      <w:lang w:val="en-US" w:eastAsia="zh-CN"/>
                    </w:rPr>
                    <w:t>矫直机</w:t>
                  </w:r>
                </w:p>
              </w:tc>
              <w:tc>
                <w:tcPr>
                  <w:tcW w:w="775" w:type="pct"/>
                  <w:vAlign w:val="center"/>
                </w:tcPr>
                <w:p w14:paraId="71BE3D41">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0" w:type="auto"/>
                  <w:vAlign w:val="center"/>
                </w:tcPr>
                <w:p w14:paraId="0562F25E">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85</w:t>
                  </w:r>
                </w:p>
              </w:tc>
              <w:tc>
                <w:tcPr>
                  <w:tcW w:w="0" w:type="auto"/>
                  <w:vAlign w:val="center"/>
                </w:tcPr>
                <w:p w14:paraId="5C8D91ED">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29588A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6B4137C5">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66A86ACC">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13294BFB">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4</w:t>
                  </w:r>
                </w:p>
              </w:tc>
              <w:tc>
                <w:tcPr>
                  <w:tcW w:w="1121" w:type="pct"/>
                  <w:shd w:val="clear" w:color="auto" w:fill="auto"/>
                  <w:vAlign w:val="center"/>
                </w:tcPr>
                <w:p w14:paraId="4875116B">
                  <w:pPr>
                    <w:widowControl/>
                    <w:jc w:val="center"/>
                    <w:rPr>
                      <w:rFonts w:hint="default" w:ascii="Times New Roman" w:hAnsi="Times New Roman" w:cs="Times New Roman" w:eastAsiaTheme="minorEastAsia"/>
                      <w:color w:val="auto"/>
                      <w:kern w:val="0"/>
                      <w:sz w:val="18"/>
                      <w:szCs w:val="18"/>
                      <w:lang w:val="en-US" w:eastAsia="zh-CN"/>
                    </w:rPr>
                  </w:pPr>
                  <w:r>
                    <w:rPr>
                      <w:rFonts w:hint="default" w:ascii="Times New Roman" w:hAnsi="Times New Roman" w:cs="Times New Roman" w:eastAsiaTheme="minorEastAsia"/>
                      <w:color w:val="auto"/>
                      <w:kern w:val="0"/>
                      <w:sz w:val="18"/>
                      <w:szCs w:val="18"/>
                      <w:lang w:val="en-US" w:eastAsia="zh-CN"/>
                    </w:rPr>
                    <w:t>机前卷取机</w:t>
                  </w:r>
                </w:p>
              </w:tc>
              <w:tc>
                <w:tcPr>
                  <w:tcW w:w="775" w:type="pct"/>
                  <w:vAlign w:val="center"/>
                </w:tcPr>
                <w:p w14:paraId="0020154D">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0" w:type="auto"/>
                  <w:vAlign w:val="center"/>
                </w:tcPr>
                <w:p w14:paraId="36A95CBB">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85</w:t>
                  </w:r>
                </w:p>
              </w:tc>
              <w:tc>
                <w:tcPr>
                  <w:tcW w:w="0" w:type="auto"/>
                  <w:vAlign w:val="center"/>
                </w:tcPr>
                <w:p w14:paraId="7622FF9C">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463953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719EAE72">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5303796C">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733BFCF9">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5</w:t>
                  </w:r>
                </w:p>
              </w:tc>
              <w:tc>
                <w:tcPr>
                  <w:tcW w:w="1121" w:type="pct"/>
                  <w:shd w:val="clear" w:color="auto" w:fill="auto"/>
                  <w:vAlign w:val="center"/>
                </w:tcPr>
                <w:p w14:paraId="53E19FDB">
                  <w:pPr>
                    <w:widowControl/>
                    <w:jc w:val="center"/>
                    <w:rPr>
                      <w:rFonts w:hint="default" w:ascii="Times New Roman" w:hAnsi="Times New Roman" w:cs="Times New Roman" w:eastAsiaTheme="minorEastAsia"/>
                      <w:color w:val="auto"/>
                      <w:kern w:val="0"/>
                      <w:sz w:val="18"/>
                      <w:szCs w:val="18"/>
                      <w:lang w:val="en-US" w:eastAsia="zh-CN"/>
                    </w:rPr>
                  </w:pPr>
                  <w:r>
                    <w:rPr>
                      <w:rFonts w:hint="default" w:ascii="Times New Roman" w:hAnsi="Times New Roman" w:cs="Times New Roman" w:eastAsiaTheme="minorEastAsia"/>
                      <w:color w:val="auto"/>
                      <w:kern w:val="0"/>
                      <w:sz w:val="18"/>
                      <w:szCs w:val="18"/>
                      <w:lang w:val="en-US" w:eastAsia="zh-CN"/>
                    </w:rPr>
                    <w:t>风机</w:t>
                  </w:r>
                </w:p>
              </w:tc>
              <w:tc>
                <w:tcPr>
                  <w:tcW w:w="775" w:type="pct"/>
                  <w:vAlign w:val="center"/>
                </w:tcPr>
                <w:p w14:paraId="5A97A7EE">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w:t>
                  </w:r>
                </w:p>
              </w:tc>
              <w:tc>
                <w:tcPr>
                  <w:tcW w:w="0" w:type="auto"/>
                  <w:vAlign w:val="center"/>
                </w:tcPr>
                <w:p w14:paraId="63313086">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0ECD49E4">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7DDD7B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32C663E9">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5704E18D">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029C010A">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6</w:t>
                  </w:r>
                </w:p>
              </w:tc>
              <w:tc>
                <w:tcPr>
                  <w:tcW w:w="1121" w:type="pct"/>
                  <w:shd w:val="clear" w:color="auto" w:fill="auto"/>
                  <w:vAlign w:val="center"/>
                </w:tcPr>
                <w:p w14:paraId="163DC644">
                  <w:pPr>
                    <w:widowControl/>
                    <w:jc w:val="center"/>
                    <w:rPr>
                      <w:rFonts w:hint="default" w:ascii="Times New Roman" w:hAnsi="Times New Roman" w:cs="Times New Roman" w:eastAsiaTheme="minorEastAsia"/>
                      <w:color w:val="auto"/>
                      <w:kern w:val="0"/>
                      <w:sz w:val="18"/>
                      <w:szCs w:val="18"/>
                      <w:lang w:val="en-US" w:eastAsia="zh-CN"/>
                    </w:rPr>
                  </w:pPr>
                  <w:r>
                    <w:rPr>
                      <w:rFonts w:hint="default" w:ascii="Times New Roman" w:hAnsi="Times New Roman" w:cs="Times New Roman" w:eastAsiaTheme="minorEastAsia"/>
                      <w:color w:val="auto"/>
                      <w:kern w:val="0"/>
                      <w:sz w:val="18"/>
                      <w:szCs w:val="18"/>
                      <w:lang w:val="en-US" w:eastAsia="zh-CN"/>
                    </w:rPr>
                    <w:t>二十辊轧机</w:t>
                  </w:r>
                </w:p>
              </w:tc>
              <w:tc>
                <w:tcPr>
                  <w:tcW w:w="775" w:type="pct"/>
                  <w:vAlign w:val="center"/>
                </w:tcPr>
                <w:p w14:paraId="334A912F">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0" w:type="auto"/>
                  <w:vAlign w:val="center"/>
                </w:tcPr>
                <w:p w14:paraId="2B8903EB">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2CB19CC3">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0E89EB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30D17D7A">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0B93E5F9">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1E6DB8C0">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7</w:t>
                  </w:r>
                </w:p>
              </w:tc>
              <w:tc>
                <w:tcPr>
                  <w:tcW w:w="1121" w:type="pct"/>
                  <w:shd w:val="clear" w:color="auto" w:fill="auto"/>
                  <w:vAlign w:val="center"/>
                </w:tcPr>
                <w:p w14:paraId="55930ED2">
                  <w:pPr>
                    <w:widowControl/>
                    <w:jc w:val="center"/>
                    <w:rPr>
                      <w:rFonts w:hint="default" w:ascii="Times New Roman" w:hAnsi="Times New Roman" w:cs="Times New Roman" w:eastAsiaTheme="minorEastAsia"/>
                      <w:color w:val="auto"/>
                      <w:kern w:val="0"/>
                      <w:sz w:val="18"/>
                      <w:szCs w:val="18"/>
                      <w:lang w:val="en-US" w:eastAsia="zh-CN"/>
                    </w:rPr>
                  </w:pPr>
                  <w:r>
                    <w:rPr>
                      <w:rFonts w:hint="default" w:ascii="Times New Roman" w:hAnsi="Times New Roman" w:cs="Times New Roman" w:eastAsiaTheme="minorEastAsia"/>
                      <w:color w:val="auto"/>
                      <w:kern w:val="0"/>
                      <w:sz w:val="18"/>
                      <w:szCs w:val="18"/>
                      <w:lang w:val="en-US" w:eastAsia="zh-CN"/>
                    </w:rPr>
                    <w:t>风机</w:t>
                  </w:r>
                </w:p>
              </w:tc>
              <w:tc>
                <w:tcPr>
                  <w:tcW w:w="775" w:type="pct"/>
                  <w:vAlign w:val="center"/>
                </w:tcPr>
                <w:p w14:paraId="06A27E0D">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w:t>
                  </w:r>
                </w:p>
              </w:tc>
              <w:tc>
                <w:tcPr>
                  <w:tcW w:w="0" w:type="auto"/>
                  <w:vAlign w:val="center"/>
                </w:tcPr>
                <w:p w14:paraId="689915D0">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65667C86">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6EABB9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3DB80272">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72C669A5">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39148D3F">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8</w:t>
                  </w:r>
                </w:p>
              </w:tc>
              <w:tc>
                <w:tcPr>
                  <w:tcW w:w="1121" w:type="pct"/>
                  <w:shd w:val="clear" w:color="auto" w:fill="auto"/>
                  <w:vAlign w:val="center"/>
                </w:tcPr>
                <w:p w14:paraId="39885AFC">
                  <w:pPr>
                    <w:widowControl/>
                    <w:jc w:val="center"/>
                    <w:rPr>
                      <w:rFonts w:hint="default" w:ascii="Times New Roman" w:hAnsi="Times New Roman" w:cs="Times New Roman" w:eastAsiaTheme="minorEastAsia"/>
                      <w:color w:val="auto"/>
                      <w:kern w:val="0"/>
                      <w:sz w:val="18"/>
                      <w:szCs w:val="18"/>
                      <w:lang w:val="en-US" w:eastAsia="zh-CN"/>
                    </w:rPr>
                  </w:pPr>
                  <w:r>
                    <w:rPr>
                      <w:rFonts w:hint="default" w:ascii="Times New Roman" w:hAnsi="Times New Roman" w:cs="Times New Roman" w:eastAsiaTheme="minorEastAsia"/>
                      <w:color w:val="auto"/>
                      <w:kern w:val="0"/>
                      <w:sz w:val="18"/>
                      <w:szCs w:val="18"/>
                      <w:lang w:val="en-US" w:eastAsia="zh-CN"/>
                    </w:rPr>
                    <w:t>机后卷取机</w:t>
                  </w:r>
                </w:p>
              </w:tc>
              <w:tc>
                <w:tcPr>
                  <w:tcW w:w="775" w:type="pct"/>
                  <w:vAlign w:val="center"/>
                </w:tcPr>
                <w:p w14:paraId="5EDAD383">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0" w:type="auto"/>
                  <w:vAlign w:val="center"/>
                </w:tcPr>
                <w:p w14:paraId="60385746">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85</w:t>
                  </w:r>
                </w:p>
              </w:tc>
              <w:tc>
                <w:tcPr>
                  <w:tcW w:w="0" w:type="auto"/>
                  <w:vAlign w:val="center"/>
                </w:tcPr>
                <w:p w14:paraId="3FDE747A">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59F4B4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1866C441">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2984A102">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09F2A9AD">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9</w:t>
                  </w:r>
                </w:p>
              </w:tc>
              <w:tc>
                <w:tcPr>
                  <w:tcW w:w="1121" w:type="pct"/>
                  <w:shd w:val="clear" w:color="auto" w:fill="auto"/>
                  <w:vAlign w:val="center"/>
                </w:tcPr>
                <w:p w14:paraId="2FA3B0CD">
                  <w:pPr>
                    <w:widowControl/>
                    <w:jc w:val="center"/>
                    <w:rPr>
                      <w:rFonts w:hint="default" w:ascii="Times New Roman" w:hAnsi="Times New Roman" w:cs="Times New Roman" w:eastAsiaTheme="minorEastAsia"/>
                      <w:color w:val="auto"/>
                      <w:kern w:val="0"/>
                      <w:sz w:val="18"/>
                      <w:szCs w:val="18"/>
                      <w:lang w:val="en-US" w:eastAsia="zh-CN"/>
                    </w:rPr>
                  </w:pPr>
                  <w:r>
                    <w:rPr>
                      <w:rFonts w:hint="default" w:ascii="Times New Roman" w:hAnsi="Times New Roman" w:cs="Times New Roman" w:eastAsiaTheme="minorEastAsia"/>
                      <w:color w:val="auto"/>
                      <w:kern w:val="0"/>
                      <w:sz w:val="18"/>
                      <w:szCs w:val="18"/>
                      <w:lang w:val="en-US" w:eastAsia="zh-CN"/>
                    </w:rPr>
                    <w:t>风机</w:t>
                  </w:r>
                </w:p>
              </w:tc>
              <w:tc>
                <w:tcPr>
                  <w:tcW w:w="775" w:type="pct"/>
                  <w:vAlign w:val="center"/>
                </w:tcPr>
                <w:p w14:paraId="5150EDD6">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w:t>
                  </w:r>
                </w:p>
              </w:tc>
              <w:tc>
                <w:tcPr>
                  <w:tcW w:w="0" w:type="auto"/>
                  <w:vAlign w:val="center"/>
                </w:tcPr>
                <w:p w14:paraId="73D4F914">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618C58E8">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189F38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74FB9B68">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5BDB94EF">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1BC0CB23">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10</w:t>
                  </w:r>
                </w:p>
              </w:tc>
              <w:tc>
                <w:tcPr>
                  <w:tcW w:w="1121" w:type="pct"/>
                  <w:shd w:val="clear" w:color="auto" w:fill="auto"/>
                  <w:vAlign w:val="center"/>
                </w:tcPr>
                <w:p w14:paraId="4775440D">
                  <w:pPr>
                    <w:widowControl/>
                    <w:jc w:val="center"/>
                    <w:rPr>
                      <w:rFonts w:hint="default" w:ascii="Times New Roman" w:hAnsi="Times New Roman" w:cs="Times New Roman" w:eastAsiaTheme="minorEastAsia"/>
                      <w:color w:val="auto"/>
                      <w:kern w:val="0"/>
                      <w:sz w:val="18"/>
                      <w:szCs w:val="18"/>
                      <w:lang w:val="en-US" w:eastAsia="zh-CN"/>
                    </w:rPr>
                  </w:pPr>
                  <w:r>
                    <w:rPr>
                      <w:rFonts w:hint="default" w:ascii="Times New Roman" w:hAnsi="Times New Roman" w:cs="Times New Roman" w:eastAsiaTheme="minorEastAsia"/>
                      <w:color w:val="auto"/>
                      <w:kern w:val="0"/>
                      <w:sz w:val="18"/>
                      <w:szCs w:val="18"/>
                      <w:lang w:val="en-US" w:eastAsia="zh-CN"/>
                    </w:rPr>
                    <w:t>稀油站主泵</w:t>
                  </w:r>
                </w:p>
              </w:tc>
              <w:tc>
                <w:tcPr>
                  <w:tcW w:w="775" w:type="pct"/>
                  <w:vAlign w:val="center"/>
                </w:tcPr>
                <w:p w14:paraId="28E94A0F">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w:t>
                  </w:r>
                </w:p>
              </w:tc>
              <w:tc>
                <w:tcPr>
                  <w:tcW w:w="0" w:type="auto"/>
                  <w:vAlign w:val="center"/>
                </w:tcPr>
                <w:p w14:paraId="252A8E52">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545D1D6E">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1CE205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05834F3C">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637BD452">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29ABB5CB">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11</w:t>
                  </w:r>
                </w:p>
              </w:tc>
              <w:tc>
                <w:tcPr>
                  <w:tcW w:w="1121" w:type="pct"/>
                  <w:shd w:val="clear" w:color="auto" w:fill="auto"/>
                  <w:vAlign w:val="center"/>
                </w:tcPr>
                <w:p w14:paraId="1EDF69C9">
                  <w:pPr>
                    <w:widowControl/>
                    <w:jc w:val="center"/>
                    <w:rPr>
                      <w:rFonts w:hint="default" w:ascii="Times New Roman" w:hAnsi="Times New Roman" w:cs="Times New Roman" w:eastAsiaTheme="minorEastAsia"/>
                      <w:color w:val="auto"/>
                      <w:kern w:val="0"/>
                      <w:sz w:val="18"/>
                      <w:szCs w:val="18"/>
                      <w:lang w:val="en-US" w:eastAsia="zh-CN"/>
                    </w:rPr>
                  </w:pPr>
                  <w:r>
                    <w:rPr>
                      <w:rFonts w:hint="default" w:ascii="Times New Roman" w:hAnsi="Times New Roman" w:cs="Times New Roman" w:eastAsiaTheme="minorEastAsia"/>
                      <w:color w:val="auto"/>
                      <w:kern w:val="0"/>
                      <w:sz w:val="18"/>
                      <w:szCs w:val="18"/>
                      <w:lang w:val="en-US" w:eastAsia="zh-CN"/>
                    </w:rPr>
                    <w:t>工艺润滑系统泵</w:t>
                  </w:r>
                </w:p>
              </w:tc>
              <w:tc>
                <w:tcPr>
                  <w:tcW w:w="775" w:type="pct"/>
                  <w:vAlign w:val="center"/>
                </w:tcPr>
                <w:p w14:paraId="36EDE3F0">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w:t>
                  </w:r>
                </w:p>
              </w:tc>
              <w:tc>
                <w:tcPr>
                  <w:tcW w:w="0" w:type="auto"/>
                  <w:vAlign w:val="center"/>
                </w:tcPr>
                <w:p w14:paraId="0511BE40">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4FC31A07">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3A6086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7FAAAA26">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303A22C7">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201D0890">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12</w:t>
                  </w:r>
                </w:p>
              </w:tc>
              <w:tc>
                <w:tcPr>
                  <w:tcW w:w="1121" w:type="pct"/>
                  <w:shd w:val="clear" w:color="auto" w:fill="auto"/>
                  <w:vAlign w:val="center"/>
                </w:tcPr>
                <w:p w14:paraId="1E770460">
                  <w:pPr>
                    <w:widowControl/>
                    <w:jc w:val="center"/>
                    <w:rPr>
                      <w:rFonts w:hint="default" w:ascii="Times New Roman" w:hAnsi="Times New Roman" w:cs="Times New Roman" w:eastAsiaTheme="minorEastAsia"/>
                      <w:color w:val="auto"/>
                      <w:kern w:val="0"/>
                      <w:sz w:val="18"/>
                      <w:szCs w:val="18"/>
                      <w:lang w:val="en-US" w:eastAsia="zh-CN"/>
                    </w:rPr>
                  </w:pPr>
                  <w:r>
                    <w:rPr>
                      <w:rFonts w:hint="default" w:ascii="Times New Roman" w:hAnsi="Times New Roman" w:cs="Times New Roman" w:eastAsiaTheme="minorEastAsia"/>
                      <w:color w:val="auto"/>
                      <w:kern w:val="0"/>
                      <w:sz w:val="18"/>
                      <w:szCs w:val="18"/>
                      <w:lang w:val="en-US" w:eastAsia="zh-CN"/>
                    </w:rPr>
                    <w:t>加油泵</w:t>
                  </w:r>
                </w:p>
              </w:tc>
              <w:tc>
                <w:tcPr>
                  <w:tcW w:w="775" w:type="pct"/>
                  <w:vAlign w:val="center"/>
                </w:tcPr>
                <w:p w14:paraId="121A8E71">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893" w:type="pct"/>
                  <w:vAlign w:val="center"/>
                </w:tcPr>
                <w:p w14:paraId="5BCACB34">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238D1EA2">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0DA588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2324ADF3">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5F8893F2">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313B17F7">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13</w:t>
                  </w:r>
                </w:p>
              </w:tc>
              <w:tc>
                <w:tcPr>
                  <w:tcW w:w="1121" w:type="pct"/>
                  <w:shd w:val="clear" w:color="auto" w:fill="auto"/>
                  <w:vAlign w:val="center"/>
                </w:tcPr>
                <w:p w14:paraId="6315D8D6">
                  <w:pPr>
                    <w:widowControl/>
                    <w:jc w:val="center"/>
                    <w:rPr>
                      <w:rFonts w:hint="default" w:ascii="Times New Roman" w:hAnsi="Times New Roman" w:cs="Times New Roman" w:eastAsiaTheme="minorEastAsia"/>
                      <w:color w:val="auto"/>
                      <w:kern w:val="0"/>
                      <w:sz w:val="18"/>
                      <w:szCs w:val="18"/>
                      <w:lang w:val="en-US" w:eastAsia="zh-CN"/>
                    </w:rPr>
                  </w:pPr>
                  <w:r>
                    <w:rPr>
                      <w:rFonts w:hint="default" w:ascii="Times New Roman" w:hAnsi="Times New Roman" w:cs="Times New Roman" w:eastAsiaTheme="minorEastAsia"/>
                      <w:color w:val="auto"/>
                      <w:kern w:val="0"/>
                      <w:sz w:val="18"/>
                      <w:szCs w:val="18"/>
                      <w:lang w:val="en-US" w:eastAsia="zh-CN"/>
                    </w:rPr>
                    <w:t>排污泵</w:t>
                  </w:r>
                </w:p>
              </w:tc>
              <w:tc>
                <w:tcPr>
                  <w:tcW w:w="775" w:type="pct"/>
                  <w:vAlign w:val="center"/>
                </w:tcPr>
                <w:p w14:paraId="1D047926">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w:t>
                  </w:r>
                </w:p>
              </w:tc>
              <w:tc>
                <w:tcPr>
                  <w:tcW w:w="893" w:type="pct"/>
                  <w:vAlign w:val="center"/>
                </w:tcPr>
                <w:p w14:paraId="2477B5BF">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764AF1A7">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7105C9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5FE94B4A">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700DFF4E">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23F7AEDE">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14</w:t>
                  </w:r>
                </w:p>
              </w:tc>
              <w:tc>
                <w:tcPr>
                  <w:tcW w:w="1121" w:type="pct"/>
                  <w:shd w:val="clear" w:color="auto" w:fill="auto"/>
                  <w:vAlign w:val="center"/>
                </w:tcPr>
                <w:p w14:paraId="468BE841">
                  <w:pPr>
                    <w:widowControl/>
                    <w:jc w:val="center"/>
                    <w:rPr>
                      <w:rFonts w:hint="default" w:ascii="Times New Roman" w:hAnsi="Times New Roman" w:cs="Times New Roman" w:eastAsiaTheme="minorEastAsia"/>
                      <w:color w:val="auto"/>
                      <w:kern w:val="0"/>
                      <w:sz w:val="18"/>
                      <w:szCs w:val="18"/>
                      <w:lang w:val="en-US" w:eastAsia="zh-CN"/>
                    </w:rPr>
                  </w:pPr>
                  <w:r>
                    <w:rPr>
                      <w:rFonts w:hint="default" w:ascii="Times New Roman" w:hAnsi="Times New Roman" w:cs="Times New Roman" w:eastAsiaTheme="minorEastAsia"/>
                      <w:color w:val="auto"/>
                      <w:kern w:val="0"/>
                      <w:sz w:val="18"/>
                      <w:szCs w:val="18"/>
                      <w:lang w:val="en-US" w:eastAsia="zh-CN"/>
                    </w:rPr>
                    <w:t>烟雾排放装置泵</w:t>
                  </w:r>
                </w:p>
              </w:tc>
              <w:tc>
                <w:tcPr>
                  <w:tcW w:w="775" w:type="pct"/>
                  <w:vAlign w:val="center"/>
                </w:tcPr>
                <w:p w14:paraId="573AC4AF">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w:t>
                  </w:r>
                </w:p>
              </w:tc>
              <w:tc>
                <w:tcPr>
                  <w:tcW w:w="893" w:type="pct"/>
                  <w:vAlign w:val="center"/>
                </w:tcPr>
                <w:p w14:paraId="5297DA78">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08FCE53D">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313624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7C1DFA81">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1DA1CF8B">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404E2B51">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15</w:t>
                  </w:r>
                </w:p>
              </w:tc>
              <w:tc>
                <w:tcPr>
                  <w:tcW w:w="1121" w:type="pct"/>
                  <w:shd w:val="clear" w:color="auto" w:fill="auto"/>
                  <w:vAlign w:val="center"/>
                </w:tcPr>
                <w:p w14:paraId="2E4DE952">
                  <w:pPr>
                    <w:widowControl/>
                    <w:jc w:val="center"/>
                    <w:rPr>
                      <w:rFonts w:hint="default" w:ascii="Times New Roman" w:hAnsi="Times New Roman" w:cs="Times New Roman" w:eastAsiaTheme="minorEastAsia"/>
                      <w:color w:val="auto"/>
                      <w:kern w:val="0"/>
                      <w:sz w:val="18"/>
                      <w:szCs w:val="18"/>
                      <w:lang w:val="en-US" w:eastAsia="zh-CN"/>
                    </w:rPr>
                  </w:pPr>
                  <w:r>
                    <w:rPr>
                      <w:rFonts w:hint="default" w:ascii="Times New Roman" w:hAnsi="Times New Roman" w:cs="Times New Roman" w:eastAsiaTheme="minorEastAsia"/>
                      <w:color w:val="auto"/>
                      <w:kern w:val="0"/>
                      <w:sz w:val="18"/>
                      <w:szCs w:val="18"/>
                      <w:lang w:val="en-US" w:eastAsia="zh-CN"/>
                    </w:rPr>
                    <w:t>高压液压站泵</w:t>
                  </w:r>
                </w:p>
              </w:tc>
              <w:tc>
                <w:tcPr>
                  <w:tcW w:w="775" w:type="pct"/>
                  <w:vAlign w:val="center"/>
                </w:tcPr>
                <w:p w14:paraId="4014490C">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w:t>
                  </w:r>
                </w:p>
              </w:tc>
              <w:tc>
                <w:tcPr>
                  <w:tcW w:w="893" w:type="pct"/>
                  <w:vAlign w:val="center"/>
                </w:tcPr>
                <w:p w14:paraId="5BE019E4">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26FCADAA">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2CF5E0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5EAF117E">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4352BF90">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4907332D">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16</w:t>
                  </w:r>
                </w:p>
              </w:tc>
              <w:tc>
                <w:tcPr>
                  <w:tcW w:w="1121" w:type="pct"/>
                  <w:shd w:val="clear" w:color="auto" w:fill="auto"/>
                  <w:vAlign w:val="center"/>
                </w:tcPr>
                <w:p w14:paraId="63F887B7">
                  <w:pPr>
                    <w:widowControl/>
                    <w:jc w:val="center"/>
                    <w:rPr>
                      <w:rFonts w:hint="default" w:ascii="Times New Roman" w:hAnsi="Times New Roman" w:cs="Times New Roman" w:eastAsiaTheme="minorEastAsia"/>
                      <w:color w:val="auto"/>
                      <w:kern w:val="0"/>
                      <w:sz w:val="18"/>
                      <w:szCs w:val="18"/>
                      <w:lang w:val="en-US" w:eastAsia="zh-CN"/>
                    </w:rPr>
                  </w:pPr>
                  <w:r>
                    <w:rPr>
                      <w:rFonts w:hint="default" w:ascii="Times New Roman" w:hAnsi="Times New Roman" w:cs="Times New Roman" w:eastAsiaTheme="minorEastAsia"/>
                      <w:color w:val="auto"/>
                      <w:kern w:val="0"/>
                      <w:sz w:val="18"/>
                      <w:szCs w:val="18"/>
                      <w:lang w:val="en-US" w:eastAsia="zh-CN"/>
                    </w:rPr>
                    <w:t>低压液压站泵</w:t>
                  </w:r>
                </w:p>
              </w:tc>
              <w:tc>
                <w:tcPr>
                  <w:tcW w:w="775" w:type="pct"/>
                  <w:vAlign w:val="center"/>
                </w:tcPr>
                <w:p w14:paraId="5B0F8557">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w:t>
                  </w:r>
                </w:p>
              </w:tc>
              <w:tc>
                <w:tcPr>
                  <w:tcW w:w="893" w:type="pct"/>
                  <w:vAlign w:val="center"/>
                </w:tcPr>
                <w:p w14:paraId="4EE8E656">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542C5AA2">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28A5D5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705692FF">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restart"/>
                  <w:vAlign w:val="center"/>
                </w:tcPr>
                <w:p w14:paraId="15E67B45">
                  <w:pPr>
                    <w:topLinePunct/>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2"/>
                      <w:sz w:val="18"/>
                      <w:szCs w:val="18"/>
                      <w:highlight w:val="none"/>
                      <w:lang w:val="en-US" w:eastAsia="zh-CN"/>
                    </w:rPr>
                    <w:t>取向硅钢脱碳退火涂层机组（DCL）</w:t>
                  </w:r>
                </w:p>
              </w:tc>
              <w:tc>
                <w:tcPr>
                  <w:tcW w:w="0" w:type="auto"/>
                  <w:vAlign w:val="center"/>
                </w:tcPr>
                <w:p w14:paraId="50E45A90">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w:t>
                  </w:r>
                </w:p>
              </w:tc>
              <w:tc>
                <w:tcPr>
                  <w:tcW w:w="1121" w:type="pct"/>
                  <w:shd w:val="clear" w:color="auto" w:fill="auto"/>
                  <w:vAlign w:val="center"/>
                </w:tcPr>
                <w:p w14:paraId="41376CD0">
                  <w:pPr>
                    <w:widowControl/>
                    <w:jc w:val="center"/>
                    <w:rPr>
                      <w:rFonts w:hint="default" w:ascii="Times New Roman" w:hAnsi="Times New Roman" w:cs="Times New Roman" w:eastAsiaTheme="minorEastAsia"/>
                      <w:color w:val="auto"/>
                      <w:kern w:val="0"/>
                      <w:sz w:val="18"/>
                      <w:szCs w:val="18"/>
                      <w:lang w:val="en-US" w:eastAsia="zh-CN"/>
                    </w:rPr>
                  </w:pPr>
                  <w:r>
                    <w:rPr>
                      <w:rFonts w:hint="default" w:ascii="Times New Roman" w:hAnsi="Times New Roman" w:cs="Times New Roman" w:eastAsiaTheme="minorEastAsia"/>
                      <w:color w:val="auto"/>
                      <w:kern w:val="0"/>
                      <w:sz w:val="18"/>
                      <w:szCs w:val="18"/>
                      <w:lang w:val="en-US" w:eastAsia="zh-CN"/>
                    </w:rPr>
                    <w:t>开卷机</w:t>
                  </w:r>
                </w:p>
              </w:tc>
              <w:tc>
                <w:tcPr>
                  <w:tcW w:w="775" w:type="pct"/>
                  <w:vAlign w:val="center"/>
                </w:tcPr>
                <w:p w14:paraId="6187C36B">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w:t>
                  </w:r>
                </w:p>
              </w:tc>
              <w:tc>
                <w:tcPr>
                  <w:tcW w:w="0" w:type="auto"/>
                  <w:vAlign w:val="center"/>
                </w:tcPr>
                <w:p w14:paraId="1C030118">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85</w:t>
                  </w:r>
                </w:p>
              </w:tc>
              <w:tc>
                <w:tcPr>
                  <w:tcW w:w="0" w:type="auto"/>
                  <w:vAlign w:val="center"/>
                </w:tcPr>
                <w:p w14:paraId="5DDE0FAE">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4F67D8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7C9AD81D">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615BA9B0">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285204EC">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2</w:t>
                  </w:r>
                </w:p>
              </w:tc>
              <w:tc>
                <w:tcPr>
                  <w:tcW w:w="1121" w:type="pct"/>
                  <w:shd w:val="clear" w:color="auto" w:fill="auto"/>
                  <w:vAlign w:val="center"/>
                </w:tcPr>
                <w:p w14:paraId="1817E37C">
                  <w:pPr>
                    <w:widowControl/>
                    <w:jc w:val="center"/>
                    <w:rPr>
                      <w:rFonts w:hint="default" w:ascii="Times New Roman" w:hAnsi="Times New Roman" w:cs="Times New Roman" w:eastAsiaTheme="minorEastAsia"/>
                      <w:color w:val="auto"/>
                      <w:kern w:val="0"/>
                      <w:sz w:val="18"/>
                      <w:szCs w:val="18"/>
                      <w:lang w:val="en-US" w:eastAsia="zh-CN"/>
                    </w:rPr>
                  </w:pPr>
                  <w:r>
                    <w:rPr>
                      <w:rFonts w:hint="default" w:ascii="Times New Roman" w:hAnsi="Times New Roman" w:cs="Times New Roman" w:eastAsiaTheme="minorEastAsia"/>
                      <w:color w:val="auto"/>
                      <w:kern w:val="0"/>
                      <w:sz w:val="18"/>
                      <w:szCs w:val="18"/>
                      <w:lang w:val="en-US" w:eastAsia="zh-CN"/>
                    </w:rPr>
                    <w:t>卷取机</w:t>
                  </w:r>
                </w:p>
              </w:tc>
              <w:tc>
                <w:tcPr>
                  <w:tcW w:w="775" w:type="pct"/>
                  <w:vAlign w:val="center"/>
                </w:tcPr>
                <w:p w14:paraId="0F9FAB76">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w:t>
                  </w:r>
                </w:p>
              </w:tc>
              <w:tc>
                <w:tcPr>
                  <w:tcW w:w="0" w:type="auto"/>
                  <w:vAlign w:val="center"/>
                </w:tcPr>
                <w:p w14:paraId="23C9196C">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85</w:t>
                  </w:r>
                </w:p>
              </w:tc>
              <w:tc>
                <w:tcPr>
                  <w:tcW w:w="0" w:type="auto"/>
                  <w:vAlign w:val="center"/>
                </w:tcPr>
                <w:p w14:paraId="7466AA13">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0D2F52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79F895F8">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7650AA60">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48D17772">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3</w:t>
                  </w:r>
                </w:p>
              </w:tc>
              <w:tc>
                <w:tcPr>
                  <w:tcW w:w="1121" w:type="pct"/>
                  <w:shd w:val="clear" w:color="auto" w:fill="auto"/>
                  <w:vAlign w:val="center"/>
                </w:tcPr>
                <w:p w14:paraId="0013E9E9">
                  <w:pPr>
                    <w:widowControl/>
                    <w:jc w:val="center"/>
                    <w:rPr>
                      <w:rFonts w:hint="default" w:ascii="Times New Roman" w:hAnsi="Times New Roman" w:cs="Times New Roman" w:eastAsiaTheme="minorEastAsia"/>
                      <w:color w:val="auto"/>
                      <w:kern w:val="0"/>
                      <w:sz w:val="18"/>
                      <w:szCs w:val="18"/>
                      <w:lang w:val="en-US" w:eastAsia="zh-CN" w:bidi="ar-SA"/>
                    </w:rPr>
                  </w:pPr>
                  <w:r>
                    <w:rPr>
                      <w:rFonts w:hint="default" w:ascii="Times New Roman" w:hAnsi="Times New Roman" w:cs="Times New Roman" w:eastAsiaTheme="minorEastAsia"/>
                      <w:color w:val="auto"/>
                      <w:kern w:val="0"/>
                      <w:sz w:val="18"/>
                      <w:szCs w:val="18"/>
                    </w:rPr>
                    <w:t>开收卷润滑泵</w:t>
                  </w:r>
                </w:p>
              </w:tc>
              <w:tc>
                <w:tcPr>
                  <w:tcW w:w="775" w:type="pct"/>
                  <w:shd w:val="clear" w:color="auto" w:fill="auto"/>
                  <w:vAlign w:val="center"/>
                </w:tcPr>
                <w:p w14:paraId="7DB46AE0">
                  <w:pPr>
                    <w:widowControl/>
                    <w:jc w:val="center"/>
                    <w:rPr>
                      <w:rFonts w:hint="default" w:ascii="Times New Roman" w:hAnsi="Times New Roman" w:cs="Times New Roman" w:eastAsiaTheme="minorEastAsia"/>
                      <w:color w:val="auto"/>
                      <w:kern w:val="0"/>
                      <w:sz w:val="18"/>
                      <w:szCs w:val="18"/>
                      <w:lang w:val="en-US" w:eastAsia="zh-CN" w:bidi="ar-SA"/>
                    </w:rPr>
                  </w:pPr>
                  <w:r>
                    <w:rPr>
                      <w:rFonts w:hint="default" w:ascii="Times New Roman" w:hAnsi="Times New Roman" w:cs="Times New Roman" w:eastAsiaTheme="minorEastAsia"/>
                      <w:color w:val="auto"/>
                      <w:kern w:val="0"/>
                      <w:sz w:val="18"/>
                      <w:szCs w:val="18"/>
                    </w:rPr>
                    <w:t>4</w:t>
                  </w:r>
                </w:p>
              </w:tc>
              <w:tc>
                <w:tcPr>
                  <w:tcW w:w="0" w:type="auto"/>
                  <w:vAlign w:val="center"/>
                </w:tcPr>
                <w:p w14:paraId="7EC1625D">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42FAFA42">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2B1200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133914F0">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0F8288DA">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74144224">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4</w:t>
                  </w:r>
                </w:p>
              </w:tc>
              <w:tc>
                <w:tcPr>
                  <w:tcW w:w="1121" w:type="pct"/>
                  <w:shd w:val="clear" w:color="auto" w:fill="auto"/>
                  <w:vAlign w:val="center"/>
                </w:tcPr>
                <w:p w14:paraId="10B4BD05">
                  <w:pPr>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烘干箱风机</w:t>
                  </w:r>
                </w:p>
              </w:tc>
              <w:tc>
                <w:tcPr>
                  <w:tcW w:w="775" w:type="pct"/>
                  <w:shd w:val="clear" w:color="auto" w:fill="auto"/>
                  <w:vAlign w:val="center"/>
                </w:tcPr>
                <w:p w14:paraId="1DF3FB8E">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1</w:t>
                  </w:r>
                </w:p>
              </w:tc>
              <w:tc>
                <w:tcPr>
                  <w:tcW w:w="893" w:type="pct"/>
                  <w:vAlign w:val="center"/>
                </w:tcPr>
                <w:p w14:paraId="4B4F8FE7">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424C54A0">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79C16B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1796DC11">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6926F635">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2DFD4736">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5</w:t>
                  </w:r>
                </w:p>
              </w:tc>
              <w:tc>
                <w:tcPr>
                  <w:tcW w:w="1121" w:type="pct"/>
                  <w:shd w:val="clear" w:color="auto" w:fill="auto"/>
                  <w:vAlign w:val="center"/>
                </w:tcPr>
                <w:p w14:paraId="1DEA89D4">
                  <w:pPr>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涂层循环泵</w:t>
                  </w:r>
                </w:p>
              </w:tc>
              <w:tc>
                <w:tcPr>
                  <w:tcW w:w="775" w:type="pct"/>
                  <w:shd w:val="clear" w:color="auto" w:fill="auto"/>
                  <w:vAlign w:val="center"/>
                </w:tcPr>
                <w:p w14:paraId="22EA40D0">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2</w:t>
                  </w:r>
                </w:p>
              </w:tc>
              <w:tc>
                <w:tcPr>
                  <w:tcW w:w="893" w:type="pct"/>
                  <w:vAlign w:val="center"/>
                </w:tcPr>
                <w:p w14:paraId="5D65E379">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030F85DD">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6264AD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64376D12">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5AEFF5E0">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0B30CCA0">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6</w:t>
                  </w:r>
                </w:p>
              </w:tc>
              <w:tc>
                <w:tcPr>
                  <w:tcW w:w="1121" w:type="pct"/>
                  <w:shd w:val="clear" w:color="auto" w:fill="auto"/>
                  <w:vAlign w:val="center"/>
                </w:tcPr>
                <w:p w14:paraId="0FD8DCCC">
                  <w:pPr>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涂层供给泵</w:t>
                  </w:r>
                </w:p>
              </w:tc>
              <w:tc>
                <w:tcPr>
                  <w:tcW w:w="775" w:type="pct"/>
                  <w:shd w:val="clear" w:color="auto" w:fill="auto"/>
                  <w:vAlign w:val="center"/>
                </w:tcPr>
                <w:p w14:paraId="1AFA6014">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2</w:t>
                  </w:r>
                </w:p>
              </w:tc>
              <w:tc>
                <w:tcPr>
                  <w:tcW w:w="893" w:type="pct"/>
                  <w:vAlign w:val="center"/>
                </w:tcPr>
                <w:p w14:paraId="1B4D4CED">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4A0D49F1">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18F16F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5FCE4E30">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577F63A6">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43B240A4">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7</w:t>
                  </w:r>
                </w:p>
              </w:tc>
              <w:tc>
                <w:tcPr>
                  <w:tcW w:w="1121" w:type="pct"/>
                  <w:shd w:val="clear" w:color="auto" w:fill="auto"/>
                  <w:vAlign w:val="center"/>
                </w:tcPr>
                <w:p w14:paraId="0DDB9C92">
                  <w:pPr>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冷冻机组循环泵</w:t>
                  </w:r>
                </w:p>
              </w:tc>
              <w:tc>
                <w:tcPr>
                  <w:tcW w:w="775" w:type="pct"/>
                  <w:shd w:val="clear" w:color="auto" w:fill="auto"/>
                  <w:vAlign w:val="center"/>
                </w:tcPr>
                <w:p w14:paraId="552F6C0C">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2</w:t>
                  </w:r>
                </w:p>
              </w:tc>
              <w:tc>
                <w:tcPr>
                  <w:tcW w:w="893" w:type="pct"/>
                  <w:vAlign w:val="center"/>
                </w:tcPr>
                <w:p w14:paraId="77907119">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5B6C76F6">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54756D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35780A00">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1F17D923">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4B3519BF">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8</w:t>
                  </w:r>
                </w:p>
              </w:tc>
              <w:tc>
                <w:tcPr>
                  <w:tcW w:w="1121" w:type="pct"/>
                  <w:shd w:val="clear" w:color="auto" w:fill="auto"/>
                  <w:vAlign w:val="center"/>
                </w:tcPr>
                <w:p w14:paraId="09EC0023">
                  <w:pPr>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涂层液废液泵</w:t>
                  </w:r>
                </w:p>
              </w:tc>
              <w:tc>
                <w:tcPr>
                  <w:tcW w:w="775" w:type="pct"/>
                  <w:shd w:val="clear" w:color="auto" w:fill="auto"/>
                  <w:vAlign w:val="center"/>
                </w:tcPr>
                <w:p w14:paraId="3DB488C3">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2</w:t>
                  </w:r>
                </w:p>
              </w:tc>
              <w:tc>
                <w:tcPr>
                  <w:tcW w:w="893" w:type="pct"/>
                  <w:vAlign w:val="center"/>
                </w:tcPr>
                <w:p w14:paraId="221C82FE">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0A19CC41">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020620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15D4074F">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791849BB">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0B51DDE0">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9</w:t>
                  </w:r>
                </w:p>
              </w:tc>
              <w:tc>
                <w:tcPr>
                  <w:tcW w:w="1121" w:type="pct"/>
                  <w:shd w:val="clear" w:color="auto" w:fill="auto"/>
                  <w:vAlign w:val="center"/>
                </w:tcPr>
                <w:p w14:paraId="5541471E">
                  <w:pPr>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清洗段水泵1</w:t>
                  </w:r>
                </w:p>
              </w:tc>
              <w:tc>
                <w:tcPr>
                  <w:tcW w:w="775" w:type="pct"/>
                  <w:shd w:val="clear" w:color="auto" w:fill="auto"/>
                  <w:vAlign w:val="center"/>
                </w:tcPr>
                <w:p w14:paraId="7B1F95AE">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8</w:t>
                  </w:r>
                </w:p>
              </w:tc>
              <w:tc>
                <w:tcPr>
                  <w:tcW w:w="893" w:type="pct"/>
                  <w:vAlign w:val="center"/>
                </w:tcPr>
                <w:p w14:paraId="4352838C">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73217EA7">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3F8100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413F3937">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0C742A5A">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74D91A02">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10</w:t>
                  </w:r>
                </w:p>
              </w:tc>
              <w:tc>
                <w:tcPr>
                  <w:tcW w:w="1121" w:type="pct"/>
                  <w:shd w:val="clear" w:color="auto" w:fill="auto"/>
                  <w:vAlign w:val="center"/>
                </w:tcPr>
                <w:p w14:paraId="69D66AC6">
                  <w:pPr>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清洗段水泵2</w:t>
                  </w:r>
                </w:p>
              </w:tc>
              <w:tc>
                <w:tcPr>
                  <w:tcW w:w="775" w:type="pct"/>
                  <w:shd w:val="clear" w:color="auto" w:fill="auto"/>
                  <w:vAlign w:val="center"/>
                </w:tcPr>
                <w:p w14:paraId="669DB061">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8</w:t>
                  </w:r>
                </w:p>
              </w:tc>
              <w:tc>
                <w:tcPr>
                  <w:tcW w:w="893" w:type="pct"/>
                  <w:vAlign w:val="center"/>
                </w:tcPr>
                <w:p w14:paraId="5B7AB3EF">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40558CA8">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0EFE20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0FC832B3">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0303777D">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2ADA5A9E">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11</w:t>
                  </w:r>
                </w:p>
              </w:tc>
              <w:tc>
                <w:tcPr>
                  <w:tcW w:w="1121" w:type="pct"/>
                  <w:shd w:val="clear" w:color="auto" w:fill="auto"/>
                  <w:vAlign w:val="center"/>
                </w:tcPr>
                <w:p w14:paraId="63B7FB90">
                  <w:pPr>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清洗段水泵3</w:t>
                  </w:r>
                </w:p>
              </w:tc>
              <w:tc>
                <w:tcPr>
                  <w:tcW w:w="775" w:type="pct"/>
                  <w:shd w:val="clear" w:color="auto" w:fill="auto"/>
                  <w:vAlign w:val="center"/>
                </w:tcPr>
                <w:p w14:paraId="4E0226A6">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12</w:t>
                  </w:r>
                </w:p>
              </w:tc>
              <w:tc>
                <w:tcPr>
                  <w:tcW w:w="893" w:type="pct"/>
                  <w:vAlign w:val="center"/>
                </w:tcPr>
                <w:p w14:paraId="3BD8EF23">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496EDF0E">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4A4DC6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239DE041">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318D12A1">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6EDA606D">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12</w:t>
                  </w:r>
                </w:p>
              </w:tc>
              <w:tc>
                <w:tcPr>
                  <w:tcW w:w="1121" w:type="pct"/>
                  <w:shd w:val="clear" w:color="auto" w:fill="auto"/>
                  <w:vAlign w:val="center"/>
                </w:tcPr>
                <w:p w14:paraId="49AB91CF">
                  <w:pPr>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清洗段水泵4</w:t>
                  </w:r>
                </w:p>
              </w:tc>
              <w:tc>
                <w:tcPr>
                  <w:tcW w:w="775" w:type="pct"/>
                  <w:shd w:val="clear" w:color="auto" w:fill="auto"/>
                  <w:vAlign w:val="center"/>
                </w:tcPr>
                <w:p w14:paraId="05A09566">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4</w:t>
                  </w:r>
                </w:p>
              </w:tc>
              <w:tc>
                <w:tcPr>
                  <w:tcW w:w="893" w:type="pct"/>
                  <w:vAlign w:val="center"/>
                </w:tcPr>
                <w:p w14:paraId="0897E0D4">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3FA18B46">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63C215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3D4489B6">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658C9CFB">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7F6C8CCA">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13</w:t>
                  </w:r>
                </w:p>
              </w:tc>
              <w:tc>
                <w:tcPr>
                  <w:tcW w:w="1121" w:type="pct"/>
                  <w:shd w:val="clear" w:color="auto" w:fill="auto"/>
                  <w:vAlign w:val="center"/>
                </w:tcPr>
                <w:p w14:paraId="55659289">
                  <w:pPr>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碱雾塔加药泵</w:t>
                  </w:r>
                </w:p>
              </w:tc>
              <w:tc>
                <w:tcPr>
                  <w:tcW w:w="775" w:type="pct"/>
                  <w:shd w:val="clear" w:color="auto" w:fill="auto"/>
                  <w:vAlign w:val="center"/>
                </w:tcPr>
                <w:p w14:paraId="1659598A">
                  <w:pPr>
                    <w:adjustRightInd w:val="0"/>
                    <w:snapToGrid w:val="0"/>
                    <w:jc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1</w:t>
                  </w:r>
                </w:p>
              </w:tc>
              <w:tc>
                <w:tcPr>
                  <w:tcW w:w="893" w:type="pct"/>
                  <w:vAlign w:val="center"/>
                </w:tcPr>
                <w:p w14:paraId="4A0971ED">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54EEFE47">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20C902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39EAE3A6">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7450EBF6">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545D6686">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14</w:t>
                  </w:r>
                </w:p>
              </w:tc>
              <w:tc>
                <w:tcPr>
                  <w:tcW w:w="1121" w:type="pct"/>
                  <w:shd w:val="clear" w:color="auto" w:fill="auto"/>
                  <w:vAlign w:val="center"/>
                </w:tcPr>
                <w:p w14:paraId="5BD37791">
                  <w:pPr>
                    <w:adjustRightInd w:val="0"/>
                    <w:snapToGrid w:val="0"/>
                    <w:jc w:val="center"/>
                    <w:textAlignment w:val="bottom"/>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RTF助燃风机</w:t>
                  </w:r>
                </w:p>
              </w:tc>
              <w:tc>
                <w:tcPr>
                  <w:tcW w:w="775" w:type="pct"/>
                  <w:shd w:val="clear" w:color="auto" w:fill="auto"/>
                  <w:vAlign w:val="center"/>
                </w:tcPr>
                <w:p w14:paraId="29E54E61">
                  <w:pPr>
                    <w:adjustRightInd w:val="0"/>
                    <w:snapToGrid w:val="0"/>
                    <w:jc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2</w:t>
                  </w:r>
                </w:p>
              </w:tc>
              <w:tc>
                <w:tcPr>
                  <w:tcW w:w="893" w:type="pct"/>
                  <w:vAlign w:val="center"/>
                </w:tcPr>
                <w:p w14:paraId="37BD8CAE">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03A7722F">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133DC4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443A83CE">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5BDEF574">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104DAAB8">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15</w:t>
                  </w:r>
                </w:p>
              </w:tc>
              <w:tc>
                <w:tcPr>
                  <w:tcW w:w="1121" w:type="pct"/>
                  <w:shd w:val="clear" w:color="auto" w:fill="auto"/>
                  <w:vAlign w:val="center"/>
                </w:tcPr>
                <w:p w14:paraId="2685CC37">
                  <w:pPr>
                    <w:adjustRightInd w:val="0"/>
                    <w:snapToGrid w:val="0"/>
                    <w:jc w:val="center"/>
                    <w:textAlignment w:val="bottom"/>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RTF排烟风机</w:t>
                  </w:r>
                </w:p>
              </w:tc>
              <w:tc>
                <w:tcPr>
                  <w:tcW w:w="775" w:type="pct"/>
                  <w:shd w:val="clear" w:color="auto" w:fill="auto"/>
                  <w:vAlign w:val="center"/>
                </w:tcPr>
                <w:p w14:paraId="1BD229C8">
                  <w:pPr>
                    <w:adjustRightInd w:val="0"/>
                    <w:snapToGrid w:val="0"/>
                    <w:jc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2</w:t>
                  </w:r>
                </w:p>
              </w:tc>
              <w:tc>
                <w:tcPr>
                  <w:tcW w:w="893" w:type="pct"/>
                  <w:vAlign w:val="center"/>
                </w:tcPr>
                <w:p w14:paraId="048490A1">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5EA22410">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199F9D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0DC47E7A">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5EF6CEB4">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3BABB015">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16</w:t>
                  </w:r>
                </w:p>
              </w:tc>
              <w:tc>
                <w:tcPr>
                  <w:tcW w:w="1121" w:type="pct"/>
                  <w:shd w:val="clear" w:color="auto" w:fill="auto"/>
                  <w:vAlign w:val="center"/>
                </w:tcPr>
                <w:p w14:paraId="075F98FE">
                  <w:pPr>
                    <w:adjustRightInd w:val="0"/>
                    <w:snapToGrid w:val="0"/>
                    <w:jc w:val="center"/>
                    <w:textAlignment w:val="bottom"/>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冷却排气风机</w:t>
                  </w:r>
                </w:p>
              </w:tc>
              <w:tc>
                <w:tcPr>
                  <w:tcW w:w="775" w:type="pct"/>
                  <w:shd w:val="clear" w:color="auto" w:fill="auto"/>
                  <w:vAlign w:val="center"/>
                </w:tcPr>
                <w:p w14:paraId="2948C162">
                  <w:pPr>
                    <w:adjustRightInd w:val="0"/>
                    <w:snapToGrid w:val="0"/>
                    <w:jc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7</w:t>
                  </w:r>
                </w:p>
              </w:tc>
              <w:tc>
                <w:tcPr>
                  <w:tcW w:w="893" w:type="pct"/>
                  <w:vAlign w:val="center"/>
                </w:tcPr>
                <w:p w14:paraId="22C5A78E">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275D0B50">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192D4B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4CFCBDFB">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4CDBDFBB">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2FDD2A3C">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17</w:t>
                  </w:r>
                </w:p>
              </w:tc>
              <w:tc>
                <w:tcPr>
                  <w:tcW w:w="1121" w:type="pct"/>
                  <w:shd w:val="clear" w:color="auto" w:fill="auto"/>
                  <w:vAlign w:val="center"/>
                </w:tcPr>
                <w:p w14:paraId="04C13FBF">
                  <w:pPr>
                    <w:adjustRightInd w:val="0"/>
                    <w:snapToGrid w:val="0"/>
                    <w:jc w:val="center"/>
                    <w:textAlignment w:val="bottom"/>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RJC快冷风机</w:t>
                  </w:r>
                </w:p>
              </w:tc>
              <w:tc>
                <w:tcPr>
                  <w:tcW w:w="775" w:type="pct"/>
                  <w:shd w:val="clear" w:color="auto" w:fill="auto"/>
                  <w:vAlign w:val="center"/>
                </w:tcPr>
                <w:p w14:paraId="11675930">
                  <w:pPr>
                    <w:adjustRightInd w:val="0"/>
                    <w:snapToGrid w:val="0"/>
                    <w:jc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4</w:t>
                  </w:r>
                </w:p>
              </w:tc>
              <w:tc>
                <w:tcPr>
                  <w:tcW w:w="893" w:type="pct"/>
                  <w:vAlign w:val="center"/>
                </w:tcPr>
                <w:p w14:paraId="4F848DE3">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556BC36D">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78772D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559D5425">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3E1B06FB">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3DF34F33">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18</w:t>
                  </w:r>
                </w:p>
              </w:tc>
              <w:tc>
                <w:tcPr>
                  <w:tcW w:w="1121" w:type="pct"/>
                  <w:shd w:val="clear" w:color="auto" w:fill="auto"/>
                  <w:vAlign w:val="center"/>
                </w:tcPr>
                <w:p w14:paraId="207719F5">
                  <w:pPr>
                    <w:adjustRightInd w:val="0"/>
                    <w:snapToGrid w:val="0"/>
                    <w:jc w:val="center"/>
                    <w:textAlignment w:val="bottom"/>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炉后冷却风机</w:t>
                  </w:r>
                </w:p>
              </w:tc>
              <w:tc>
                <w:tcPr>
                  <w:tcW w:w="775" w:type="pct"/>
                  <w:shd w:val="clear" w:color="auto" w:fill="auto"/>
                  <w:vAlign w:val="center"/>
                </w:tcPr>
                <w:p w14:paraId="17218C04">
                  <w:pPr>
                    <w:adjustRightInd w:val="0"/>
                    <w:snapToGrid w:val="0"/>
                    <w:jc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7</w:t>
                  </w:r>
                </w:p>
              </w:tc>
              <w:tc>
                <w:tcPr>
                  <w:tcW w:w="893" w:type="pct"/>
                  <w:vAlign w:val="center"/>
                </w:tcPr>
                <w:p w14:paraId="4CD025B4">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0C4A825F">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1C9D24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2EBCA2F5">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2ABF11D9">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352DCD12">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19</w:t>
                  </w:r>
                </w:p>
              </w:tc>
              <w:tc>
                <w:tcPr>
                  <w:tcW w:w="1121" w:type="pct"/>
                  <w:shd w:val="clear" w:color="auto" w:fill="auto"/>
                  <w:vAlign w:val="center"/>
                </w:tcPr>
                <w:p w14:paraId="77DED380">
                  <w:pPr>
                    <w:adjustRightInd w:val="0"/>
                    <w:snapToGrid w:val="0"/>
                    <w:jc w:val="center"/>
                    <w:textAlignment w:val="bottom"/>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干燥炉助燃风机</w:t>
                  </w:r>
                </w:p>
              </w:tc>
              <w:tc>
                <w:tcPr>
                  <w:tcW w:w="775" w:type="pct"/>
                  <w:shd w:val="clear" w:color="auto" w:fill="auto"/>
                  <w:vAlign w:val="center"/>
                </w:tcPr>
                <w:p w14:paraId="3BBBC2EB">
                  <w:pPr>
                    <w:adjustRightInd w:val="0"/>
                    <w:snapToGrid w:val="0"/>
                    <w:jc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1</w:t>
                  </w:r>
                </w:p>
              </w:tc>
              <w:tc>
                <w:tcPr>
                  <w:tcW w:w="893" w:type="pct"/>
                  <w:vAlign w:val="center"/>
                </w:tcPr>
                <w:p w14:paraId="1F9EE6A1">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6FB5523C">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454526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5832770C">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15A8E79C">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5761FAE9">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20</w:t>
                  </w:r>
                </w:p>
              </w:tc>
              <w:tc>
                <w:tcPr>
                  <w:tcW w:w="1121" w:type="pct"/>
                  <w:shd w:val="clear" w:color="auto" w:fill="auto"/>
                  <w:vAlign w:val="center"/>
                </w:tcPr>
                <w:p w14:paraId="43915977">
                  <w:pPr>
                    <w:adjustRightInd w:val="0"/>
                    <w:snapToGrid w:val="0"/>
                    <w:jc w:val="center"/>
                    <w:textAlignment w:val="bottom"/>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干燥炉排烟风机</w:t>
                  </w:r>
                </w:p>
              </w:tc>
              <w:tc>
                <w:tcPr>
                  <w:tcW w:w="775" w:type="pct"/>
                  <w:shd w:val="clear" w:color="auto" w:fill="auto"/>
                  <w:vAlign w:val="center"/>
                </w:tcPr>
                <w:p w14:paraId="6D141620">
                  <w:pPr>
                    <w:adjustRightInd w:val="0"/>
                    <w:snapToGrid w:val="0"/>
                    <w:jc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1</w:t>
                  </w:r>
                </w:p>
              </w:tc>
              <w:tc>
                <w:tcPr>
                  <w:tcW w:w="893" w:type="pct"/>
                  <w:vAlign w:val="center"/>
                </w:tcPr>
                <w:p w14:paraId="3B9A1EFE">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0EF3D01B">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1A0311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250BC449">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167D6580">
                  <w:pPr>
                    <w:topLinePunct/>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2"/>
                      <w:sz w:val="18"/>
                      <w:szCs w:val="18"/>
                      <w:highlight w:val="none"/>
                      <w:lang w:val="en-US" w:eastAsia="zh-CN"/>
                    </w:rPr>
                    <w:t>取向硅钢高温罩式炉（BAF）</w:t>
                  </w:r>
                </w:p>
              </w:tc>
              <w:tc>
                <w:tcPr>
                  <w:tcW w:w="0" w:type="auto"/>
                  <w:vAlign w:val="center"/>
                </w:tcPr>
                <w:p w14:paraId="4A3953E4">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w:t>
                  </w:r>
                </w:p>
              </w:tc>
              <w:tc>
                <w:tcPr>
                  <w:tcW w:w="1121" w:type="pct"/>
                  <w:shd w:val="clear" w:color="auto" w:fill="auto"/>
                  <w:vAlign w:val="center"/>
                </w:tcPr>
                <w:p w14:paraId="6F26BDE3">
                  <w:pPr>
                    <w:widowControl/>
                    <w:jc w:val="center"/>
                    <w:rPr>
                      <w:rFonts w:hint="default" w:ascii="Times New Roman" w:hAnsi="Times New Roman" w:cs="Times New Roman" w:eastAsiaTheme="minorEastAsia"/>
                      <w:color w:val="auto"/>
                      <w:kern w:val="0"/>
                      <w:sz w:val="18"/>
                      <w:szCs w:val="18"/>
                      <w:lang w:val="en-US" w:eastAsia="zh-CN"/>
                    </w:rPr>
                  </w:pPr>
                  <w:r>
                    <w:rPr>
                      <w:rFonts w:hint="default" w:ascii="Times New Roman" w:hAnsi="Times New Roman" w:cs="Times New Roman" w:eastAsiaTheme="minorEastAsia"/>
                      <w:color w:val="auto"/>
                      <w:kern w:val="0"/>
                      <w:sz w:val="18"/>
                      <w:szCs w:val="18"/>
                      <w:lang w:val="en-US" w:eastAsia="zh-CN"/>
                    </w:rPr>
                    <w:t>外罩风机</w:t>
                  </w:r>
                </w:p>
              </w:tc>
              <w:tc>
                <w:tcPr>
                  <w:tcW w:w="775" w:type="pct"/>
                  <w:vAlign w:val="center"/>
                </w:tcPr>
                <w:p w14:paraId="0A130A23">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0" w:type="auto"/>
                  <w:vAlign w:val="center"/>
                </w:tcPr>
                <w:p w14:paraId="6F02253A">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3F14D0E4">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58FCA0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6C87B712">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restart"/>
                  <w:vAlign w:val="center"/>
                </w:tcPr>
                <w:p w14:paraId="79D1BC82">
                  <w:pPr>
                    <w:topLinePunct/>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2"/>
                      <w:sz w:val="18"/>
                      <w:szCs w:val="18"/>
                      <w:highlight w:val="none"/>
                      <w:lang w:val="en-US" w:eastAsia="zh-CN"/>
                    </w:rPr>
                    <w:t>取向硅钢热拉伸平整机组（FCL）</w:t>
                  </w:r>
                </w:p>
              </w:tc>
              <w:tc>
                <w:tcPr>
                  <w:tcW w:w="0" w:type="auto"/>
                  <w:vAlign w:val="center"/>
                </w:tcPr>
                <w:p w14:paraId="3AC23477">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w:t>
                  </w:r>
                </w:p>
              </w:tc>
              <w:tc>
                <w:tcPr>
                  <w:tcW w:w="1121" w:type="pct"/>
                  <w:shd w:val="clear" w:color="auto" w:fill="auto"/>
                  <w:vAlign w:val="center"/>
                </w:tcPr>
                <w:p w14:paraId="72413D7D">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开卷机</w:t>
                  </w:r>
                </w:p>
              </w:tc>
              <w:tc>
                <w:tcPr>
                  <w:tcW w:w="775" w:type="pct"/>
                  <w:shd w:val="clear" w:color="auto" w:fill="auto"/>
                  <w:vAlign w:val="center"/>
                </w:tcPr>
                <w:p w14:paraId="2D167EE1">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lang w:val="en-US" w:eastAsia="zh-CN"/>
                    </w:rPr>
                    <w:t>2</w:t>
                  </w:r>
                </w:p>
              </w:tc>
              <w:tc>
                <w:tcPr>
                  <w:tcW w:w="0" w:type="auto"/>
                  <w:vAlign w:val="center"/>
                </w:tcPr>
                <w:p w14:paraId="430109AD">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85</w:t>
                  </w:r>
                </w:p>
              </w:tc>
              <w:tc>
                <w:tcPr>
                  <w:tcW w:w="0" w:type="auto"/>
                  <w:vAlign w:val="center"/>
                </w:tcPr>
                <w:p w14:paraId="0DDF2543">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742C6D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751B270A">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52D73E6F">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7DD4F8D8">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2</w:t>
                  </w:r>
                </w:p>
              </w:tc>
              <w:tc>
                <w:tcPr>
                  <w:tcW w:w="1121" w:type="pct"/>
                  <w:shd w:val="clear" w:color="auto" w:fill="auto"/>
                  <w:vAlign w:val="center"/>
                </w:tcPr>
                <w:p w14:paraId="41A4FE39">
                  <w:pPr>
                    <w:widowControl/>
                    <w:jc w:val="center"/>
                    <w:rPr>
                      <w:rFonts w:hint="default" w:ascii="Times New Roman" w:hAnsi="Times New Roman" w:cs="Times New Roman" w:eastAsiaTheme="minorEastAsia"/>
                      <w:color w:val="auto"/>
                      <w:kern w:val="0"/>
                      <w:sz w:val="18"/>
                      <w:szCs w:val="18"/>
                      <w:lang w:val="en-US" w:eastAsia="zh-CN"/>
                    </w:rPr>
                  </w:pPr>
                  <w:r>
                    <w:rPr>
                      <w:rFonts w:hint="default" w:ascii="Times New Roman" w:hAnsi="Times New Roman" w:cs="Times New Roman" w:eastAsiaTheme="minorEastAsia"/>
                      <w:color w:val="auto"/>
                      <w:kern w:val="0"/>
                      <w:sz w:val="18"/>
                      <w:szCs w:val="18"/>
                      <w:lang w:val="en-US" w:eastAsia="zh-CN"/>
                    </w:rPr>
                    <w:t>卷取机</w:t>
                  </w:r>
                </w:p>
              </w:tc>
              <w:tc>
                <w:tcPr>
                  <w:tcW w:w="775" w:type="pct"/>
                  <w:vAlign w:val="center"/>
                </w:tcPr>
                <w:p w14:paraId="63A141BF">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w:t>
                  </w:r>
                </w:p>
              </w:tc>
              <w:tc>
                <w:tcPr>
                  <w:tcW w:w="0" w:type="auto"/>
                  <w:vAlign w:val="center"/>
                </w:tcPr>
                <w:p w14:paraId="34491363">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85</w:t>
                  </w:r>
                </w:p>
              </w:tc>
              <w:tc>
                <w:tcPr>
                  <w:tcW w:w="0" w:type="auto"/>
                  <w:vAlign w:val="center"/>
                </w:tcPr>
                <w:p w14:paraId="1EBE5142">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19F0C9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3BEB1D75">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242BEE4B">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49989A05">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3</w:t>
                  </w:r>
                </w:p>
              </w:tc>
              <w:tc>
                <w:tcPr>
                  <w:tcW w:w="1121" w:type="pct"/>
                  <w:shd w:val="clear" w:color="auto" w:fill="auto"/>
                  <w:vAlign w:val="center"/>
                </w:tcPr>
                <w:p w14:paraId="494CCD62">
                  <w:pPr>
                    <w:widowControl/>
                    <w:jc w:val="center"/>
                    <w:rPr>
                      <w:rFonts w:hint="default" w:ascii="Times New Roman" w:hAnsi="Times New Roman" w:cs="Times New Roman" w:eastAsiaTheme="minorEastAsia"/>
                      <w:color w:val="auto"/>
                      <w:kern w:val="0"/>
                      <w:sz w:val="18"/>
                      <w:szCs w:val="18"/>
                      <w:lang w:val="en-US" w:eastAsia="zh-CN" w:bidi="ar-SA"/>
                    </w:rPr>
                  </w:pPr>
                  <w:r>
                    <w:rPr>
                      <w:rFonts w:hint="default" w:ascii="Times New Roman" w:hAnsi="Times New Roman" w:cs="Times New Roman" w:eastAsiaTheme="minorEastAsia"/>
                      <w:color w:val="auto"/>
                      <w:kern w:val="0"/>
                      <w:sz w:val="18"/>
                      <w:szCs w:val="18"/>
                    </w:rPr>
                    <w:t>开收卷润滑泵</w:t>
                  </w:r>
                </w:p>
              </w:tc>
              <w:tc>
                <w:tcPr>
                  <w:tcW w:w="775" w:type="pct"/>
                  <w:shd w:val="clear" w:color="auto" w:fill="auto"/>
                  <w:vAlign w:val="center"/>
                </w:tcPr>
                <w:p w14:paraId="39C8BA6B">
                  <w:pPr>
                    <w:widowControl/>
                    <w:jc w:val="center"/>
                    <w:rPr>
                      <w:rFonts w:hint="default" w:ascii="Times New Roman" w:hAnsi="Times New Roman" w:cs="Times New Roman" w:eastAsiaTheme="minorEastAsia"/>
                      <w:color w:val="auto"/>
                      <w:kern w:val="0"/>
                      <w:sz w:val="18"/>
                      <w:szCs w:val="18"/>
                      <w:lang w:val="en-US" w:eastAsia="zh-CN" w:bidi="ar-SA"/>
                    </w:rPr>
                  </w:pPr>
                  <w:r>
                    <w:rPr>
                      <w:rFonts w:hint="default" w:ascii="Times New Roman" w:hAnsi="Times New Roman" w:cs="Times New Roman" w:eastAsiaTheme="minorEastAsia"/>
                      <w:color w:val="auto"/>
                      <w:kern w:val="0"/>
                      <w:sz w:val="18"/>
                      <w:szCs w:val="18"/>
                    </w:rPr>
                    <w:t>4</w:t>
                  </w:r>
                </w:p>
              </w:tc>
              <w:tc>
                <w:tcPr>
                  <w:tcW w:w="0" w:type="auto"/>
                  <w:vAlign w:val="center"/>
                </w:tcPr>
                <w:p w14:paraId="7D34DB5E">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286A10F6">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2E0B48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318" w:type="pct"/>
                  <w:vMerge w:val="continue"/>
                  <w:vAlign w:val="center"/>
                </w:tcPr>
                <w:p w14:paraId="284DE6CD">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5BA01DCA">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40274E55">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4</w:t>
                  </w:r>
                </w:p>
              </w:tc>
              <w:tc>
                <w:tcPr>
                  <w:tcW w:w="1121" w:type="pct"/>
                  <w:shd w:val="clear" w:color="auto" w:fill="auto"/>
                  <w:vAlign w:val="center"/>
                </w:tcPr>
                <w:p w14:paraId="262C28F8">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2#刷洗/热水漂洗循环泵</w:t>
                  </w:r>
                </w:p>
              </w:tc>
              <w:tc>
                <w:tcPr>
                  <w:tcW w:w="775" w:type="pct"/>
                  <w:shd w:val="clear" w:color="auto" w:fill="auto"/>
                  <w:vAlign w:val="center"/>
                </w:tcPr>
                <w:p w14:paraId="0C3CA019">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2</w:t>
                  </w:r>
                </w:p>
              </w:tc>
              <w:tc>
                <w:tcPr>
                  <w:tcW w:w="0" w:type="auto"/>
                  <w:vAlign w:val="center"/>
                </w:tcPr>
                <w:p w14:paraId="0EAA7E8C">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49F63564">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65B13F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7C99A04D">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57C150E5">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624C786D">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5</w:t>
                  </w:r>
                </w:p>
              </w:tc>
              <w:tc>
                <w:tcPr>
                  <w:tcW w:w="1121" w:type="pct"/>
                  <w:shd w:val="clear" w:color="auto" w:fill="auto"/>
                  <w:vAlign w:val="center"/>
                </w:tcPr>
                <w:p w14:paraId="67A60E6E">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酸洗后漂洗循环泵</w:t>
                  </w:r>
                </w:p>
              </w:tc>
              <w:tc>
                <w:tcPr>
                  <w:tcW w:w="775" w:type="pct"/>
                  <w:shd w:val="clear" w:color="auto" w:fill="auto"/>
                  <w:vAlign w:val="center"/>
                </w:tcPr>
                <w:p w14:paraId="7BFD075D">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3</w:t>
                  </w:r>
                </w:p>
              </w:tc>
              <w:tc>
                <w:tcPr>
                  <w:tcW w:w="0" w:type="auto"/>
                  <w:vAlign w:val="center"/>
                </w:tcPr>
                <w:p w14:paraId="5797F2FB">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7E32ACEE">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4AB48B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471B70EC">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428C9A80">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74371199">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6</w:t>
                  </w:r>
                </w:p>
              </w:tc>
              <w:tc>
                <w:tcPr>
                  <w:tcW w:w="1121" w:type="pct"/>
                  <w:shd w:val="clear" w:color="auto" w:fill="auto"/>
                  <w:vAlign w:val="center"/>
                </w:tcPr>
                <w:p w14:paraId="5B67A92B">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Mg</w:t>
                  </w:r>
                  <w:r>
                    <w:rPr>
                      <w:rFonts w:hint="default" w:ascii="Times New Roman" w:hAnsi="Times New Roman" w:cs="Times New Roman" w:eastAsiaTheme="minorEastAsia"/>
                      <w:color w:val="auto"/>
                      <w:sz w:val="18"/>
                      <w:szCs w:val="18"/>
                      <w:lang w:val="en-US" w:eastAsia="zh-CN"/>
                    </w:rPr>
                    <w:t>O</w:t>
                  </w:r>
                  <w:r>
                    <w:rPr>
                      <w:rFonts w:hint="default" w:ascii="Times New Roman" w:hAnsi="Times New Roman" w:cs="Times New Roman" w:eastAsiaTheme="minorEastAsia"/>
                      <w:color w:val="auto"/>
                      <w:sz w:val="18"/>
                      <w:szCs w:val="18"/>
                    </w:rPr>
                    <w:t>废水排污泵</w:t>
                  </w:r>
                </w:p>
              </w:tc>
              <w:tc>
                <w:tcPr>
                  <w:tcW w:w="775" w:type="pct"/>
                  <w:shd w:val="clear" w:color="auto" w:fill="auto"/>
                  <w:vAlign w:val="center"/>
                </w:tcPr>
                <w:p w14:paraId="5720A9E8">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2</w:t>
                  </w:r>
                </w:p>
              </w:tc>
              <w:tc>
                <w:tcPr>
                  <w:tcW w:w="0" w:type="auto"/>
                  <w:vAlign w:val="center"/>
                </w:tcPr>
                <w:p w14:paraId="2D4A3998">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1BF92EC9">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5BD54F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466455AF">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558CDD6D">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323B2FF0">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7</w:t>
                  </w:r>
                </w:p>
              </w:tc>
              <w:tc>
                <w:tcPr>
                  <w:tcW w:w="1121" w:type="pct"/>
                  <w:shd w:val="clear" w:color="auto" w:fill="auto"/>
                  <w:vAlign w:val="center"/>
                </w:tcPr>
                <w:p w14:paraId="60CDFCBB">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酸洗循环泵</w:t>
                  </w:r>
                </w:p>
              </w:tc>
              <w:tc>
                <w:tcPr>
                  <w:tcW w:w="775" w:type="pct"/>
                  <w:shd w:val="clear" w:color="auto" w:fill="auto"/>
                  <w:vAlign w:val="center"/>
                </w:tcPr>
                <w:p w14:paraId="0691C7A4">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2</w:t>
                  </w:r>
                </w:p>
              </w:tc>
              <w:tc>
                <w:tcPr>
                  <w:tcW w:w="0" w:type="auto"/>
                  <w:vAlign w:val="center"/>
                </w:tcPr>
                <w:p w14:paraId="0D2BF3A1">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7809D865">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7B629A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5A7DB3A0">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7DADAF67">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3A019A40">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8</w:t>
                  </w:r>
                </w:p>
              </w:tc>
              <w:tc>
                <w:tcPr>
                  <w:tcW w:w="1121" w:type="pct"/>
                  <w:shd w:val="clear" w:color="auto" w:fill="auto"/>
                  <w:vAlign w:val="center"/>
                </w:tcPr>
                <w:p w14:paraId="393FC661">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酸雾净化离心风机</w:t>
                  </w:r>
                </w:p>
              </w:tc>
              <w:tc>
                <w:tcPr>
                  <w:tcW w:w="775" w:type="pct"/>
                  <w:shd w:val="clear" w:color="auto" w:fill="auto"/>
                  <w:vAlign w:val="center"/>
                </w:tcPr>
                <w:p w14:paraId="57C36378">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1</w:t>
                  </w:r>
                </w:p>
              </w:tc>
              <w:tc>
                <w:tcPr>
                  <w:tcW w:w="0" w:type="auto"/>
                  <w:vAlign w:val="center"/>
                </w:tcPr>
                <w:p w14:paraId="4861F7E5">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555EDE6E">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1D5A8C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7842EFFB">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0E228845">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71146032">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9</w:t>
                  </w:r>
                </w:p>
              </w:tc>
              <w:tc>
                <w:tcPr>
                  <w:tcW w:w="1121" w:type="pct"/>
                  <w:shd w:val="clear" w:color="auto" w:fill="auto"/>
                  <w:vAlign w:val="center"/>
                </w:tcPr>
                <w:p w14:paraId="739AC16B">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酸雾净化循环水泵</w:t>
                  </w:r>
                </w:p>
              </w:tc>
              <w:tc>
                <w:tcPr>
                  <w:tcW w:w="775" w:type="pct"/>
                  <w:shd w:val="clear" w:color="auto" w:fill="auto"/>
                  <w:vAlign w:val="center"/>
                </w:tcPr>
                <w:p w14:paraId="50DF0B7C">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2</w:t>
                  </w:r>
                </w:p>
              </w:tc>
              <w:tc>
                <w:tcPr>
                  <w:tcW w:w="0" w:type="auto"/>
                  <w:vAlign w:val="center"/>
                </w:tcPr>
                <w:p w14:paraId="23D431E2">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30769425">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536839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02DCEF38">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34FEB2F7">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0E7517F2">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10</w:t>
                  </w:r>
                </w:p>
              </w:tc>
              <w:tc>
                <w:tcPr>
                  <w:tcW w:w="1121" w:type="pct"/>
                  <w:shd w:val="clear" w:color="auto" w:fill="auto"/>
                  <w:vAlign w:val="center"/>
                </w:tcPr>
                <w:p w14:paraId="1C7EC04D">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涂层液循环泵</w:t>
                  </w:r>
                </w:p>
              </w:tc>
              <w:tc>
                <w:tcPr>
                  <w:tcW w:w="775" w:type="pct"/>
                  <w:shd w:val="clear" w:color="auto" w:fill="auto"/>
                  <w:vAlign w:val="center"/>
                </w:tcPr>
                <w:p w14:paraId="7BF6AEE4">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2</w:t>
                  </w:r>
                </w:p>
              </w:tc>
              <w:tc>
                <w:tcPr>
                  <w:tcW w:w="0" w:type="auto"/>
                  <w:vAlign w:val="center"/>
                </w:tcPr>
                <w:p w14:paraId="17972FAA">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64A64CA7">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2D69A6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4CAC97AD">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7E8DD86A">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19C86DFF">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11</w:t>
                  </w:r>
                </w:p>
              </w:tc>
              <w:tc>
                <w:tcPr>
                  <w:tcW w:w="1121" w:type="pct"/>
                  <w:shd w:val="clear" w:color="auto" w:fill="auto"/>
                  <w:vAlign w:val="center"/>
                </w:tcPr>
                <w:p w14:paraId="52A8243D">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涂层液废水泵</w:t>
                  </w:r>
                </w:p>
              </w:tc>
              <w:tc>
                <w:tcPr>
                  <w:tcW w:w="775" w:type="pct"/>
                  <w:shd w:val="clear" w:color="auto" w:fill="auto"/>
                  <w:vAlign w:val="center"/>
                </w:tcPr>
                <w:p w14:paraId="1FB3237B">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2</w:t>
                  </w:r>
                </w:p>
              </w:tc>
              <w:tc>
                <w:tcPr>
                  <w:tcW w:w="0" w:type="auto"/>
                  <w:vAlign w:val="center"/>
                </w:tcPr>
                <w:p w14:paraId="58CA3CE8">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449D0CB9">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527530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2EFC24F2">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23177E5E">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6196A634">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12</w:t>
                  </w:r>
                </w:p>
              </w:tc>
              <w:tc>
                <w:tcPr>
                  <w:tcW w:w="1121" w:type="pct"/>
                  <w:shd w:val="clear" w:color="auto" w:fill="auto"/>
                  <w:vAlign w:val="center"/>
                </w:tcPr>
                <w:p w14:paraId="1A18902B">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涂层酸雾洗涤系统风机</w:t>
                  </w:r>
                </w:p>
              </w:tc>
              <w:tc>
                <w:tcPr>
                  <w:tcW w:w="775" w:type="pct"/>
                  <w:shd w:val="clear" w:color="auto" w:fill="auto"/>
                  <w:vAlign w:val="center"/>
                </w:tcPr>
                <w:p w14:paraId="69B10084">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1</w:t>
                  </w:r>
                </w:p>
              </w:tc>
              <w:tc>
                <w:tcPr>
                  <w:tcW w:w="0" w:type="auto"/>
                  <w:vAlign w:val="center"/>
                </w:tcPr>
                <w:p w14:paraId="1EEC5CEA">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0ED9040C">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73B633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17808DE3">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0738A9B7">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5BDE36D2">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13</w:t>
                  </w:r>
                </w:p>
              </w:tc>
              <w:tc>
                <w:tcPr>
                  <w:tcW w:w="1121" w:type="pct"/>
                  <w:shd w:val="clear" w:color="auto" w:fill="auto"/>
                  <w:vAlign w:val="center"/>
                </w:tcPr>
                <w:p w14:paraId="103AAD2F">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涂层酸雾洗涤系统水泵</w:t>
                  </w:r>
                </w:p>
              </w:tc>
              <w:tc>
                <w:tcPr>
                  <w:tcW w:w="775" w:type="pct"/>
                  <w:shd w:val="clear" w:color="auto" w:fill="auto"/>
                  <w:vAlign w:val="center"/>
                </w:tcPr>
                <w:p w14:paraId="1FCACA31">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2</w:t>
                  </w:r>
                </w:p>
              </w:tc>
              <w:tc>
                <w:tcPr>
                  <w:tcW w:w="0" w:type="auto"/>
                  <w:vAlign w:val="center"/>
                </w:tcPr>
                <w:p w14:paraId="48B680B6">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61D68987">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7E96AD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22A09902">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53A4EB55">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781BAC51">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14</w:t>
                  </w:r>
                </w:p>
              </w:tc>
              <w:tc>
                <w:tcPr>
                  <w:tcW w:w="1121" w:type="pct"/>
                  <w:shd w:val="clear" w:color="auto" w:fill="auto"/>
                  <w:vAlign w:val="center"/>
                </w:tcPr>
                <w:p w14:paraId="3362AF79">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热风干燥风机</w:t>
                  </w:r>
                </w:p>
              </w:tc>
              <w:tc>
                <w:tcPr>
                  <w:tcW w:w="775" w:type="pct"/>
                  <w:shd w:val="clear" w:color="auto" w:fill="auto"/>
                  <w:vAlign w:val="center"/>
                </w:tcPr>
                <w:p w14:paraId="430F432B">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2</w:t>
                  </w:r>
                </w:p>
              </w:tc>
              <w:tc>
                <w:tcPr>
                  <w:tcW w:w="0" w:type="auto"/>
                  <w:vAlign w:val="center"/>
                </w:tcPr>
                <w:p w14:paraId="41F968AB">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1E08D754">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21ED63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57EBEC1A">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07C65816">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120086C9">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15</w:t>
                  </w:r>
                </w:p>
              </w:tc>
              <w:tc>
                <w:tcPr>
                  <w:tcW w:w="1121" w:type="pct"/>
                  <w:shd w:val="clear" w:color="auto" w:fill="auto"/>
                  <w:vAlign w:val="center"/>
                </w:tcPr>
                <w:p w14:paraId="40916613">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DF助燃风机</w:t>
                  </w:r>
                </w:p>
              </w:tc>
              <w:tc>
                <w:tcPr>
                  <w:tcW w:w="775" w:type="pct"/>
                  <w:shd w:val="clear" w:color="auto" w:fill="auto"/>
                  <w:vAlign w:val="center"/>
                </w:tcPr>
                <w:p w14:paraId="79FC96FA">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1</w:t>
                  </w:r>
                </w:p>
              </w:tc>
              <w:tc>
                <w:tcPr>
                  <w:tcW w:w="0" w:type="auto"/>
                  <w:vAlign w:val="center"/>
                </w:tcPr>
                <w:p w14:paraId="70EE1B1C">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1D693AF4">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43998D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1A153B29">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1442F137">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379C1ECC">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16</w:t>
                  </w:r>
                </w:p>
              </w:tc>
              <w:tc>
                <w:tcPr>
                  <w:tcW w:w="1121" w:type="pct"/>
                  <w:shd w:val="clear" w:color="auto" w:fill="auto"/>
                  <w:vAlign w:val="center"/>
                </w:tcPr>
                <w:p w14:paraId="4914302A">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DF废气风机</w:t>
                  </w:r>
                </w:p>
              </w:tc>
              <w:tc>
                <w:tcPr>
                  <w:tcW w:w="775" w:type="pct"/>
                  <w:shd w:val="clear" w:color="auto" w:fill="auto"/>
                  <w:vAlign w:val="center"/>
                </w:tcPr>
                <w:p w14:paraId="2B295E88">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1</w:t>
                  </w:r>
                </w:p>
              </w:tc>
              <w:tc>
                <w:tcPr>
                  <w:tcW w:w="0" w:type="auto"/>
                  <w:vAlign w:val="center"/>
                </w:tcPr>
                <w:p w14:paraId="7197EE6B">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7D4FE17E">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7021C9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3CD9F50F">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723ABA1D">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190207F3">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17</w:t>
                  </w:r>
                </w:p>
              </w:tc>
              <w:tc>
                <w:tcPr>
                  <w:tcW w:w="1121" w:type="pct"/>
                  <w:shd w:val="clear" w:color="auto" w:fill="auto"/>
                  <w:vAlign w:val="center"/>
                </w:tcPr>
                <w:p w14:paraId="652DE429">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DF排气风机</w:t>
                  </w:r>
                </w:p>
              </w:tc>
              <w:tc>
                <w:tcPr>
                  <w:tcW w:w="775" w:type="pct"/>
                  <w:shd w:val="clear" w:color="auto" w:fill="auto"/>
                  <w:vAlign w:val="center"/>
                </w:tcPr>
                <w:p w14:paraId="64EA76D9">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2</w:t>
                  </w:r>
                </w:p>
              </w:tc>
              <w:tc>
                <w:tcPr>
                  <w:tcW w:w="0" w:type="auto"/>
                  <w:vAlign w:val="center"/>
                </w:tcPr>
                <w:p w14:paraId="17C4D607">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64D780B5">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332B0D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30D8AB87">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227EC5F4">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07AA289B">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18</w:t>
                  </w:r>
                </w:p>
              </w:tc>
              <w:tc>
                <w:tcPr>
                  <w:tcW w:w="1121" w:type="pct"/>
                  <w:shd w:val="clear" w:color="auto" w:fill="auto"/>
                  <w:vAlign w:val="center"/>
                </w:tcPr>
                <w:p w14:paraId="3AD0D261">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RTF助燃风机</w:t>
                  </w:r>
                </w:p>
              </w:tc>
              <w:tc>
                <w:tcPr>
                  <w:tcW w:w="775" w:type="pct"/>
                  <w:shd w:val="clear" w:color="auto" w:fill="auto"/>
                  <w:vAlign w:val="center"/>
                </w:tcPr>
                <w:p w14:paraId="61519BC2">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1</w:t>
                  </w:r>
                </w:p>
              </w:tc>
              <w:tc>
                <w:tcPr>
                  <w:tcW w:w="0" w:type="auto"/>
                  <w:vAlign w:val="center"/>
                </w:tcPr>
                <w:p w14:paraId="73316285">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5B9BE12A">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27F1AC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06868BC9">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3A25264A">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24388F0D">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19</w:t>
                  </w:r>
                </w:p>
              </w:tc>
              <w:tc>
                <w:tcPr>
                  <w:tcW w:w="1121" w:type="pct"/>
                  <w:shd w:val="clear" w:color="auto" w:fill="auto"/>
                  <w:vAlign w:val="center"/>
                </w:tcPr>
                <w:p w14:paraId="2E7B898E">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RTF排烟风机</w:t>
                  </w:r>
                </w:p>
              </w:tc>
              <w:tc>
                <w:tcPr>
                  <w:tcW w:w="775" w:type="pct"/>
                  <w:shd w:val="clear" w:color="auto" w:fill="auto"/>
                  <w:vAlign w:val="center"/>
                </w:tcPr>
                <w:p w14:paraId="56D8F0F8">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1</w:t>
                  </w:r>
                </w:p>
              </w:tc>
              <w:tc>
                <w:tcPr>
                  <w:tcW w:w="0" w:type="auto"/>
                  <w:vAlign w:val="center"/>
                </w:tcPr>
                <w:p w14:paraId="2E29A4C2">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1108FF3D">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54FC13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549EA2D7">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7C0F55E4">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27B6E6E5">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20</w:t>
                  </w:r>
                </w:p>
              </w:tc>
              <w:tc>
                <w:tcPr>
                  <w:tcW w:w="1121" w:type="pct"/>
                  <w:shd w:val="clear" w:color="auto" w:fill="auto"/>
                  <w:vAlign w:val="center"/>
                </w:tcPr>
                <w:p w14:paraId="437A2D69">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ATC排废风机</w:t>
                  </w:r>
                </w:p>
              </w:tc>
              <w:tc>
                <w:tcPr>
                  <w:tcW w:w="775" w:type="pct"/>
                  <w:shd w:val="clear" w:color="auto" w:fill="auto"/>
                  <w:vAlign w:val="center"/>
                </w:tcPr>
                <w:p w14:paraId="3D661F78">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5</w:t>
                  </w:r>
                </w:p>
              </w:tc>
              <w:tc>
                <w:tcPr>
                  <w:tcW w:w="0" w:type="auto"/>
                  <w:vAlign w:val="center"/>
                </w:tcPr>
                <w:p w14:paraId="7990DEB2">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1F9C33DA">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4CDBDC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2BC73A27">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49CDFF2D">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39F9693C">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21</w:t>
                  </w:r>
                </w:p>
              </w:tc>
              <w:tc>
                <w:tcPr>
                  <w:tcW w:w="1121" w:type="pct"/>
                  <w:shd w:val="clear" w:color="auto" w:fill="auto"/>
                  <w:vAlign w:val="center"/>
                </w:tcPr>
                <w:p w14:paraId="34D84B5D">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激光刻痕机</w:t>
                  </w:r>
                </w:p>
              </w:tc>
              <w:tc>
                <w:tcPr>
                  <w:tcW w:w="775" w:type="pct"/>
                  <w:shd w:val="clear" w:color="auto" w:fill="auto"/>
                  <w:vAlign w:val="center"/>
                </w:tcPr>
                <w:p w14:paraId="787F6EB7">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1</w:t>
                  </w:r>
                </w:p>
              </w:tc>
              <w:tc>
                <w:tcPr>
                  <w:tcW w:w="0" w:type="auto"/>
                  <w:vAlign w:val="center"/>
                </w:tcPr>
                <w:p w14:paraId="4C99731D">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85</w:t>
                  </w:r>
                </w:p>
              </w:tc>
              <w:tc>
                <w:tcPr>
                  <w:tcW w:w="0" w:type="auto"/>
                  <w:vAlign w:val="center"/>
                </w:tcPr>
                <w:p w14:paraId="1B14E994">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23B3D3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5F24D0E1">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restart"/>
                  <w:vAlign w:val="center"/>
                </w:tcPr>
                <w:p w14:paraId="2ADD2A1E">
                  <w:pPr>
                    <w:topLinePunct/>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2"/>
                      <w:sz w:val="18"/>
                      <w:szCs w:val="18"/>
                      <w:highlight w:val="none"/>
                      <w:lang w:val="en-US" w:eastAsia="zh-CN"/>
                    </w:rPr>
                    <w:t>重卷剪切机组（CSL）</w:t>
                  </w:r>
                </w:p>
              </w:tc>
              <w:tc>
                <w:tcPr>
                  <w:tcW w:w="0" w:type="auto"/>
                  <w:vAlign w:val="center"/>
                </w:tcPr>
                <w:p w14:paraId="7C288940">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w:t>
                  </w:r>
                </w:p>
              </w:tc>
              <w:tc>
                <w:tcPr>
                  <w:tcW w:w="1121" w:type="pct"/>
                  <w:shd w:val="clear" w:color="auto" w:fill="auto"/>
                  <w:vAlign w:val="center"/>
                </w:tcPr>
                <w:p w14:paraId="32284F46">
                  <w:pPr>
                    <w:adjustRightInd w:val="0"/>
                    <w:snapToGrid w:val="0"/>
                    <w:jc w:val="center"/>
                    <w:textAlignment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lang w:val="en-US" w:eastAsia="zh-CN"/>
                    </w:rPr>
                    <w:t>开卷机</w:t>
                  </w:r>
                </w:p>
              </w:tc>
              <w:tc>
                <w:tcPr>
                  <w:tcW w:w="775" w:type="pct"/>
                  <w:shd w:val="clear" w:color="auto" w:fill="auto"/>
                  <w:vAlign w:val="center"/>
                </w:tcPr>
                <w:p w14:paraId="6BB445B7">
                  <w:pPr>
                    <w:adjustRightInd w:val="0"/>
                    <w:snapToGrid w:val="0"/>
                    <w:jc w:val="center"/>
                    <w:textAlignment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lang w:val="en-US" w:eastAsia="zh-CN"/>
                    </w:rPr>
                    <w:t>1</w:t>
                  </w:r>
                </w:p>
              </w:tc>
              <w:tc>
                <w:tcPr>
                  <w:tcW w:w="0" w:type="auto"/>
                  <w:vAlign w:val="center"/>
                </w:tcPr>
                <w:p w14:paraId="050351CC">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85</w:t>
                  </w:r>
                </w:p>
              </w:tc>
              <w:tc>
                <w:tcPr>
                  <w:tcW w:w="0" w:type="auto"/>
                  <w:vAlign w:val="center"/>
                </w:tcPr>
                <w:p w14:paraId="7C3FA9C9">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1B1BF7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5287FA73">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2B4192E6">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4871243F">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2</w:t>
                  </w:r>
                </w:p>
              </w:tc>
              <w:tc>
                <w:tcPr>
                  <w:tcW w:w="1121" w:type="pct"/>
                  <w:shd w:val="clear" w:color="auto" w:fill="auto"/>
                  <w:vAlign w:val="center"/>
                </w:tcPr>
                <w:p w14:paraId="16FD3636">
                  <w:pPr>
                    <w:adjustRightInd w:val="0"/>
                    <w:snapToGrid w:val="0"/>
                    <w:jc w:val="center"/>
                    <w:textAlignment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lang w:val="en-US" w:eastAsia="zh-CN"/>
                    </w:rPr>
                    <w:t>切头机</w:t>
                  </w:r>
                </w:p>
              </w:tc>
              <w:tc>
                <w:tcPr>
                  <w:tcW w:w="775" w:type="pct"/>
                  <w:shd w:val="clear" w:color="auto" w:fill="auto"/>
                  <w:vAlign w:val="center"/>
                </w:tcPr>
                <w:p w14:paraId="67D37CB0">
                  <w:pPr>
                    <w:adjustRightInd w:val="0"/>
                    <w:snapToGrid w:val="0"/>
                    <w:jc w:val="center"/>
                    <w:textAlignment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lang w:val="en-US" w:eastAsia="zh-CN"/>
                    </w:rPr>
                    <w:t>1</w:t>
                  </w:r>
                </w:p>
              </w:tc>
              <w:tc>
                <w:tcPr>
                  <w:tcW w:w="0" w:type="auto"/>
                  <w:vAlign w:val="center"/>
                </w:tcPr>
                <w:p w14:paraId="1F107D4D">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85</w:t>
                  </w:r>
                </w:p>
              </w:tc>
              <w:tc>
                <w:tcPr>
                  <w:tcW w:w="0" w:type="auto"/>
                  <w:vAlign w:val="center"/>
                </w:tcPr>
                <w:p w14:paraId="13AFEEE8">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7F6FDB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13EC6715">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5E87DEB2">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05A36B65">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3</w:t>
                  </w:r>
                </w:p>
              </w:tc>
              <w:tc>
                <w:tcPr>
                  <w:tcW w:w="1121" w:type="pct"/>
                  <w:shd w:val="clear" w:color="auto" w:fill="auto"/>
                  <w:vAlign w:val="center"/>
                </w:tcPr>
                <w:p w14:paraId="7A868714">
                  <w:pPr>
                    <w:adjustRightInd w:val="0"/>
                    <w:snapToGrid w:val="0"/>
                    <w:jc w:val="center"/>
                    <w:textAlignment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lang w:val="en-US" w:eastAsia="zh-CN"/>
                    </w:rPr>
                    <w:t>出口剪</w:t>
                  </w:r>
                </w:p>
              </w:tc>
              <w:tc>
                <w:tcPr>
                  <w:tcW w:w="775" w:type="pct"/>
                  <w:shd w:val="clear" w:color="auto" w:fill="auto"/>
                  <w:vAlign w:val="center"/>
                </w:tcPr>
                <w:p w14:paraId="550AF622">
                  <w:pPr>
                    <w:adjustRightInd w:val="0"/>
                    <w:snapToGrid w:val="0"/>
                    <w:jc w:val="center"/>
                    <w:textAlignment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lang w:val="en-US" w:eastAsia="zh-CN"/>
                    </w:rPr>
                    <w:t>1</w:t>
                  </w:r>
                </w:p>
              </w:tc>
              <w:tc>
                <w:tcPr>
                  <w:tcW w:w="0" w:type="auto"/>
                  <w:vAlign w:val="center"/>
                </w:tcPr>
                <w:p w14:paraId="393E03F4">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5B7B22A2">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16D38B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2EEC2410">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26D6B219">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49B4FF5F">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4</w:t>
                  </w:r>
                </w:p>
              </w:tc>
              <w:tc>
                <w:tcPr>
                  <w:tcW w:w="1121" w:type="pct"/>
                  <w:shd w:val="clear" w:color="auto" w:fill="auto"/>
                  <w:vAlign w:val="center"/>
                </w:tcPr>
                <w:p w14:paraId="6FA7B112">
                  <w:pPr>
                    <w:adjustRightInd w:val="0"/>
                    <w:snapToGrid w:val="0"/>
                    <w:jc w:val="center"/>
                    <w:textAlignment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lang w:val="en-US" w:eastAsia="zh-CN"/>
                    </w:rPr>
                    <w:t>卷取机</w:t>
                  </w:r>
                </w:p>
              </w:tc>
              <w:tc>
                <w:tcPr>
                  <w:tcW w:w="775" w:type="pct"/>
                  <w:shd w:val="clear" w:color="auto" w:fill="auto"/>
                  <w:vAlign w:val="center"/>
                </w:tcPr>
                <w:p w14:paraId="4575E9EA">
                  <w:pPr>
                    <w:adjustRightInd w:val="0"/>
                    <w:snapToGrid w:val="0"/>
                    <w:jc w:val="center"/>
                    <w:textAlignment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lang w:val="en-US" w:eastAsia="zh-CN"/>
                    </w:rPr>
                    <w:t>1</w:t>
                  </w:r>
                </w:p>
              </w:tc>
              <w:tc>
                <w:tcPr>
                  <w:tcW w:w="0" w:type="auto"/>
                  <w:vAlign w:val="center"/>
                </w:tcPr>
                <w:p w14:paraId="09A1E4CB">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85</w:t>
                  </w:r>
                </w:p>
              </w:tc>
              <w:tc>
                <w:tcPr>
                  <w:tcW w:w="0" w:type="auto"/>
                  <w:vAlign w:val="center"/>
                </w:tcPr>
                <w:p w14:paraId="62F6EB56">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01F4E4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72622777">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2FDA468B">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25732F79">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5</w:t>
                  </w:r>
                </w:p>
              </w:tc>
              <w:tc>
                <w:tcPr>
                  <w:tcW w:w="1121" w:type="pct"/>
                  <w:shd w:val="clear" w:color="auto" w:fill="auto"/>
                  <w:vAlign w:val="center"/>
                </w:tcPr>
                <w:p w14:paraId="127BCA39">
                  <w:pPr>
                    <w:adjustRightInd w:val="0"/>
                    <w:snapToGrid w:val="0"/>
                    <w:jc w:val="center"/>
                    <w:textAlignment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lang w:val="en-US" w:eastAsia="zh-CN"/>
                    </w:rPr>
                    <w:t>液压主泵</w:t>
                  </w:r>
                </w:p>
              </w:tc>
              <w:tc>
                <w:tcPr>
                  <w:tcW w:w="775" w:type="pct"/>
                  <w:shd w:val="clear" w:color="auto" w:fill="auto"/>
                  <w:vAlign w:val="center"/>
                </w:tcPr>
                <w:p w14:paraId="5A03E87E">
                  <w:pPr>
                    <w:adjustRightInd w:val="0"/>
                    <w:snapToGrid w:val="0"/>
                    <w:jc w:val="center"/>
                    <w:textAlignment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lang w:val="en-US" w:eastAsia="zh-CN"/>
                    </w:rPr>
                    <w:t>3</w:t>
                  </w:r>
                </w:p>
              </w:tc>
              <w:tc>
                <w:tcPr>
                  <w:tcW w:w="0" w:type="auto"/>
                  <w:vAlign w:val="center"/>
                </w:tcPr>
                <w:p w14:paraId="736A7021">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3A4AA6D4">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1836E0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5ED8754F">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002FD8CE">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50E0B3C3">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6</w:t>
                  </w:r>
                </w:p>
              </w:tc>
              <w:tc>
                <w:tcPr>
                  <w:tcW w:w="1121" w:type="pct"/>
                  <w:shd w:val="clear" w:color="auto" w:fill="auto"/>
                  <w:vAlign w:val="center"/>
                </w:tcPr>
                <w:p w14:paraId="248D6934">
                  <w:pPr>
                    <w:adjustRightInd w:val="0"/>
                    <w:snapToGrid w:val="0"/>
                    <w:jc w:val="center"/>
                    <w:textAlignment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lang w:val="en-US" w:eastAsia="zh-CN"/>
                    </w:rPr>
                    <w:t>稀油主泵</w:t>
                  </w:r>
                </w:p>
              </w:tc>
              <w:tc>
                <w:tcPr>
                  <w:tcW w:w="775" w:type="pct"/>
                  <w:shd w:val="clear" w:color="auto" w:fill="auto"/>
                  <w:vAlign w:val="center"/>
                </w:tcPr>
                <w:p w14:paraId="6AFE0B6E">
                  <w:pPr>
                    <w:adjustRightInd w:val="0"/>
                    <w:snapToGrid w:val="0"/>
                    <w:jc w:val="center"/>
                    <w:textAlignment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lang w:val="en-US" w:eastAsia="zh-CN"/>
                    </w:rPr>
                    <w:t>2</w:t>
                  </w:r>
                </w:p>
              </w:tc>
              <w:tc>
                <w:tcPr>
                  <w:tcW w:w="0" w:type="auto"/>
                  <w:vAlign w:val="center"/>
                </w:tcPr>
                <w:p w14:paraId="660A0030">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79C1A867">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50360E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8" w:type="pct"/>
                  <w:vMerge w:val="continue"/>
                  <w:vAlign w:val="center"/>
                </w:tcPr>
                <w:p w14:paraId="0819DC0D">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restart"/>
                  <w:shd w:val="clear" w:color="auto" w:fill="auto"/>
                  <w:vAlign w:val="center"/>
                </w:tcPr>
                <w:p w14:paraId="76C706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rPr>
                    <w:t>半自动包装机组（PL）</w:t>
                  </w:r>
                </w:p>
              </w:tc>
              <w:tc>
                <w:tcPr>
                  <w:tcW w:w="0" w:type="auto"/>
                  <w:vAlign w:val="center"/>
                </w:tcPr>
                <w:p w14:paraId="6371B429">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w:t>
                  </w:r>
                </w:p>
              </w:tc>
              <w:tc>
                <w:tcPr>
                  <w:tcW w:w="1121" w:type="pct"/>
                  <w:shd w:val="clear" w:color="auto" w:fill="auto"/>
                  <w:vAlign w:val="center"/>
                </w:tcPr>
                <w:p w14:paraId="2F402877">
                  <w:pPr>
                    <w:adjustRightInd w:val="0"/>
                    <w:snapToGrid w:val="0"/>
                    <w:jc w:val="center"/>
                    <w:textAlignment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lang w:val="en-US" w:eastAsia="zh-CN"/>
                    </w:rPr>
                    <w:t>提升机</w:t>
                  </w:r>
                </w:p>
              </w:tc>
              <w:tc>
                <w:tcPr>
                  <w:tcW w:w="775" w:type="pct"/>
                  <w:shd w:val="clear" w:color="auto" w:fill="auto"/>
                  <w:vAlign w:val="center"/>
                </w:tcPr>
                <w:p w14:paraId="56227B45">
                  <w:pPr>
                    <w:adjustRightInd w:val="0"/>
                    <w:snapToGrid w:val="0"/>
                    <w:jc w:val="center"/>
                    <w:textAlignment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lang w:val="en-US" w:eastAsia="zh-CN"/>
                    </w:rPr>
                    <w:t>1</w:t>
                  </w:r>
                </w:p>
              </w:tc>
              <w:tc>
                <w:tcPr>
                  <w:tcW w:w="0" w:type="auto"/>
                  <w:vAlign w:val="center"/>
                </w:tcPr>
                <w:p w14:paraId="3E3EC3BE">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0A06825F">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52F195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32B13DE3">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0F0996EA">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0D1B302B">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2</w:t>
                  </w:r>
                </w:p>
              </w:tc>
              <w:tc>
                <w:tcPr>
                  <w:tcW w:w="1121" w:type="pct"/>
                  <w:shd w:val="clear" w:color="auto" w:fill="auto"/>
                  <w:vAlign w:val="center"/>
                </w:tcPr>
                <w:p w14:paraId="45F90773">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lang w:val="en-US" w:eastAsia="zh-CN"/>
                    </w:rPr>
                    <w:t>剪切机</w:t>
                  </w:r>
                </w:p>
              </w:tc>
              <w:tc>
                <w:tcPr>
                  <w:tcW w:w="775" w:type="pct"/>
                  <w:shd w:val="clear" w:color="auto" w:fill="auto"/>
                  <w:vAlign w:val="center"/>
                </w:tcPr>
                <w:p w14:paraId="307172C4">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lang w:val="en-US" w:eastAsia="zh-CN"/>
                    </w:rPr>
                    <w:t>1</w:t>
                  </w:r>
                </w:p>
              </w:tc>
              <w:tc>
                <w:tcPr>
                  <w:tcW w:w="0" w:type="auto"/>
                  <w:shd w:val="clear" w:color="auto" w:fill="auto"/>
                  <w:vAlign w:val="center"/>
                </w:tcPr>
                <w:p w14:paraId="05622A36">
                  <w:pPr>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90</w:t>
                  </w:r>
                </w:p>
              </w:tc>
              <w:tc>
                <w:tcPr>
                  <w:tcW w:w="0" w:type="auto"/>
                  <w:shd w:val="clear" w:color="auto" w:fill="auto"/>
                  <w:vAlign w:val="center"/>
                </w:tcPr>
                <w:p w14:paraId="28BDB8D4">
                  <w:pPr>
                    <w:topLinePunct/>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57DA95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8" w:type="pct"/>
                  <w:vMerge w:val="continue"/>
                  <w:vAlign w:val="center"/>
                </w:tcPr>
                <w:p w14:paraId="3031F345">
                  <w:pPr>
                    <w:topLinePunct/>
                    <w:adjustRightInd w:val="0"/>
                    <w:snapToGrid w:val="0"/>
                    <w:jc w:val="center"/>
                    <w:rPr>
                      <w:rFonts w:hint="default" w:ascii="Times New Roman" w:hAnsi="Times New Roman" w:cs="Times New Roman"/>
                      <w:color w:val="auto"/>
                      <w:kern w:val="0"/>
                      <w:sz w:val="18"/>
                      <w:szCs w:val="18"/>
                      <w:highlight w:val="none"/>
                    </w:rPr>
                  </w:pPr>
                </w:p>
              </w:tc>
              <w:tc>
                <w:tcPr>
                  <w:tcW w:w="539" w:type="pct"/>
                  <w:vMerge w:val="continue"/>
                  <w:vAlign w:val="center"/>
                </w:tcPr>
                <w:p w14:paraId="243D35FB">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792A79E1">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3</w:t>
                  </w:r>
                </w:p>
              </w:tc>
              <w:tc>
                <w:tcPr>
                  <w:tcW w:w="1121" w:type="pct"/>
                  <w:shd w:val="clear" w:color="auto" w:fill="auto"/>
                  <w:vAlign w:val="center"/>
                </w:tcPr>
                <w:p w14:paraId="4945A5EF">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lang w:val="en-US" w:eastAsia="zh-CN"/>
                    </w:rPr>
                    <w:t>打捆机</w:t>
                  </w:r>
                </w:p>
              </w:tc>
              <w:tc>
                <w:tcPr>
                  <w:tcW w:w="775" w:type="pct"/>
                  <w:shd w:val="clear" w:color="auto" w:fill="auto"/>
                  <w:vAlign w:val="center"/>
                </w:tcPr>
                <w:p w14:paraId="00155417">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lang w:val="en-US" w:eastAsia="zh-CN"/>
                    </w:rPr>
                    <w:t>1</w:t>
                  </w:r>
                </w:p>
              </w:tc>
              <w:tc>
                <w:tcPr>
                  <w:tcW w:w="0" w:type="auto"/>
                  <w:shd w:val="clear" w:color="auto" w:fill="auto"/>
                  <w:vAlign w:val="center"/>
                </w:tcPr>
                <w:p w14:paraId="18D80904">
                  <w:pPr>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85</w:t>
                  </w:r>
                </w:p>
              </w:tc>
              <w:tc>
                <w:tcPr>
                  <w:tcW w:w="0" w:type="auto"/>
                  <w:shd w:val="clear" w:color="auto" w:fill="auto"/>
                  <w:vAlign w:val="center"/>
                </w:tcPr>
                <w:p w14:paraId="2927AE8E">
                  <w:pPr>
                    <w:topLinePunct/>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229FDB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857" w:type="pct"/>
                  <w:gridSpan w:val="2"/>
                  <w:vMerge w:val="restart"/>
                  <w:vAlign w:val="center"/>
                </w:tcPr>
                <w:p w14:paraId="73025807">
                  <w:pPr>
                    <w:topLinePunct/>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lang w:val="en-US" w:eastAsia="zh-CN"/>
                    </w:rPr>
                    <w:t>铁芯车间</w:t>
                  </w:r>
                </w:p>
              </w:tc>
              <w:tc>
                <w:tcPr>
                  <w:tcW w:w="0" w:type="auto"/>
                  <w:vAlign w:val="center"/>
                </w:tcPr>
                <w:p w14:paraId="0CC89634">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w:t>
                  </w:r>
                </w:p>
              </w:tc>
              <w:tc>
                <w:tcPr>
                  <w:tcW w:w="1121" w:type="pct"/>
                  <w:shd w:val="clear" w:color="auto" w:fill="auto"/>
                  <w:vAlign w:val="center"/>
                </w:tcPr>
                <w:p w14:paraId="6F5DAB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rPr>
                    <w:t>纵剪</w:t>
                  </w:r>
                </w:p>
              </w:tc>
              <w:tc>
                <w:tcPr>
                  <w:tcW w:w="775" w:type="pct"/>
                  <w:shd w:val="clear" w:color="auto" w:fill="auto"/>
                  <w:vAlign w:val="center"/>
                </w:tcPr>
                <w:p w14:paraId="038283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rPr>
                    <w:t>2</w:t>
                  </w:r>
                </w:p>
              </w:tc>
              <w:tc>
                <w:tcPr>
                  <w:tcW w:w="0" w:type="auto"/>
                  <w:vAlign w:val="center"/>
                </w:tcPr>
                <w:p w14:paraId="61FDEBB8">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38698942">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0E7791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57" w:type="pct"/>
                  <w:gridSpan w:val="2"/>
                  <w:vMerge w:val="continue"/>
                  <w:vAlign w:val="center"/>
                </w:tcPr>
                <w:p w14:paraId="4C0281D9">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060C7781">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2</w:t>
                  </w:r>
                </w:p>
              </w:tc>
              <w:tc>
                <w:tcPr>
                  <w:tcW w:w="1121" w:type="pct"/>
                  <w:shd w:val="clear" w:color="auto" w:fill="auto"/>
                  <w:vAlign w:val="center"/>
                </w:tcPr>
                <w:p w14:paraId="5E0402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rPr>
                    <w:t>横剪</w:t>
                  </w:r>
                </w:p>
              </w:tc>
              <w:tc>
                <w:tcPr>
                  <w:tcW w:w="775" w:type="pct"/>
                  <w:shd w:val="clear" w:color="auto" w:fill="auto"/>
                  <w:vAlign w:val="center"/>
                </w:tcPr>
                <w:p w14:paraId="2CC151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rPr>
                    <w:t>6</w:t>
                  </w:r>
                </w:p>
              </w:tc>
              <w:tc>
                <w:tcPr>
                  <w:tcW w:w="0" w:type="auto"/>
                  <w:vAlign w:val="center"/>
                </w:tcPr>
                <w:p w14:paraId="1FD500E9">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211FE364">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40EBD5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57" w:type="pct"/>
                  <w:gridSpan w:val="2"/>
                  <w:vMerge w:val="continue"/>
                  <w:vAlign w:val="center"/>
                </w:tcPr>
                <w:p w14:paraId="725A386F">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12147FAC">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3</w:t>
                  </w:r>
                </w:p>
              </w:tc>
              <w:tc>
                <w:tcPr>
                  <w:tcW w:w="1121" w:type="pct"/>
                  <w:shd w:val="clear" w:color="auto" w:fill="auto"/>
                  <w:vAlign w:val="center"/>
                </w:tcPr>
                <w:p w14:paraId="1DFDE0D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rPr>
                    <w:t>横剪</w:t>
                  </w:r>
                </w:p>
              </w:tc>
              <w:tc>
                <w:tcPr>
                  <w:tcW w:w="775" w:type="pct"/>
                  <w:shd w:val="clear" w:color="auto" w:fill="auto"/>
                  <w:vAlign w:val="center"/>
                </w:tcPr>
                <w:p w14:paraId="197A67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rPr>
                    <w:t>2</w:t>
                  </w:r>
                </w:p>
              </w:tc>
              <w:tc>
                <w:tcPr>
                  <w:tcW w:w="0" w:type="auto"/>
                  <w:vAlign w:val="center"/>
                </w:tcPr>
                <w:p w14:paraId="5B37C574">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5DE5C0A9">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56131C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57" w:type="pct"/>
                  <w:gridSpan w:val="2"/>
                  <w:vMerge w:val="continue"/>
                  <w:vAlign w:val="center"/>
                </w:tcPr>
                <w:p w14:paraId="39793F59">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7B7D4549">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4</w:t>
                  </w:r>
                </w:p>
              </w:tc>
              <w:tc>
                <w:tcPr>
                  <w:tcW w:w="1121" w:type="pct"/>
                  <w:shd w:val="clear" w:color="auto" w:fill="auto"/>
                  <w:vAlign w:val="center"/>
                </w:tcPr>
                <w:p w14:paraId="20A3F4E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rPr>
                    <w:t>横剪</w:t>
                  </w:r>
                </w:p>
              </w:tc>
              <w:tc>
                <w:tcPr>
                  <w:tcW w:w="775" w:type="pct"/>
                  <w:shd w:val="clear" w:color="auto" w:fill="auto"/>
                  <w:vAlign w:val="center"/>
                </w:tcPr>
                <w:p w14:paraId="0F4184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rPr>
                    <w:t>1</w:t>
                  </w:r>
                </w:p>
              </w:tc>
              <w:tc>
                <w:tcPr>
                  <w:tcW w:w="0" w:type="auto"/>
                  <w:vAlign w:val="center"/>
                </w:tcPr>
                <w:p w14:paraId="6DE45838">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7D2FCD1B">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240D9E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57" w:type="pct"/>
                  <w:gridSpan w:val="2"/>
                  <w:vMerge w:val="continue"/>
                  <w:vAlign w:val="center"/>
                </w:tcPr>
                <w:p w14:paraId="133D6F29">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09B5486D">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5</w:t>
                  </w:r>
                </w:p>
              </w:tc>
              <w:tc>
                <w:tcPr>
                  <w:tcW w:w="1121" w:type="pct"/>
                  <w:shd w:val="clear" w:color="auto" w:fill="auto"/>
                  <w:vAlign w:val="center"/>
                </w:tcPr>
                <w:p w14:paraId="2239698E">
                  <w:pPr>
                    <w:adjustRightInd w:val="0"/>
                    <w:snapToGrid w:val="0"/>
                    <w:jc w:val="center"/>
                    <w:textAlignment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lang w:val="en-US" w:eastAsia="zh-CN"/>
                    </w:rPr>
                    <w:t>空压机组</w:t>
                  </w:r>
                </w:p>
              </w:tc>
              <w:tc>
                <w:tcPr>
                  <w:tcW w:w="775" w:type="pct"/>
                  <w:shd w:val="clear" w:color="auto" w:fill="auto"/>
                  <w:vAlign w:val="center"/>
                </w:tcPr>
                <w:p w14:paraId="5D749764">
                  <w:pPr>
                    <w:adjustRightInd w:val="0"/>
                    <w:snapToGrid w:val="0"/>
                    <w:jc w:val="center"/>
                    <w:textAlignment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lang w:val="en-US" w:eastAsia="zh-CN"/>
                    </w:rPr>
                    <w:t>1</w:t>
                  </w:r>
                </w:p>
              </w:tc>
              <w:tc>
                <w:tcPr>
                  <w:tcW w:w="0" w:type="auto"/>
                  <w:vAlign w:val="center"/>
                </w:tcPr>
                <w:p w14:paraId="26477C4E">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100</w:t>
                  </w:r>
                </w:p>
              </w:tc>
              <w:tc>
                <w:tcPr>
                  <w:tcW w:w="0" w:type="auto"/>
                  <w:vAlign w:val="center"/>
                </w:tcPr>
                <w:p w14:paraId="1A8B0D38">
                  <w:pPr>
                    <w:topLinePunct/>
                    <w:adjustRightInd w:val="0"/>
                    <w:snapToGrid w:val="0"/>
                    <w:jc w:val="center"/>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406C8D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57" w:type="pct"/>
                  <w:gridSpan w:val="2"/>
                  <w:vMerge w:val="restart"/>
                  <w:vAlign w:val="center"/>
                </w:tcPr>
                <w:p w14:paraId="4D3047AB">
                  <w:pPr>
                    <w:topLinePunct/>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lang w:val="en-US" w:eastAsia="zh-CN"/>
                    </w:rPr>
                    <w:t>公辅工程</w:t>
                  </w:r>
                </w:p>
              </w:tc>
              <w:tc>
                <w:tcPr>
                  <w:tcW w:w="0" w:type="auto"/>
                  <w:vAlign w:val="center"/>
                </w:tcPr>
                <w:p w14:paraId="05B63DEE">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w:t>
                  </w:r>
                </w:p>
              </w:tc>
              <w:tc>
                <w:tcPr>
                  <w:tcW w:w="1121" w:type="pct"/>
                  <w:shd w:val="clear" w:color="auto" w:fill="auto"/>
                  <w:vAlign w:val="center"/>
                </w:tcPr>
                <w:p w14:paraId="494213C4">
                  <w:pPr>
                    <w:adjustRightInd w:val="0"/>
                    <w:snapToGrid w:val="0"/>
                    <w:jc w:val="center"/>
                    <w:textAlignment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lang w:val="en-US" w:eastAsia="zh-CN"/>
                    </w:rPr>
                    <w:t>泵类</w:t>
                  </w:r>
                </w:p>
              </w:tc>
              <w:tc>
                <w:tcPr>
                  <w:tcW w:w="775" w:type="pct"/>
                  <w:shd w:val="clear" w:color="auto" w:fill="auto"/>
                  <w:vAlign w:val="center"/>
                </w:tcPr>
                <w:p w14:paraId="71FC3FB8">
                  <w:pPr>
                    <w:adjustRightInd w:val="0"/>
                    <w:snapToGrid w:val="0"/>
                    <w:jc w:val="center"/>
                    <w:textAlignment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lang w:val="en-US" w:eastAsia="zh-CN"/>
                    </w:rPr>
                    <w:t>10</w:t>
                  </w:r>
                </w:p>
              </w:tc>
              <w:tc>
                <w:tcPr>
                  <w:tcW w:w="0" w:type="auto"/>
                  <w:vAlign w:val="center"/>
                </w:tcPr>
                <w:p w14:paraId="21BEA3CA">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6999BA4E">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08002D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857" w:type="pct"/>
                  <w:gridSpan w:val="2"/>
                  <w:vMerge w:val="continue"/>
                  <w:vAlign w:val="center"/>
                </w:tcPr>
                <w:p w14:paraId="666FED3A">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620481DD">
                  <w:pPr>
                    <w:jc w:val="center"/>
                    <w:rPr>
                      <w:rFonts w:hint="default" w:ascii="Times New Roman" w:hAnsi="Times New Roman" w:cs="Times New Roman"/>
                      <w:bCs/>
                      <w:color w:val="auto"/>
                      <w:sz w:val="18"/>
                      <w:szCs w:val="18"/>
                      <w:highlight w:val="none"/>
                      <w:lang w:val="en-US" w:eastAsia="zh-CN"/>
                    </w:rPr>
                  </w:pPr>
                  <w:r>
                    <w:rPr>
                      <w:rFonts w:hint="eastAsia" w:cs="Times New Roman"/>
                      <w:bCs/>
                      <w:color w:val="auto"/>
                      <w:sz w:val="18"/>
                      <w:szCs w:val="18"/>
                      <w:highlight w:val="none"/>
                      <w:lang w:val="en-US" w:eastAsia="zh-CN"/>
                    </w:rPr>
                    <w:t>2</w:t>
                  </w:r>
                </w:p>
              </w:tc>
              <w:tc>
                <w:tcPr>
                  <w:tcW w:w="1121" w:type="pct"/>
                  <w:shd w:val="clear" w:color="auto" w:fill="auto"/>
                  <w:vAlign w:val="center"/>
                </w:tcPr>
                <w:p w14:paraId="7A5EB887">
                  <w:pPr>
                    <w:adjustRightInd w:val="0"/>
                    <w:snapToGrid w:val="0"/>
                    <w:jc w:val="center"/>
                    <w:textAlignment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lang w:val="en-US" w:eastAsia="zh-CN"/>
                    </w:rPr>
                    <w:t>风机</w:t>
                  </w:r>
                </w:p>
              </w:tc>
              <w:tc>
                <w:tcPr>
                  <w:tcW w:w="775" w:type="pct"/>
                  <w:shd w:val="clear" w:color="auto" w:fill="auto"/>
                  <w:vAlign w:val="center"/>
                </w:tcPr>
                <w:p w14:paraId="6C4CBB88">
                  <w:pPr>
                    <w:adjustRightInd w:val="0"/>
                    <w:snapToGrid w:val="0"/>
                    <w:jc w:val="center"/>
                    <w:textAlignment w:val="center"/>
                    <w:rPr>
                      <w:rFonts w:hint="default" w:ascii="Times New Roman" w:hAnsi="Times New Roman" w:cs="Times New Roman" w:eastAsiaTheme="minorEastAsia"/>
                      <w:color w:val="auto"/>
                      <w:sz w:val="18"/>
                      <w:szCs w:val="18"/>
                      <w:lang w:val="en-US" w:eastAsia="zh-CN"/>
                    </w:rPr>
                  </w:pPr>
                  <w:r>
                    <w:rPr>
                      <w:rFonts w:hint="eastAsia" w:cs="Times New Roman" w:eastAsiaTheme="minorEastAsia"/>
                      <w:color w:val="auto"/>
                      <w:sz w:val="18"/>
                      <w:szCs w:val="18"/>
                      <w:lang w:val="en-US" w:eastAsia="zh-CN"/>
                    </w:rPr>
                    <w:t>1</w:t>
                  </w:r>
                </w:p>
              </w:tc>
              <w:tc>
                <w:tcPr>
                  <w:tcW w:w="0" w:type="auto"/>
                  <w:vAlign w:val="center"/>
                </w:tcPr>
                <w:p w14:paraId="514D1A9C">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90</w:t>
                  </w:r>
                </w:p>
              </w:tc>
              <w:tc>
                <w:tcPr>
                  <w:tcW w:w="0" w:type="auto"/>
                  <w:vAlign w:val="center"/>
                </w:tcPr>
                <w:p w14:paraId="72FE642A">
                  <w:pPr>
                    <w:topLinePunct/>
                    <w:adjustRightInd w:val="0"/>
                    <w:snapToGrid w:val="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消声</w:t>
                  </w:r>
                </w:p>
              </w:tc>
            </w:tr>
            <w:tr w14:paraId="622014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57" w:type="pct"/>
                  <w:gridSpan w:val="2"/>
                  <w:vMerge w:val="continue"/>
                  <w:vAlign w:val="center"/>
                </w:tcPr>
                <w:p w14:paraId="443AF106">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04AEDC71">
                  <w:pPr>
                    <w:jc w:val="center"/>
                    <w:rPr>
                      <w:rFonts w:hint="default" w:ascii="Times New Roman" w:hAnsi="Times New Roman" w:cs="Times New Roman"/>
                      <w:bCs/>
                      <w:color w:val="auto"/>
                      <w:sz w:val="18"/>
                      <w:szCs w:val="18"/>
                      <w:highlight w:val="none"/>
                      <w:lang w:val="en-US" w:eastAsia="zh-CN"/>
                    </w:rPr>
                  </w:pPr>
                  <w:r>
                    <w:rPr>
                      <w:rFonts w:hint="eastAsia" w:cs="Times New Roman"/>
                      <w:bCs/>
                      <w:color w:val="auto"/>
                      <w:sz w:val="18"/>
                      <w:szCs w:val="18"/>
                      <w:highlight w:val="none"/>
                      <w:lang w:val="en-US" w:eastAsia="zh-CN"/>
                    </w:rPr>
                    <w:t>3</w:t>
                  </w:r>
                </w:p>
              </w:tc>
              <w:tc>
                <w:tcPr>
                  <w:tcW w:w="1121" w:type="pct"/>
                  <w:shd w:val="clear" w:color="auto" w:fill="auto"/>
                  <w:vAlign w:val="center"/>
                </w:tcPr>
                <w:p w14:paraId="1570F3EF">
                  <w:pPr>
                    <w:adjustRightInd w:val="0"/>
                    <w:snapToGrid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cs="Times New Roman" w:eastAsiaTheme="minorEastAsia"/>
                      <w:color w:val="auto"/>
                      <w:sz w:val="18"/>
                      <w:szCs w:val="18"/>
                      <w:lang w:val="en-US" w:eastAsia="zh-CN"/>
                    </w:rPr>
                    <w:t>空压站空压机</w:t>
                  </w:r>
                </w:p>
              </w:tc>
              <w:tc>
                <w:tcPr>
                  <w:tcW w:w="775" w:type="pct"/>
                  <w:shd w:val="clear" w:color="auto" w:fill="auto"/>
                  <w:vAlign w:val="center"/>
                </w:tcPr>
                <w:p w14:paraId="7453BDD8">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eastAsia" w:cs="Times New Roman" w:eastAsiaTheme="minorEastAsia"/>
                      <w:color w:val="auto"/>
                      <w:sz w:val="18"/>
                      <w:szCs w:val="18"/>
                      <w:lang w:val="en-US" w:eastAsia="zh-CN"/>
                    </w:rPr>
                    <w:t>4</w:t>
                  </w:r>
                </w:p>
              </w:tc>
              <w:tc>
                <w:tcPr>
                  <w:tcW w:w="0" w:type="auto"/>
                  <w:shd w:val="clear" w:color="auto" w:fill="auto"/>
                  <w:vAlign w:val="center"/>
                </w:tcPr>
                <w:p w14:paraId="69B2BB6B">
                  <w:pPr>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90</w:t>
                  </w:r>
                </w:p>
              </w:tc>
              <w:tc>
                <w:tcPr>
                  <w:tcW w:w="0" w:type="auto"/>
                  <w:shd w:val="clear" w:color="auto" w:fill="auto"/>
                  <w:vAlign w:val="center"/>
                </w:tcPr>
                <w:p w14:paraId="737C844E">
                  <w:pPr>
                    <w:topLinePunct/>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eastAsia="zh-CN"/>
                    </w:rPr>
                    <w:t>减振</w:t>
                  </w:r>
                  <w:r>
                    <w:rPr>
                      <w:rFonts w:hint="default" w:ascii="Times New Roman" w:hAnsi="Times New Roman" w:cs="Times New Roman"/>
                      <w:color w:val="auto"/>
                      <w:sz w:val="18"/>
                      <w:szCs w:val="18"/>
                      <w:highlight w:val="none"/>
                    </w:rPr>
                    <w:t>、隔声</w:t>
                  </w:r>
                </w:p>
              </w:tc>
            </w:tr>
            <w:tr w14:paraId="1AFD60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57" w:type="pct"/>
                  <w:gridSpan w:val="2"/>
                  <w:vMerge w:val="continue"/>
                  <w:vAlign w:val="center"/>
                </w:tcPr>
                <w:p w14:paraId="0725309D">
                  <w:pPr>
                    <w:topLinePunct/>
                    <w:adjustRightInd w:val="0"/>
                    <w:snapToGrid w:val="0"/>
                    <w:jc w:val="center"/>
                    <w:rPr>
                      <w:rFonts w:hint="default" w:ascii="Times New Roman" w:hAnsi="Times New Roman" w:cs="Times New Roman"/>
                      <w:color w:val="auto"/>
                      <w:kern w:val="0"/>
                      <w:sz w:val="18"/>
                      <w:szCs w:val="18"/>
                      <w:highlight w:val="none"/>
                    </w:rPr>
                  </w:pPr>
                </w:p>
              </w:tc>
              <w:tc>
                <w:tcPr>
                  <w:tcW w:w="0" w:type="auto"/>
                  <w:vAlign w:val="center"/>
                </w:tcPr>
                <w:p w14:paraId="78A1FCFD">
                  <w:pPr>
                    <w:jc w:val="center"/>
                    <w:rPr>
                      <w:rFonts w:hint="default" w:ascii="Times New Roman" w:hAnsi="Times New Roman" w:cs="Times New Roman"/>
                      <w:bCs/>
                      <w:color w:val="auto"/>
                      <w:sz w:val="18"/>
                      <w:szCs w:val="18"/>
                      <w:highlight w:val="none"/>
                      <w:lang w:val="en-US" w:eastAsia="zh-CN"/>
                    </w:rPr>
                  </w:pPr>
                  <w:r>
                    <w:rPr>
                      <w:rFonts w:hint="eastAsia" w:cs="Times New Roman"/>
                      <w:bCs/>
                      <w:color w:val="auto"/>
                      <w:sz w:val="18"/>
                      <w:szCs w:val="18"/>
                      <w:highlight w:val="none"/>
                      <w:lang w:val="en-US" w:eastAsia="zh-CN"/>
                    </w:rPr>
                    <w:t>4</w:t>
                  </w:r>
                </w:p>
              </w:tc>
              <w:tc>
                <w:tcPr>
                  <w:tcW w:w="1121" w:type="pct"/>
                  <w:shd w:val="clear" w:color="auto" w:fill="auto"/>
                  <w:vAlign w:val="center"/>
                </w:tcPr>
                <w:p w14:paraId="767CFB18">
                  <w:pPr>
                    <w:adjustRightInd w:val="0"/>
                    <w:snapToGrid w:val="0"/>
                    <w:jc w:val="center"/>
                    <w:textAlignment w:val="center"/>
                    <w:rPr>
                      <w:rFonts w:hint="eastAsia" w:ascii="Times New Roman" w:hAnsi="Times New Roman" w:cs="Times New Roman" w:eastAsiaTheme="minorEastAsia"/>
                      <w:color w:val="auto"/>
                      <w:kern w:val="2"/>
                      <w:sz w:val="18"/>
                      <w:szCs w:val="18"/>
                      <w:lang w:val="en-US" w:eastAsia="zh-CN" w:bidi="ar-SA"/>
                    </w:rPr>
                  </w:pPr>
                  <w:r>
                    <w:rPr>
                      <w:rFonts w:hint="eastAsia" w:ascii="Times New Roman" w:hAnsi="Times New Roman" w:cs="Times New Roman" w:eastAsiaTheme="minorEastAsia"/>
                      <w:color w:val="auto"/>
                      <w:sz w:val="18"/>
                      <w:szCs w:val="18"/>
                      <w:lang w:val="en-US" w:eastAsia="zh-CN"/>
                    </w:rPr>
                    <w:t>制氮系统</w:t>
                  </w:r>
                </w:p>
              </w:tc>
              <w:tc>
                <w:tcPr>
                  <w:tcW w:w="775" w:type="pct"/>
                  <w:shd w:val="clear" w:color="auto" w:fill="auto"/>
                  <w:vAlign w:val="center"/>
                </w:tcPr>
                <w:p w14:paraId="289A9900">
                  <w:pPr>
                    <w:adjustRightInd w:val="0"/>
                    <w:snapToGrid w:val="0"/>
                    <w:jc w:val="center"/>
                    <w:textAlignment w:val="center"/>
                    <w:rPr>
                      <w:rFonts w:hint="default" w:ascii="Times New Roman" w:hAnsi="Times New Roman" w:cs="Times New Roman" w:eastAsiaTheme="minorEastAsia"/>
                      <w:color w:val="auto"/>
                      <w:kern w:val="2"/>
                      <w:sz w:val="18"/>
                      <w:szCs w:val="18"/>
                      <w:lang w:val="en-US" w:eastAsia="zh-CN" w:bidi="ar-SA"/>
                    </w:rPr>
                  </w:pPr>
                  <w:r>
                    <w:rPr>
                      <w:rFonts w:hint="eastAsia" w:cs="Times New Roman" w:eastAsiaTheme="minorEastAsia"/>
                      <w:color w:val="auto"/>
                      <w:sz w:val="18"/>
                      <w:szCs w:val="18"/>
                      <w:lang w:val="en-US" w:eastAsia="zh-CN"/>
                    </w:rPr>
                    <w:t>1</w:t>
                  </w:r>
                </w:p>
              </w:tc>
              <w:tc>
                <w:tcPr>
                  <w:tcW w:w="0" w:type="auto"/>
                  <w:shd w:val="clear" w:color="auto" w:fill="auto"/>
                  <w:vAlign w:val="center"/>
                </w:tcPr>
                <w:p w14:paraId="7C37A782">
                  <w:pPr>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90</w:t>
                  </w:r>
                </w:p>
              </w:tc>
              <w:tc>
                <w:tcPr>
                  <w:tcW w:w="0" w:type="auto"/>
                  <w:shd w:val="clear" w:color="auto" w:fill="auto"/>
                  <w:vAlign w:val="center"/>
                </w:tcPr>
                <w:p w14:paraId="420F8B95">
                  <w:pPr>
                    <w:topLinePunct/>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减振、隔声</w:t>
                  </w:r>
                </w:p>
              </w:tc>
            </w:tr>
          </w:tbl>
          <w:p w14:paraId="251796BC">
            <w:pPr>
              <w:spacing w:line="360" w:lineRule="auto"/>
              <w:ind w:firstLine="422" w:firstLineChars="200"/>
              <w:jc w:val="left"/>
              <w:rPr>
                <w:rFonts w:ascii="Times New Roman" w:hAnsi="Times New Roman"/>
                <w:b/>
                <w:color w:val="auto"/>
                <w:sz w:val="21"/>
                <w:szCs w:val="21"/>
                <w:highlight w:val="none"/>
              </w:rPr>
            </w:pPr>
            <w:r>
              <w:rPr>
                <w:rFonts w:ascii="Times New Roman" w:hAnsi="Times New Roman"/>
                <w:b/>
                <w:color w:val="auto"/>
                <w:sz w:val="21"/>
                <w:szCs w:val="21"/>
                <w:highlight w:val="none"/>
              </w:rPr>
              <w:t>3、噪声治理措施</w:t>
            </w:r>
          </w:p>
          <w:p w14:paraId="134E562D">
            <w:pPr>
              <w:adjustRightInd w:val="0"/>
              <w:snapToGrid w:val="0"/>
              <w:spacing w:line="360" w:lineRule="auto"/>
              <w:ind w:firstLine="420" w:firstLineChars="200"/>
              <w:jc w:val="both"/>
              <w:rPr>
                <w:rFonts w:ascii="Times New Roman" w:hAnsi="Times New Roman" w:eastAsia="宋体" w:cs="Times New Roman"/>
                <w:color w:val="auto"/>
                <w:sz w:val="21"/>
                <w:szCs w:val="21"/>
                <w:highlight w:val="none"/>
              </w:rPr>
            </w:pPr>
            <w:r>
              <w:rPr>
                <w:rFonts w:ascii="Times New Roman" w:hAnsi="Times New Roman"/>
                <w:color w:val="auto"/>
                <w:sz w:val="21"/>
                <w:szCs w:val="21"/>
                <w:highlight w:val="none"/>
              </w:rPr>
              <w:t>本项目废气处理风机采用隔音罩，生产设备拟全部设置在室内，并采取以下噪声控制措施：</w:t>
            </w:r>
          </w:p>
          <w:p w14:paraId="7FF41F3A">
            <w:pPr>
              <w:adjustRightInd w:val="0"/>
              <w:snapToGrid w:val="0"/>
              <w:spacing w:line="360" w:lineRule="auto"/>
              <w:ind w:firstLine="420" w:firstLineChars="200"/>
              <w:jc w:val="both"/>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rPr>
              <w:t>选用低噪声设备：在满足项目生产工艺的前提下，选择先进、噪声低的生产设备，从源头降低噪声。</w:t>
            </w:r>
          </w:p>
          <w:p w14:paraId="7DACAE1F">
            <w:pPr>
              <w:adjustRightInd w:val="0"/>
              <w:snapToGrid w:val="0"/>
              <w:spacing w:line="360" w:lineRule="auto"/>
              <w:ind w:firstLine="420" w:firstLineChars="200"/>
              <w:jc w:val="both"/>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rPr>
              <w:t>车间内合理布局：在满足生产的前提下综合考虑，在车间设备布置时考虑地形、声源方向性和车间噪声强弱等因素，进行合理布局</w:t>
            </w:r>
            <w:r>
              <w:rPr>
                <w:rFonts w:hint="eastAsia" w:cs="Times New Roman"/>
                <w:color w:val="auto"/>
                <w:sz w:val="21"/>
                <w:szCs w:val="21"/>
                <w:highlight w:val="none"/>
                <w:lang w:eastAsia="zh-CN"/>
              </w:rPr>
              <w:t>以</w:t>
            </w:r>
            <w:r>
              <w:rPr>
                <w:rFonts w:hint="eastAsia" w:ascii="Times New Roman" w:hAnsi="Times New Roman" w:eastAsia="宋体" w:cs="Times New Roman"/>
                <w:color w:val="auto"/>
                <w:sz w:val="21"/>
                <w:szCs w:val="21"/>
                <w:highlight w:val="none"/>
              </w:rPr>
              <w:t>进一步降低厂界噪声，如将设备安置在车间中部或远离厂界的位置，充分利用厂内建筑物的隔声作用，以减轻各类声源对周围环境的影响。</w:t>
            </w:r>
          </w:p>
          <w:p w14:paraId="726484B1">
            <w:pPr>
              <w:snapToGrid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3</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rPr>
              <w:t>设备在安装时，根据设备的自重及振动特性采用合适的隔振垫，以减轻由于设备自身振动引起的结构传声对周围环境产生的影响。</w:t>
            </w:r>
            <w:r>
              <w:rPr>
                <w:rFonts w:hint="eastAsia" w:ascii="Times New Roman" w:hAnsi="Times New Roman" w:eastAsia="宋体" w:cs="Times New Roman"/>
                <w:color w:val="auto"/>
                <w:sz w:val="21"/>
                <w:szCs w:val="21"/>
                <w:highlight w:val="none"/>
                <w:lang w:val="en-US" w:eastAsia="zh-CN"/>
              </w:rPr>
              <w:t>在风机、空压机安装</w:t>
            </w:r>
            <w:r>
              <w:rPr>
                <w:rFonts w:hint="eastAsia" w:cs="Times New Roman"/>
                <w:color w:val="auto"/>
                <w:sz w:val="21"/>
                <w:szCs w:val="21"/>
                <w:highlight w:val="none"/>
                <w:lang w:val="en-US" w:eastAsia="zh-CN"/>
              </w:rPr>
              <w:t>消声器</w:t>
            </w:r>
            <w:r>
              <w:rPr>
                <w:rFonts w:hint="eastAsia" w:ascii="Times New Roman" w:hAnsi="Times New Roman" w:eastAsia="宋体" w:cs="Times New Roman"/>
                <w:color w:val="auto"/>
                <w:sz w:val="21"/>
                <w:szCs w:val="21"/>
                <w:highlight w:val="none"/>
                <w:lang w:val="en-US" w:eastAsia="zh-CN"/>
              </w:rPr>
              <w:t>，可有效降低噪声源对周围环境的影响。</w:t>
            </w:r>
            <w:r>
              <w:rPr>
                <w:rFonts w:hint="default" w:ascii="Times New Roman" w:hAnsi="Times New Roman" w:eastAsia="宋体" w:cs="Times New Roman"/>
                <w:color w:val="auto"/>
                <w:sz w:val="21"/>
                <w:szCs w:val="21"/>
                <w:highlight w:val="none"/>
              </w:rPr>
              <w:t>对强噪声设备采用安装吸声、消声材料等措施，对空气流动噪声采用在气流通道上安装消声器装置以降低噪声。设备基础减振，加隔声罩等。管道设计中注意防振、防冲击，以减轻振动噪声。风管及流体输送应注意改善其流畅状况，减少空气动力噪声。</w:t>
            </w:r>
          </w:p>
          <w:p w14:paraId="33B7026B">
            <w:pPr>
              <w:adjustRightInd w:val="0"/>
              <w:snapToGrid w:val="0"/>
              <w:spacing w:line="360" w:lineRule="auto"/>
              <w:ind w:firstLine="420" w:firstLineChars="200"/>
              <w:jc w:val="both"/>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4</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rPr>
              <w:t>加强设备的维护，确保设备处于良好的运转状态，杜绝因设备不正常运转时产生的高噪声现象。</w:t>
            </w:r>
          </w:p>
          <w:p w14:paraId="7EA8CBC0">
            <w:pPr>
              <w:spacing w:line="360" w:lineRule="auto"/>
              <w:ind w:firstLine="422" w:firstLineChars="200"/>
              <w:jc w:val="left"/>
              <w:rPr>
                <w:rFonts w:ascii="Times New Roman" w:hAnsi="Times New Roman"/>
                <w:b/>
                <w:color w:val="auto"/>
                <w:sz w:val="21"/>
                <w:szCs w:val="21"/>
                <w:highlight w:val="none"/>
              </w:rPr>
            </w:pPr>
            <w:r>
              <w:rPr>
                <w:rFonts w:ascii="Times New Roman" w:hAnsi="Times New Roman"/>
                <w:b/>
                <w:color w:val="auto"/>
                <w:sz w:val="21"/>
                <w:szCs w:val="21"/>
                <w:highlight w:val="none"/>
              </w:rPr>
              <w:t>4、厂界和环境保护目标达标情况</w:t>
            </w:r>
          </w:p>
          <w:p w14:paraId="7D714476">
            <w:pPr>
              <w:adjustRightInd w:val="0"/>
              <w:snapToGrid w:val="0"/>
              <w:spacing w:line="360" w:lineRule="auto"/>
              <w:ind w:firstLine="420" w:firstLineChars="200"/>
              <w:jc w:val="left"/>
              <w:rPr>
                <w:rFonts w:ascii="Times New Roman" w:hAnsi="Times New Roman"/>
                <w:color w:val="auto"/>
                <w:sz w:val="21"/>
                <w:szCs w:val="21"/>
                <w:highlight w:val="none"/>
              </w:rPr>
            </w:pPr>
            <w:r>
              <w:rPr>
                <w:rFonts w:ascii="Times New Roman" w:hAnsi="Times New Roman"/>
                <w:color w:val="auto"/>
                <w:sz w:val="21"/>
                <w:szCs w:val="21"/>
                <w:highlight w:val="none"/>
              </w:rPr>
              <w:t>（1）噪声源强</w:t>
            </w:r>
          </w:p>
          <w:p w14:paraId="12821253">
            <w:pPr>
              <w:adjustRightInd w:val="0"/>
              <w:snapToGrid w:val="0"/>
              <w:spacing w:line="360" w:lineRule="auto"/>
              <w:ind w:firstLine="420" w:firstLineChars="200"/>
              <w:jc w:val="both"/>
              <w:rPr>
                <w:rFonts w:ascii="Times New Roman" w:hAnsi="Times New Roman"/>
                <w:color w:val="auto"/>
                <w:sz w:val="21"/>
                <w:szCs w:val="21"/>
                <w:highlight w:val="none"/>
              </w:rPr>
            </w:pPr>
            <w:r>
              <w:rPr>
                <w:rFonts w:ascii="Times New Roman" w:hAnsi="Times New Roman"/>
                <w:color w:val="auto"/>
                <w:sz w:val="21"/>
                <w:szCs w:val="21"/>
                <w:highlight w:val="none"/>
              </w:rPr>
              <w:t>项目主要声源源强见表4-</w:t>
            </w:r>
            <w:r>
              <w:rPr>
                <w:rFonts w:hint="eastAsia"/>
                <w:color w:val="auto"/>
                <w:sz w:val="21"/>
                <w:szCs w:val="21"/>
                <w:highlight w:val="none"/>
                <w:lang w:val="en-US" w:eastAsia="zh-CN"/>
              </w:rPr>
              <w:t>20</w:t>
            </w:r>
            <w:r>
              <w:rPr>
                <w:rFonts w:ascii="Times New Roman" w:hAnsi="Times New Roman"/>
                <w:color w:val="auto"/>
                <w:sz w:val="21"/>
                <w:szCs w:val="21"/>
                <w:highlight w:val="none"/>
              </w:rPr>
              <w:t>。</w:t>
            </w:r>
          </w:p>
          <w:p w14:paraId="1BABF9C8">
            <w:pPr>
              <w:spacing w:line="360" w:lineRule="auto"/>
              <w:jc w:val="center"/>
              <w:rPr>
                <w:rFonts w:hint="eastAsia" w:cs="Times New Roman"/>
                <w:b/>
                <w:bCs/>
                <w:color w:val="auto"/>
                <w:sz w:val="21"/>
                <w:szCs w:val="21"/>
                <w:highlight w:val="none"/>
                <w:lang w:val="en-US" w:eastAsia="zh-CN"/>
              </w:rPr>
            </w:pPr>
            <w:r>
              <w:rPr>
                <w:rFonts w:ascii="Times New Roman" w:hAnsi="Times New Roman" w:eastAsia="黑体"/>
                <w:bCs/>
                <w:color w:val="auto"/>
                <w:spacing w:val="2"/>
                <w:sz w:val="21"/>
                <w:szCs w:val="21"/>
                <w:highlight w:val="none"/>
              </w:rPr>
              <w:t>表4-</w:t>
            </w:r>
            <w:r>
              <w:rPr>
                <w:rFonts w:hint="eastAsia" w:eastAsia="黑体"/>
                <w:bCs/>
                <w:color w:val="auto"/>
                <w:spacing w:val="2"/>
                <w:sz w:val="21"/>
                <w:szCs w:val="21"/>
                <w:highlight w:val="none"/>
                <w:lang w:val="en-US" w:eastAsia="zh-CN"/>
              </w:rPr>
              <w:t>20</w:t>
            </w:r>
            <w:r>
              <w:rPr>
                <w:rFonts w:ascii="Times New Roman" w:hAnsi="Times New Roman" w:eastAsia="黑体"/>
                <w:bCs/>
                <w:color w:val="auto"/>
                <w:spacing w:val="2"/>
                <w:sz w:val="21"/>
                <w:szCs w:val="21"/>
                <w:highlight w:val="none"/>
              </w:rPr>
              <w:t>工业企业噪声源强调查清单（室内声源）</w:t>
            </w:r>
          </w:p>
          <w:tbl>
            <w:tblPr>
              <w:tblStyle w:val="33"/>
              <w:tblW w:w="4995"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369"/>
              <w:gridCol w:w="369"/>
              <w:gridCol w:w="489"/>
              <w:gridCol w:w="438"/>
              <w:gridCol w:w="370"/>
              <w:gridCol w:w="395"/>
              <w:gridCol w:w="402"/>
              <w:gridCol w:w="201"/>
              <w:gridCol w:w="350"/>
              <w:gridCol w:w="350"/>
              <w:gridCol w:w="350"/>
              <w:gridCol w:w="355"/>
              <w:gridCol w:w="276"/>
              <w:gridCol w:w="276"/>
              <w:gridCol w:w="276"/>
              <w:gridCol w:w="276"/>
              <w:gridCol w:w="370"/>
              <w:gridCol w:w="276"/>
              <w:gridCol w:w="276"/>
              <w:gridCol w:w="276"/>
              <w:gridCol w:w="276"/>
              <w:gridCol w:w="276"/>
              <w:gridCol w:w="276"/>
              <w:gridCol w:w="276"/>
              <w:gridCol w:w="276"/>
              <w:gridCol w:w="174"/>
            </w:tblGrid>
            <w:tr w14:paraId="5FE2BB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vMerge w:val="restart"/>
                  <w:tcBorders>
                    <w:tl2br w:val="nil"/>
                    <w:tr2bl w:val="nil"/>
                  </w:tcBorders>
                  <w:shd w:val="clear" w:color="auto" w:fill="auto"/>
                  <w:vAlign w:val="center"/>
                </w:tcPr>
                <w:p w14:paraId="06472D57">
                  <w:pPr>
                    <w:jc w:val="center"/>
                    <w:rPr>
                      <w:rFonts w:hint="default" w:ascii="Times New Roman" w:hAnsi="Times New Roman" w:cs="Times New Roman" w:eastAsiaTheme="minorEastAsia"/>
                      <w:color w:val="auto"/>
                      <w:sz w:val="15"/>
                      <w:szCs w:val="15"/>
                    </w:rPr>
                  </w:pPr>
                  <w:bookmarkStart w:id="8" w:name="PT_6"/>
                  <w:r>
                    <w:rPr>
                      <w:rFonts w:hint="default" w:ascii="Times New Roman" w:hAnsi="Times New Roman" w:cs="Times New Roman" w:eastAsiaTheme="minorEastAsia"/>
                      <w:b/>
                      <w:color w:val="auto"/>
                      <w:sz w:val="15"/>
                      <w:szCs w:val="15"/>
                    </w:rPr>
                    <w:t>序号</w:t>
                  </w:r>
                </w:p>
              </w:tc>
              <w:tc>
                <w:tcPr>
                  <w:tcW w:w="223" w:type="pct"/>
                  <w:vMerge w:val="restart"/>
                  <w:tcBorders>
                    <w:tl2br w:val="nil"/>
                    <w:tr2bl w:val="nil"/>
                  </w:tcBorders>
                  <w:shd w:val="clear" w:color="auto" w:fill="auto"/>
                  <w:vAlign w:val="center"/>
                </w:tcPr>
                <w:p w14:paraId="62320E72">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b/>
                      <w:color w:val="auto"/>
                      <w:sz w:val="15"/>
                      <w:szCs w:val="15"/>
                    </w:rPr>
                    <w:t>建筑物名称</w:t>
                  </w:r>
                </w:p>
              </w:tc>
              <w:tc>
                <w:tcPr>
                  <w:tcW w:w="295" w:type="pct"/>
                  <w:vMerge w:val="restart"/>
                  <w:tcBorders>
                    <w:tl2br w:val="nil"/>
                    <w:tr2bl w:val="nil"/>
                  </w:tcBorders>
                  <w:shd w:val="clear" w:color="auto" w:fill="auto"/>
                  <w:vAlign w:val="center"/>
                </w:tcPr>
                <w:p w14:paraId="7BE015BC">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b/>
                      <w:color w:val="auto"/>
                      <w:sz w:val="15"/>
                      <w:szCs w:val="15"/>
                    </w:rPr>
                    <w:t>声源名称</w:t>
                  </w:r>
                </w:p>
              </w:tc>
              <w:tc>
                <w:tcPr>
                  <w:tcW w:w="264" w:type="pct"/>
                  <w:tcBorders>
                    <w:tl2br w:val="nil"/>
                    <w:tr2bl w:val="nil"/>
                  </w:tcBorders>
                  <w:shd w:val="clear" w:color="auto" w:fill="auto"/>
                  <w:vAlign w:val="center"/>
                </w:tcPr>
                <w:p w14:paraId="6659D7FF">
                  <w:pPr>
                    <w:jc w:val="center"/>
                    <w:rPr>
                      <w:rFonts w:hint="default" w:ascii="Times New Roman" w:hAnsi="Times New Roman" w:cs="Times New Roman" w:eastAsiaTheme="minorEastAsia"/>
                      <w:color w:val="auto"/>
                      <w:sz w:val="15"/>
                      <w:szCs w:val="15"/>
                      <w:lang w:eastAsia="zh-CN"/>
                    </w:rPr>
                  </w:pPr>
                  <w:r>
                    <w:rPr>
                      <w:rFonts w:hint="default" w:ascii="Times New Roman" w:hAnsi="Times New Roman" w:cs="Times New Roman" w:eastAsiaTheme="minorEastAsia"/>
                      <w:b/>
                      <w:color w:val="auto"/>
                      <w:sz w:val="15"/>
                      <w:szCs w:val="15"/>
                      <w:lang w:eastAsia="zh-CN"/>
                    </w:rPr>
                    <w:t>声源源强</w:t>
                  </w:r>
                </w:p>
              </w:tc>
              <w:tc>
                <w:tcPr>
                  <w:tcW w:w="223" w:type="pct"/>
                  <w:vMerge w:val="restart"/>
                  <w:tcBorders>
                    <w:tl2br w:val="nil"/>
                    <w:tr2bl w:val="nil"/>
                  </w:tcBorders>
                  <w:shd w:val="clear" w:color="auto" w:fill="auto"/>
                  <w:vAlign w:val="center"/>
                </w:tcPr>
                <w:p w14:paraId="111BCCD9">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b/>
                      <w:color w:val="auto"/>
                      <w:sz w:val="15"/>
                      <w:szCs w:val="15"/>
                    </w:rPr>
                    <w:t>声源控制措施</w:t>
                  </w:r>
                </w:p>
              </w:tc>
              <w:tc>
                <w:tcPr>
                  <w:tcW w:w="601" w:type="pct"/>
                  <w:gridSpan w:val="3"/>
                  <w:tcBorders>
                    <w:tl2br w:val="nil"/>
                    <w:tr2bl w:val="nil"/>
                  </w:tcBorders>
                  <w:shd w:val="clear" w:color="auto" w:fill="auto"/>
                  <w:vAlign w:val="center"/>
                </w:tcPr>
                <w:p w14:paraId="070505AC">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b/>
                      <w:color w:val="auto"/>
                      <w:sz w:val="15"/>
                      <w:szCs w:val="15"/>
                    </w:rPr>
                    <w:t>空间相对位置/m</w:t>
                  </w:r>
                </w:p>
              </w:tc>
              <w:tc>
                <w:tcPr>
                  <w:tcW w:w="847" w:type="pct"/>
                  <w:gridSpan w:val="4"/>
                  <w:tcBorders>
                    <w:tl2br w:val="nil"/>
                    <w:tr2bl w:val="nil"/>
                  </w:tcBorders>
                  <w:shd w:val="clear" w:color="auto" w:fill="auto"/>
                  <w:vAlign w:val="center"/>
                </w:tcPr>
                <w:p w14:paraId="76E06702">
                  <w:pPr>
                    <w:jc w:val="center"/>
                    <w:rPr>
                      <w:rFonts w:hint="default" w:ascii="Times New Roman" w:hAnsi="Times New Roman" w:cs="Times New Roman" w:eastAsiaTheme="minorEastAsia"/>
                      <w:b/>
                      <w:color w:val="auto"/>
                      <w:sz w:val="15"/>
                      <w:szCs w:val="15"/>
                    </w:rPr>
                  </w:pPr>
                  <w:r>
                    <w:rPr>
                      <w:rFonts w:hint="default" w:ascii="Times New Roman" w:hAnsi="Times New Roman" w:cs="Times New Roman" w:eastAsiaTheme="minorEastAsia"/>
                      <w:b/>
                      <w:color w:val="auto"/>
                      <w:sz w:val="15"/>
                      <w:szCs w:val="15"/>
                    </w:rPr>
                    <w:t>距室内边界距离/m</w:t>
                  </w:r>
                </w:p>
              </w:tc>
              <w:tc>
                <w:tcPr>
                  <w:tcW w:w="664" w:type="pct"/>
                  <w:gridSpan w:val="4"/>
                  <w:tcBorders>
                    <w:tl2br w:val="nil"/>
                    <w:tr2bl w:val="nil"/>
                  </w:tcBorders>
                  <w:shd w:val="clear" w:color="auto" w:fill="auto"/>
                  <w:vAlign w:val="center"/>
                </w:tcPr>
                <w:p w14:paraId="557FB011">
                  <w:pPr>
                    <w:jc w:val="center"/>
                    <w:rPr>
                      <w:rFonts w:hint="default" w:ascii="Times New Roman" w:hAnsi="Times New Roman" w:cs="Times New Roman" w:eastAsiaTheme="minorEastAsia"/>
                      <w:b/>
                      <w:color w:val="auto"/>
                      <w:sz w:val="15"/>
                      <w:szCs w:val="15"/>
                    </w:rPr>
                  </w:pPr>
                  <w:r>
                    <w:rPr>
                      <w:rFonts w:hint="default" w:ascii="Times New Roman" w:hAnsi="Times New Roman" w:cs="Times New Roman" w:eastAsiaTheme="minorEastAsia"/>
                      <w:b/>
                      <w:color w:val="auto"/>
                      <w:sz w:val="15"/>
                      <w:szCs w:val="15"/>
                    </w:rPr>
                    <w:t>室内边界声级/dB(A)</w:t>
                  </w:r>
                </w:p>
              </w:tc>
              <w:tc>
                <w:tcPr>
                  <w:tcW w:w="223" w:type="pct"/>
                  <w:vMerge w:val="restart"/>
                  <w:tcBorders>
                    <w:tl2br w:val="nil"/>
                    <w:tr2bl w:val="nil"/>
                  </w:tcBorders>
                  <w:shd w:val="clear" w:color="auto" w:fill="auto"/>
                  <w:vAlign w:val="center"/>
                </w:tcPr>
                <w:p w14:paraId="64FCE19A">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b/>
                      <w:color w:val="auto"/>
                      <w:sz w:val="15"/>
                      <w:szCs w:val="15"/>
                    </w:rPr>
                    <w:t>运行时段</w:t>
                  </w:r>
                </w:p>
              </w:tc>
              <w:tc>
                <w:tcPr>
                  <w:tcW w:w="664" w:type="pct"/>
                  <w:gridSpan w:val="4"/>
                  <w:tcBorders>
                    <w:tl2br w:val="nil"/>
                    <w:tr2bl w:val="nil"/>
                  </w:tcBorders>
                  <w:shd w:val="clear" w:color="auto" w:fill="auto"/>
                  <w:vAlign w:val="center"/>
                </w:tcPr>
                <w:p w14:paraId="353BEA91">
                  <w:pPr>
                    <w:jc w:val="center"/>
                    <w:rPr>
                      <w:rFonts w:hint="default" w:ascii="Times New Roman" w:hAnsi="Times New Roman" w:cs="Times New Roman" w:eastAsiaTheme="minorEastAsia"/>
                      <w:b/>
                      <w:color w:val="auto"/>
                      <w:sz w:val="15"/>
                      <w:szCs w:val="15"/>
                    </w:rPr>
                  </w:pPr>
                  <w:r>
                    <w:rPr>
                      <w:rFonts w:hint="default" w:ascii="Times New Roman" w:hAnsi="Times New Roman" w:cs="Times New Roman" w:eastAsiaTheme="minorEastAsia"/>
                      <w:b/>
                      <w:color w:val="auto"/>
                      <w:sz w:val="15"/>
                      <w:szCs w:val="15"/>
                    </w:rPr>
                    <w:t>建筑物插入损失 / dB(A)</w:t>
                  </w:r>
                  <w:bookmarkStart w:id="9" w:name="PT_10"/>
                  <w:bookmarkEnd w:id="9"/>
                </w:p>
              </w:tc>
              <w:tc>
                <w:tcPr>
                  <w:tcW w:w="769" w:type="pct"/>
                  <w:gridSpan w:val="5"/>
                  <w:tcBorders>
                    <w:tl2br w:val="nil"/>
                    <w:tr2bl w:val="nil"/>
                  </w:tcBorders>
                  <w:shd w:val="clear" w:color="auto" w:fill="auto"/>
                  <w:vAlign w:val="center"/>
                </w:tcPr>
                <w:p w14:paraId="0B10B53B">
                  <w:pPr>
                    <w:jc w:val="center"/>
                    <w:rPr>
                      <w:rFonts w:hint="default" w:ascii="Times New Roman" w:hAnsi="Times New Roman" w:cs="Times New Roman" w:eastAsiaTheme="minorEastAsia"/>
                      <w:b/>
                      <w:bCs w:val="0"/>
                      <w:color w:val="auto"/>
                      <w:sz w:val="15"/>
                      <w:szCs w:val="15"/>
                    </w:rPr>
                  </w:pPr>
                  <w:r>
                    <w:rPr>
                      <w:rFonts w:hint="default" w:ascii="Times New Roman" w:hAnsi="Times New Roman" w:cs="Times New Roman" w:eastAsiaTheme="minorEastAsia"/>
                      <w:b/>
                      <w:bCs w:val="0"/>
                      <w:color w:val="auto"/>
                      <w:sz w:val="15"/>
                      <w:szCs w:val="15"/>
                    </w:rPr>
                    <w:t>建筑物外噪声声压级/dB(A)</w:t>
                  </w:r>
                </w:p>
              </w:tc>
            </w:tr>
            <w:tr w14:paraId="34D197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vMerge w:val="continue"/>
                  <w:tcBorders>
                    <w:tl2br w:val="nil"/>
                    <w:tr2bl w:val="nil"/>
                  </w:tcBorders>
                  <w:shd w:val="clear" w:color="auto" w:fill="auto"/>
                  <w:tcMar>
                    <w:top w:w="0" w:type="dxa"/>
                    <w:left w:w="0" w:type="dxa"/>
                    <w:bottom w:w="0" w:type="dxa"/>
                    <w:right w:w="0" w:type="dxa"/>
                  </w:tcMar>
                  <w:vAlign w:val="center"/>
                </w:tcPr>
                <w:p w14:paraId="190BDFED">
                  <w:pPr>
                    <w:jc w:val="center"/>
                    <w:rPr>
                      <w:rFonts w:hint="default" w:ascii="Times New Roman" w:hAnsi="Times New Roman" w:cs="Times New Roman" w:eastAsiaTheme="minorEastAsia"/>
                      <w:color w:val="auto"/>
                      <w:sz w:val="15"/>
                      <w:szCs w:val="15"/>
                      <w:lang w:val="en-US" w:eastAsia="zh-CN"/>
                    </w:rPr>
                  </w:pPr>
                </w:p>
              </w:tc>
              <w:tc>
                <w:tcPr>
                  <w:tcW w:w="223" w:type="pct"/>
                  <w:vMerge w:val="continue"/>
                  <w:tcBorders>
                    <w:tl2br w:val="nil"/>
                    <w:tr2bl w:val="nil"/>
                  </w:tcBorders>
                  <w:shd w:val="clear" w:color="auto" w:fill="auto"/>
                  <w:tcMar>
                    <w:top w:w="0" w:type="dxa"/>
                    <w:left w:w="0" w:type="dxa"/>
                    <w:bottom w:w="0" w:type="dxa"/>
                    <w:right w:w="0" w:type="dxa"/>
                  </w:tcMar>
                  <w:vAlign w:val="center"/>
                </w:tcPr>
                <w:p w14:paraId="687AE895">
                  <w:pPr>
                    <w:jc w:val="center"/>
                    <w:rPr>
                      <w:rFonts w:hint="default" w:ascii="Times New Roman" w:hAnsi="Times New Roman" w:cs="Times New Roman" w:eastAsiaTheme="minorEastAsia"/>
                      <w:color w:val="auto"/>
                      <w:sz w:val="15"/>
                      <w:szCs w:val="15"/>
                    </w:rPr>
                  </w:pPr>
                </w:p>
              </w:tc>
              <w:tc>
                <w:tcPr>
                  <w:tcW w:w="295" w:type="pct"/>
                  <w:vMerge w:val="continue"/>
                  <w:tcBorders>
                    <w:tl2br w:val="nil"/>
                    <w:tr2bl w:val="nil"/>
                  </w:tcBorders>
                  <w:shd w:val="clear" w:color="auto" w:fill="auto"/>
                  <w:tcMar>
                    <w:top w:w="0" w:type="dxa"/>
                    <w:left w:w="0" w:type="dxa"/>
                    <w:bottom w:w="0" w:type="dxa"/>
                    <w:right w:w="0" w:type="dxa"/>
                  </w:tcMar>
                  <w:vAlign w:val="center"/>
                </w:tcPr>
                <w:p w14:paraId="383621BA">
                  <w:pPr>
                    <w:jc w:val="center"/>
                    <w:rPr>
                      <w:rFonts w:hint="default" w:ascii="Times New Roman" w:hAnsi="Times New Roman" w:cs="Times New Roman" w:eastAsiaTheme="minorEastAsia"/>
                      <w:color w:val="auto"/>
                      <w:sz w:val="15"/>
                      <w:szCs w:val="15"/>
                    </w:rPr>
                  </w:pPr>
                </w:p>
              </w:tc>
              <w:tc>
                <w:tcPr>
                  <w:tcW w:w="264" w:type="pct"/>
                  <w:tcBorders>
                    <w:tl2br w:val="nil"/>
                    <w:tr2bl w:val="nil"/>
                  </w:tcBorders>
                  <w:shd w:val="clear" w:color="auto" w:fill="auto"/>
                  <w:tcMar>
                    <w:top w:w="0" w:type="dxa"/>
                    <w:left w:w="0" w:type="dxa"/>
                    <w:bottom w:w="0" w:type="dxa"/>
                    <w:right w:w="0" w:type="dxa"/>
                  </w:tcMar>
                  <w:vAlign w:val="center"/>
                </w:tcPr>
                <w:p w14:paraId="612699DA">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color w:val="auto"/>
                      <w:sz w:val="15"/>
                      <w:szCs w:val="15"/>
                    </w:rPr>
                    <w:t>声功率级/dB(A)</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55576ED">
                  <w:pPr>
                    <w:jc w:val="center"/>
                    <w:rPr>
                      <w:rFonts w:hint="default" w:ascii="Times New Roman" w:hAnsi="Times New Roman" w:cs="Times New Roman" w:eastAsiaTheme="minorEastAsia"/>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111EEB4C">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color w:val="auto"/>
                      <w:sz w:val="15"/>
                      <w:szCs w:val="15"/>
                    </w:rPr>
                    <w:t>X</w:t>
                  </w:r>
                </w:p>
              </w:tc>
              <w:tc>
                <w:tcPr>
                  <w:tcW w:w="242" w:type="pct"/>
                  <w:tcBorders>
                    <w:tl2br w:val="nil"/>
                    <w:tr2bl w:val="nil"/>
                  </w:tcBorders>
                  <w:shd w:val="clear" w:color="auto" w:fill="auto"/>
                  <w:tcMar>
                    <w:top w:w="0" w:type="dxa"/>
                    <w:left w:w="0" w:type="dxa"/>
                    <w:bottom w:w="0" w:type="dxa"/>
                    <w:right w:w="0" w:type="dxa"/>
                  </w:tcMar>
                  <w:vAlign w:val="center"/>
                </w:tcPr>
                <w:p w14:paraId="510D0961">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color w:val="auto"/>
                      <w:sz w:val="15"/>
                      <w:szCs w:val="15"/>
                    </w:rPr>
                    <w:t>Y</w:t>
                  </w:r>
                </w:p>
              </w:tc>
              <w:tc>
                <w:tcPr>
                  <w:tcW w:w="120" w:type="pct"/>
                  <w:tcBorders>
                    <w:tl2br w:val="nil"/>
                    <w:tr2bl w:val="nil"/>
                  </w:tcBorders>
                  <w:shd w:val="clear" w:color="auto" w:fill="auto"/>
                  <w:tcMar>
                    <w:top w:w="0" w:type="dxa"/>
                    <w:left w:w="0" w:type="dxa"/>
                    <w:bottom w:w="0" w:type="dxa"/>
                    <w:right w:w="0" w:type="dxa"/>
                  </w:tcMar>
                  <w:vAlign w:val="center"/>
                </w:tcPr>
                <w:p w14:paraId="74610939">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color w:val="auto"/>
                      <w:sz w:val="15"/>
                      <w:szCs w:val="15"/>
                    </w:rPr>
                    <w:t>Z</w:t>
                  </w:r>
                </w:p>
              </w:tc>
              <w:tc>
                <w:tcPr>
                  <w:tcW w:w="211" w:type="pct"/>
                  <w:tcBorders>
                    <w:tl2br w:val="nil"/>
                    <w:tr2bl w:val="nil"/>
                  </w:tcBorders>
                  <w:shd w:val="clear" w:color="auto" w:fill="auto"/>
                  <w:tcMar>
                    <w:top w:w="0" w:type="dxa"/>
                    <w:left w:w="0" w:type="dxa"/>
                    <w:bottom w:w="0" w:type="dxa"/>
                    <w:right w:w="0" w:type="dxa"/>
                  </w:tcMar>
                  <w:vAlign w:val="center"/>
                </w:tcPr>
                <w:p w14:paraId="65F94100">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color w:val="auto"/>
                      <w:sz w:val="15"/>
                      <w:szCs w:val="15"/>
                      <w:lang w:val="en-US" w:eastAsia="zh-CN"/>
                    </w:rPr>
                    <w:t>东</w:t>
                  </w:r>
                </w:p>
              </w:tc>
              <w:tc>
                <w:tcPr>
                  <w:tcW w:w="211" w:type="pct"/>
                  <w:tcBorders>
                    <w:tl2br w:val="nil"/>
                    <w:tr2bl w:val="nil"/>
                  </w:tcBorders>
                  <w:shd w:val="clear" w:color="auto" w:fill="auto"/>
                  <w:tcMar>
                    <w:top w:w="0" w:type="dxa"/>
                    <w:left w:w="0" w:type="dxa"/>
                    <w:bottom w:w="0" w:type="dxa"/>
                    <w:right w:w="0" w:type="dxa"/>
                  </w:tcMar>
                  <w:vAlign w:val="center"/>
                </w:tcPr>
                <w:p w14:paraId="0479F64E">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color w:val="auto"/>
                      <w:sz w:val="15"/>
                      <w:szCs w:val="15"/>
                      <w:lang w:val="en-US" w:eastAsia="zh-CN"/>
                    </w:rPr>
                    <w:t>南</w:t>
                  </w:r>
                </w:p>
              </w:tc>
              <w:tc>
                <w:tcPr>
                  <w:tcW w:w="211" w:type="pct"/>
                  <w:tcBorders>
                    <w:tl2br w:val="nil"/>
                    <w:tr2bl w:val="nil"/>
                  </w:tcBorders>
                  <w:shd w:val="clear" w:color="auto" w:fill="auto"/>
                  <w:tcMar>
                    <w:top w:w="0" w:type="dxa"/>
                    <w:left w:w="0" w:type="dxa"/>
                    <w:bottom w:w="0" w:type="dxa"/>
                    <w:right w:w="0" w:type="dxa"/>
                  </w:tcMar>
                  <w:vAlign w:val="center"/>
                </w:tcPr>
                <w:p w14:paraId="393B04EA">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color w:val="auto"/>
                      <w:sz w:val="15"/>
                      <w:szCs w:val="15"/>
                      <w:lang w:val="en-US" w:eastAsia="zh-CN"/>
                    </w:rPr>
                    <w:t>西</w:t>
                  </w:r>
                </w:p>
              </w:tc>
              <w:tc>
                <w:tcPr>
                  <w:tcW w:w="211" w:type="pct"/>
                  <w:tcBorders>
                    <w:tl2br w:val="nil"/>
                    <w:tr2bl w:val="nil"/>
                  </w:tcBorders>
                  <w:shd w:val="clear" w:color="auto" w:fill="auto"/>
                  <w:tcMar>
                    <w:top w:w="0" w:type="dxa"/>
                    <w:left w:w="0" w:type="dxa"/>
                    <w:bottom w:w="0" w:type="dxa"/>
                    <w:right w:w="0" w:type="dxa"/>
                  </w:tcMar>
                  <w:vAlign w:val="center"/>
                </w:tcPr>
                <w:p w14:paraId="1809D9E9">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color w:val="auto"/>
                      <w:sz w:val="15"/>
                      <w:szCs w:val="15"/>
                      <w:lang w:val="en-US" w:eastAsia="zh-CN"/>
                    </w:rPr>
                    <w:t>北</w:t>
                  </w:r>
                </w:p>
              </w:tc>
              <w:tc>
                <w:tcPr>
                  <w:tcW w:w="166" w:type="pct"/>
                  <w:tcBorders>
                    <w:tl2br w:val="nil"/>
                    <w:tr2bl w:val="nil"/>
                  </w:tcBorders>
                  <w:shd w:val="clear" w:color="auto" w:fill="auto"/>
                  <w:tcMar>
                    <w:top w:w="0" w:type="dxa"/>
                    <w:left w:w="0" w:type="dxa"/>
                    <w:bottom w:w="0" w:type="dxa"/>
                    <w:right w:w="0" w:type="dxa"/>
                  </w:tcMar>
                  <w:vAlign w:val="center"/>
                </w:tcPr>
                <w:p w14:paraId="282B8B2E">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color w:val="auto"/>
                      <w:sz w:val="15"/>
                      <w:szCs w:val="15"/>
                      <w:lang w:val="en-US" w:eastAsia="zh-CN"/>
                    </w:rPr>
                    <w:t>东</w:t>
                  </w:r>
                </w:p>
              </w:tc>
              <w:tc>
                <w:tcPr>
                  <w:tcW w:w="166" w:type="pct"/>
                  <w:tcBorders>
                    <w:tl2br w:val="nil"/>
                    <w:tr2bl w:val="nil"/>
                  </w:tcBorders>
                  <w:shd w:val="clear" w:color="auto" w:fill="auto"/>
                  <w:tcMar>
                    <w:top w:w="0" w:type="dxa"/>
                    <w:left w:w="0" w:type="dxa"/>
                    <w:bottom w:w="0" w:type="dxa"/>
                    <w:right w:w="0" w:type="dxa"/>
                  </w:tcMar>
                  <w:vAlign w:val="center"/>
                </w:tcPr>
                <w:p w14:paraId="28F7826C">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color w:val="auto"/>
                      <w:sz w:val="15"/>
                      <w:szCs w:val="15"/>
                      <w:lang w:val="en-US" w:eastAsia="zh-CN"/>
                    </w:rPr>
                    <w:t>南</w:t>
                  </w:r>
                </w:p>
              </w:tc>
              <w:tc>
                <w:tcPr>
                  <w:tcW w:w="166" w:type="pct"/>
                  <w:tcBorders>
                    <w:tl2br w:val="nil"/>
                    <w:tr2bl w:val="nil"/>
                  </w:tcBorders>
                  <w:shd w:val="clear" w:color="auto" w:fill="auto"/>
                  <w:tcMar>
                    <w:top w:w="0" w:type="dxa"/>
                    <w:left w:w="0" w:type="dxa"/>
                    <w:bottom w:w="0" w:type="dxa"/>
                    <w:right w:w="0" w:type="dxa"/>
                  </w:tcMar>
                  <w:vAlign w:val="center"/>
                </w:tcPr>
                <w:p w14:paraId="4D9DD97C">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color w:val="auto"/>
                      <w:sz w:val="15"/>
                      <w:szCs w:val="15"/>
                      <w:lang w:val="en-US" w:eastAsia="zh-CN"/>
                    </w:rPr>
                    <w:t>西</w:t>
                  </w:r>
                </w:p>
              </w:tc>
              <w:tc>
                <w:tcPr>
                  <w:tcW w:w="166" w:type="pct"/>
                  <w:tcBorders>
                    <w:tl2br w:val="nil"/>
                    <w:tr2bl w:val="nil"/>
                  </w:tcBorders>
                  <w:shd w:val="clear" w:color="auto" w:fill="auto"/>
                  <w:tcMar>
                    <w:top w:w="0" w:type="dxa"/>
                    <w:left w:w="0" w:type="dxa"/>
                    <w:bottom w:w="0" w:type="dxa"/>
                    <w:right w:w="0" w:type="dxa"/>
                  </w:tcMar>
                  <w:vAlign w:val="center"/>
                </w:tcPr>
                <w:p w14:paraId="4B877360">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color w:val="auto"/>
                      <w:sz w:val="15"/>
                      <w:szCs w:val="15"/>
                      <w:lang w:val="en-US" w:eastAsia="zh-CN"/>
                    </w:rPr>
                    <w:t>北</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080F1DC">
                  <w:pPr>
                    <w:jc w:val="center"/>
                    <w:rPr>
                      <w:rFonts w:hint="default" w:ascii="Times New Roman" w:hAnsi="Times New Roman" w:cs="Times New Roman" w:eastAsiaTheme="minorEastAsia"/>
                      <w:color w:val="auto"/>
                      <w:sz w:val="15"/>
                      <w:szCs w:val="15"/>
                    </w:rPr>
                  </w:pPr>
                </w:p>
              </w:tc>
              <w:tc>
                <w:tcPr>
                  <w:tcW w:w="166" w:type="pct"/>
                  <w:tcBorders>
                    <w:tl2br w:val="nil"/>
                    <w:tr2bl w:val="nil"/>
                  </w:tcBorders>
                  <w:shd w:val="clear" w:color="auto" w:fill="auto"/>
                  <w:tcMar>
                    <w:top w:w="0" w:type="dxa"/>
                    <w:left w:w="0" w:type="dxa"/>
                    <w:bottom w:w="0" w:type="dxa"/>
                    <w:right w:w="0" w:type="dxa"/>
                  </w:tcMar>
                  <w:vAlign w:val="center"/>
                </w:tcPr>
                <w:p w14:paraId="3670BA27">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color w:val="auto"/>
                      <w:sz w:val="15"/>
                      <w:szCs w:val="15"/>
                      <w:lang w:val="en-US" w:eastAsia="zh-CN"/>
                    </w:rPr>
                    <w:t>东</w:t>
                  </w:r>
                </w:p>
              </w:tc>
              <w:tc>
                <w:tcPr>
                  <w:tcW w:w="166" w:type="pct"/>
                  <w:tcBorders>
                    <w:tl2br w:val="nil"/>
                    <w:tr2bl w:val="nil"/>
                  </w:tcBorders>
                  <w:shd w:val="clear" w:color="auto" w:fill="auto"/>
                  <w:tcMar>
                    <w:top w:w="0" w:type="dxa"/>
                    <w:left w:w="0" w:type="dxa"/>
                    <w:bottom w:w="0" w:type="dxa"/>
                    <w:right w:w="0" w:type="dxa"/>
                  </w:tcMar>
                  <w:vAlign w:val="center"/>
                </w:tcPr>
                <w:p w14:paraId="613B0F2F">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color w:val="auto"/>
                      <w:sz w:val="15"/>
                      <w:szCs w:val="15"/>
                      <w:lang w:val="en-US" w:eastAsia="zh-CN"/>
                    </w:rPr>
                    <w:t>南</w:t>
                  </w:r>
                </w:p>
              </w:tc>
              <w:tc>
                <w:tcPr>
                  <w:tcW w:w="166" w:type="pct"/>
                  <w:tcBorders>
                    <w:tl2br w:val="nil"/>
                    <w:tr2bl w:val="nil"/>
                  </w:tcBorders>
                  <w:shd w:val="clear" w:color="auto" w:fill="auto"/>
                  <w:tcMar>
                    <w:top w:w="0" w:type="dxa"/>
                    <w:left w:w="0" w:type="dxa"/>
                    <w:bottom w:w="0" w:type="dxa"/>
                    <w:right w:w="0" w:type="dxa"/>
                  </w:tcMar>
                  <w:vAlign w:val="center"/>
                </w:tcPr>
                <w:p w14:paraId="47301914">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color w:val="auto"/>
                      <w:sz w:val="15"/>
                      <w:szCs w:val="15"/>
                      <w:lang w:val="en-US" w:eastAsia="zh-CN"/>
                    </w:rPr>
                    <w:t>西</w:t>
                  </w:r>
                </w:p>
              </w:tc>
              <w:tc>
                <w:tcPr>
                  <w:tcW w:w="166" w:type="pct"/>
                  <w:tcBorders>
                    <w:tl2br w:val="nil"/>
                    <w:tr2bl w:val="nil"/>
                  </w:tcBorders>
                  <w:shd w:val="clear" w:color="auto" w:fill="auto"/>
                  <w:tcMar>
                    <w:top w:w="0" w:type="dxa"/>
                    <w:left w:w="0" w:type="dxa"/>
                    <w:bottom w:w="0" w:type="dxa"/>
                    <w:right w:w="0" w:type="dxa"/>
                  </w:tcMar>
                  <w:vAlign w:val="center"/>
                </w:tcPr>
                <w:p w14:paraId="30A60923">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color w:val="auto"/>
                      <w:sz w:val="15"/>
                      <w:szCs w:val="15"/>
                      <w:lang w:val="en-US" w:eastAsia="zh-CN"/>
                    </w:rPr>
                    <w:t>北</w:t>
                  </w:r>
                </w:p>
              </w:tc>
              <w:tc>
                <w:tcPr>
                  <w:tcW w:w="166" w:type="pct"/>
                  <w:tcBorders>
                    <w:tl2br w:val="nil"/>
                    <w:tr2bl w:val="nil"/>
                  </w:tcBorders>
                  <w:shd w:val="clear" w:color="auto" w:fill="auto"/>
                  <w:tcMar>
                    <w:top w:w="0" w:type="dxa"/>
                    <w:left w:w="0" w:type="dxa"/>
                    <w:bottom w:w="0" w:type="dxa"/>
                    <w:right w:w="0" w:type="dxa"/>
                  </w:tcMar>
                  <w:vAlign w:val="center"/>
                </w:tcPr>
                <w:p w14:paraId="1B4D1EBE">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color w:val="auto"/>
                      <w:sz w:val="15"/>
                      <w:szCs w:val="15"/>
                      <w:lang w:val="en-US" w:eastAsia="zh-CN"/>
                    </w:rPr>
                    <w:t>东</w:t>
                  </w:r>
                </w:p>
              </w:tc>
              <w:tc>
                <w:tcPr>
                  <w:tcW w:w="166" w:type="pct"/>
                  <w:tcBorders>
                    <w:tl2br w:val="nil"/>
                    <w:tr2bl w:val="nil"/>
                  </w:tcBorders>
                  <w:shd w:val="clear" w:color="auto" w:fill="auto"/>
                  <w:tcMar>
                    <w:top w:w="0" w:type="dxa"/>
                    <w:left w:w="0" w:type="dxa"/>
                    <w:bottom w:w="0" w:type="dxa"/>
                    <w:right w:w="0" w:type="dxa"/>
                  </w:tcMar>
                  <w:vAlign w:val="center"/>
                </w:tcPr>
                <w:p w14:paraId="63FC1651">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color w:val="auto"/>
                      <w:sz w:val="15"/>
                      <w:szCs w:val="15"/>
                      <w:lang w:val="en-US" w:eastAsia="zh-CN"/>
                    </w:rPr>
                    <w:t>南</w:t>
                  </w:r>
                </w:p>
              </w:tc>
              <w:tc>
                <w:tcPr>
                  <w:tcW w:w="166" w:type="pct"/>
                  <w:tcBorders>
                    <w:tl2br w:val="nil"/>
                    <w:tr2bl w:val="nil"/>
                  </w:tcBorders>
                  <w:shd w:val="clear" w:color="auto" w:fill="auto"/>
                  <w:tcMar>
                    <w:top w:w="0" w:type="dxa"/>
                    <w:left w:w="0" w:type="dxa"/>
                    <w:bottom w:w="0" w:type="dxa"/>
                    <w:right w:w="0" w:type="dxa"/>
                  </w:tcMar>
                  <w:vAlign w:val="center"/>
                </w:tcPr>
                <w:p w14:paraId="07313EBC">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color w:val="auto"/>
                      <w:sz w:val="15"/>
                      <w:szCs w:val="15"/>
                      <w:lang w:val="en-US" w:eastAsia="zh-CN"/>
                    </w:rPr>
                    <w:t>西</w:t>
                  </w:r>
                </w:p>
              </w:tc>
              <w:tc>
                <w:tcPr>
                  <w:tcW w:w="166" w:type="pct"/>
                  <w:tcBorders>
                    <w:tl2br w:val="nil"/>
                    <w:tr2bl w:val="nil"/>
                  </w:tcBorders>
                  <w:shd w:val="clear" w:color="auto" w:fill="auto"/>
                  <w:tcMar>
                    <w:top w:w="0" w:type="dxa"/>
                    <w:left w:w="0" w:type="dxa"/>
                    <w:bottom w:w="0" w:type="dxa"/>
                    <w:right w:w="0" w:type="dxa"/>
                  </w:tcMar>
                  <w:vAlign w:val="center"/>
                </w:tcPr>
                <w:p w14:paraId="3F70B3B1">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color w:val="auto"/>
                      <w:sz w:val="15"/>
                      <w:szCs w:val="15"/>
                      <w:lang w:val="en-US" w:eastAsia="zh-CN"/>
                    </w:rPr>
                    <w:t>北</w:t>
                  </w:r>
                </w:p>
              </w:tc>
              <w:tc>
                <w:tcPr>
                  <w:tcW w:w="104" w:type="pct"/>
                  <w:tcBorders>
                    <w:tl2br w:val="nil"/>
                    <w:tr2bl w:val="nil"/>
                  </w:tcBorders>
                  <w:shd w:val="clear" w:color="auto" w:fill="auto"/>
                  <w:tcMar>
                    <w:top w:w="0" w:type="dxa"/>
                    <w:left w:w="0" w:type="dxa"/>
                    <w:bottom w:w="0" w:type="dxa"/>
                    <w:right w:w="0" w:type="dxa"/>
                  </w:tcMar>
                  <w:vAlign w:val="center"/>
                </w:tcPr>
                <w:p w14:paraId="05B8F2FE">
                  <w:pPr>
                    <w:jc w:val="center"/>
                    <w:rPr>
                      <w:rFonts w:hint="default" w:ascii="Times New Roman" w:hAnsi="Times New Roman" w:cs="Times New Roman" w:eastAsiaTheme="minorEastAsia"/>
                      <w:color w:val="auto"/>
                      <w:sz w:val="15"/>
                      <w:szCs w:val="15"/>
                    </w:rPr>
                  </w:pPr>
                  <w:r>
                    <w:rPr>
                      <w:rFonts w:hint="default" w:ascii="Times New Roman" w:hAnsi="Times New Roman" w:cs="Times New Roman" w:eastAsiaTheme="minorEastAsia"/>
                      <w:color w:val="auto"/>
                      <w:sz w:val="15"/>
                      <w:szCs w:val="15"/>
                    </w:rPr>
                    <w:t>建筑物外距离</w:t>
                  </w:r>
                </w:p>
              </w:tc>
            </w:tr>
            <w:tr w14:paraId="59308E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0AE05B3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c>
                <w:tcPr>
                  <w:tcW w:w="223" w:type="pct"/>
                  <w:vMerge w:val="restart"/>
                  <w:tcBorders>
                    <w:tl2br w:val="nil"/>
                    <w:tr2bl w:val="nil"/>
                  </w:tcBorders>
                  <w:shd w:val="clear" w:color="auto" w:fill="auto"/>
                  <w:tcMar>
                    <w:top w:w="0" w:type="dxa"/>
                    <w:left w:w="0" w:type="dxa"/>
                    <w:bottom w:w="0" w:type="dxa"/>
                    <w:right w:w="0" w:type="dxa"/>
                  </w:tcMar>
                  <w:vAlign w:val="center"/>
                </w:tcPr>
                <w:p w14:paraId="3D21C1D6">
                  <w:pPr>
                    <w:jc w:val="center"/>
                    <w:rPr>
                      <w:rFonts w:hint="default" w:ascii="Times New Roman" w:hAnsi="Times New Roman" w:eastAsia="宋体" w:cs="Times New Roman"/>
                      <w:color w:val="auto"/>
                      <w:sz w:val="15"/>
                      <w:szCs w:val="15"/>
                      <w:lang w:val="en-US" w:eastAsia="zh-CN"/>
                    </w:rPr>
                  </w:pPr>
                  <w:r>
                    <w:rPr>
                      <w:rFonts w:hint="eastAsia" w:eastAsia="宋体" w:cs="Times New Roman"/>
                      <w:color w:val="auto"/>
                      <w:sz w:val="15"/>
                      <w:szCs w:val="15"/>
                      <w:lang w:val="en-US" w:eastAsia="zh-CN"/>
                    </w:rPr>
                    <w:t>硅钢车间</w:t>
                  </w:r>
                </w:p>
              </w:tc>
              <w:tc>
                <w:tcPr>
                  <w:tcW w:w="295" w:type="pct"/>
                  <w:tcBorders>
                    <w:tl2br w:val="nil"/>
                    <w:tr2bl w:val="nil"/>
                  </w:tcBorders>
                  <w:shd w:val="clear" w:color="auto" w:fill="auto"/>
                  <w:tcMar>
                    <w:top w:w="0" w:type="dxa"/>
                    <w:left w:w="0" w:type="dxa"/>
                    <w:bottom w:w="0" w:type="dxa"/>
                    <w:right w:w="0" w:type="dxa"/>
                  </w:tcMar>
                  <w:vAlign w:val="center"/>
                </w:tcPr>
                <w:p w14:paraId="019B0FD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开卷机</w:t>
                  </w:r>
                </w:p>
              </w:tc>
              <w:tc>
                <w:tcPr>
                  <w:tcW w:w="264" w:type="pct"/>
                  <w:tcBorders>
                    <w:tl2br w:val="nil"/>
                    <w:tr2bl w:val="nil"/>
                  </w:tcBorders>
                  <w:shd w:val="clear" w:color="auto" w:fill="auto"/>
                  <w:tcMar>
                    <w:top w:w="0" w:type="dxa"/>
                    <w:left w:w="0" w:type="dxa"/>
                    <w:bottom w:w="0" w:type="dxa"/>
                    <w:right w:w="0" w:type="dxa"/>
                  </w:tcMar>
                  <w:vAlign w:val="center"/>
                </w:tcPr>
                <w:p w14:paraId="08EBDBF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223" w:type="pct"/>
                  <w:vMerge w:val="restart"/>
                  <w:tcBorders>
                    <w:tl2br w:val="nil"/>
                    <w:tr2bl w:val="nil"/>
                  </w:tcBorders>
                  <w:shd w:val="clear" w:color="auto" w:fill="auto"/>
                  <w:tcMar>
                    <w:top w:w="0" w:type="dxa"/>
                    <w:left w:w="0" w:type="dxa"/>
                    <w:bottom w:w="0" w:type="dxa"/>
                    <w:right w:w="0" w:type="dxa"/>
                  </w:tcMar>
                  <w:vAlign w:val="center"/>
                </w:tcPr>
                <w:p w14:paraId="14B990A5">
                  <w:pPr>
                    <w:jc w:val="center"/>
                    <w:rPr>
                      <w:rFonts w:hint="default"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减振、隔声、消声等</w:t>
                  </w:r>
                </w:p>
              </w:tc>
              <w:tc>
                <w:tcPr>
                  <w:tcW w:w="238" w:type="pct"/>
                  <w:tcBorders>
                    <w:tl2br w:val="nil"/>
                    <w:tr2bl w:val="nil"/>
                  </w:tcBorders>
                  <w:shd w:val="clear" w:color="auto" w:fill="auto"/>
                  <w:tcMar>
                    <w:top w:w="0" w:type="dxa"/>
                    <w:left w:w="0" w:type="dxa"/>
                    <w:bottom w:w="0" w:type="dxa"/>
                    <w:right w:w="0" w:type="dxa"/>
                  </w:tcMar>
                  <w:vAlign w:val="center"/>
                </w:tcPr>
                <w:p w14:paraId="59B2A22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5.4</w:t>
                  </w:r>
                </w:p>
              </w:tc>
              <w:tc>
                <w:tcPr>
                  <w:tcW w:w="242" w:type="pct"/>
                  <w:tcBorders>
                    <w:tl2br w:val="nil"/>
                    <w:tr2bl w:val="nil"/>
                  </w:tcBorders>
                  <w:shd w:val="clear" w:color="auto" w:fill="auto"/>
                  <w:tcMar>
                    <w:top w:w="0" w:type="dxa"/>
                    <w:left w:w="0" w:type="dxa"/>
                    <w:bottom w:w="0" w:type="dxa"/>
                    <w:right w:w="0" w:type="dxa"/>
                  </w:tcMar>
                  <w:vAlign w:val="center"/>
                </w:tcPr>
                <w:p w14:paraId="54B52CF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-192.2</w:t>
                  </w:r>
                </w:p>
              </w:tc>
              <w:tc>
                <w:tcPr>
                  <w:tcW w:w="120" w:type="pct"/>
                  <w:tcBorders>
                    <w:tl2br w:val="nil"/>
                    <w:tr2bl w:val="nil"/>
                  </w:tcBorders>
                  <w:shd w:val="clear" w:color="auto" w:fill="auto"/>
                  <w:tcMar>
                    <w:top w:w="0" w:type="dxa"/>
                    <w:left w:w="0" w:type="dxa"/>
                    <w:bottom w:w="0" w:type="dxa"/>
                    <w:right w:w="0" w:type="dxa"/>
                  </w:tcMar>
                  <w:vAlign w:val="center"/>
                </w:tcPr>
                <w:p w14:paraId="105998A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797EA95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76.9</w:t>
                  </w:r>
                </w:p>
              </w:tc>
              <w:tc>
                <w:tcPr>
                  <w:tcW w:w="211" w:type="pct"/>
                  <w:tcBorders>
                    <w:tl2br w:val="nil"/>
                    <w:tr2bl w:val="nil"/>
                  </w:tcBorders>
                  <w:shd w:val="clear" w:color="auto" w:fill="auto"/>
                  <w:tcMar>
                    <w:top w:w="0" w:type="dxa"/>
                    <w:left w:w="0" w:type="dxa"/>
                    <w:bottom w:w="0" w:type="dxa"/>
                    <w:right w:w="0" w:type="dxa"/>
                  </w:tcMar>
                  <w:vAlign w:val="center"/>
                </w:tcPr>
                <w:p w14:paraId="7DE9186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60.1</w:t>
                  </w:r>
                </w:p>
              </w:tc>
              <w:tc>
                <w:tcPr>
                  <w:tcW w:w="211" w:type="pct"/>
                  <w:tcBorders>
                    <w:tl2br w:val="nil"/>
                    <w:tr2bl w:val="nil"/>
                  </w:tcBorders>
                  <w:shd w:val="clear" w:color="auto" w:fill="auto"/>
                  <w:tcMar>
                    <w:top w:w="0" w:type="dxa"/>
                    <w:left w:w="0" w:type="dxa"/>
                    <w:bottom w:w="0" w:type="dxa"/>
                    <w:right w:w="0" w:type="dxa"/>
                  </w:tcMar>
                  <w:vAlign w:val="center"/>
                </w:tcPr>
                <w:p w14:paraId="6A93665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12.0</w:t>
                  </w:r>
                </w:p>
              </w:tc>
              <w:tc>
                <w:tcPr>
                  <w:tcW w:w="211" w:type="pct"/>
                  <w:tcBorders>
                    <w:tl2br w:val="nil"/>
                    <w:tr2bl w:val="nil"/>
                  </w:tcBorders>
                  <w:shd w:val="clear" w:color="auto" w:fill="auto"/>
                  <w:tcMar>
                    <w:top w:w="0" w:type="dxa"/>
                    <w:left w:w="0" w:type="dxa"/>
                    <w:bottom w:w="0" w:type="dxa"/>
                    <w:right w:w="0" w:type="dxa"/>
                  </w:tcMar>
                  <w:vAlign w:val="center"/>
                </w:tcPr>
                <w:p w14:paraId="7B12C10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380.5</w:t>
                  </w:r>
                </w:p>
              </w:tc>
              <w:tc>
                <w:tcPr>
                  <w:tcW w:w="166" w:type="pct"/>
                  <w:tcBorders>
                    <w:tl2br w:val="nil"/>
                    <w:tr2bl w:val="nil"/>
                  </w:tcBorders>
                  <w:shd w:val="clear" w:color="auto" w:fill="auto"/>
                  <w:tcMar>
                    <w:top w:w="0" w:type="dxa"/>
                    <w:left w:w="0" w:type="dxa"/>
                    <w:bottom w:w="0" w:type="dxa"/>
                    <w:right w:w="0" w:type="dxa"/>
                  </w:tcMar>
                  <w:vAlign w:val="center"/>
                </w:tcPr>
                <w:p w14:paraId="18A3B6B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076ED22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13CA694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62.6</w:t>
                  </w:r>
                </w:p>
              </w:tc>
              <w:tc>
                <w:tcPr>
                  <w:tcW w:w="166" w:type="pct"/>
                  <w:tcBorders>
                    <w:tl2br w:val="nil"/>
                    <w:tr2bl w:val="nil"/>
                  </w:tcBorders>
                  <w:shd w:val="clear" w:color="auto" w:fill="auto"/>
                  <w:tcMar>
                    <w:top w:w="0" w:type="dxa"/>
                    <w:left w:w="0" w:type="dxa"/>
                    <w:bottom w:w="0" w:type="dxa"/>
                    <w:right w:w="0" w:type="dxa"/>
                  </w:tcMar>
                  <w:vAlign w:val="center"/>
                </w:tcPr>
                <w:p w14:paraId="1BCA852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223" w:type="pct"/>
                  <w:tcBorders>
                    <w:tl2br w:val="nil"/>
                    <w:tr2bl w:val="nil"/>
                  </w:tcBorders>
                  <w:shd w:val="clear" w:color="auto" w:fill="auto"/>
                  <w:tcMar>
                    <w:top w:w="0" w:type="dxa"/>
                    <w:left w:w="0" w:type="dxa"/>
                    <w:bottom w:w="0" w:type="dxa"/>
                    <w:right w:w="0" w:type="dxa"/>
                  </w:tcMar>
                  <w:vAlign w:val="center"/>
                </w:tcPr>
                <w:p w14:paraId="047AA1B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1C4BB5F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BACEA8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DE2E4F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B4AFB3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EBE1E2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4B5A914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15CE0EB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41.6</w:t>
                  </w:r>
                </w:p>
              </w:tc>
              <w:tc>
                <w:tcPr>
                  <w:tcW w:w="166" w:type="pct"/>
                  <w:tcBorders>
                    <w:tl2br w:val="nil"/>
                    <w:tr2bl w:val="nil"/>
                  </w:tcBorders>
                  <w:shd w:val="clear" w:color="auto" w:fill="auto"/>
                  <w:tcMar>
                    <w:top w:w="0" w:type="dxa"/>
                    <w:left w:w="0" w:type="dxa"/>
                    <w:bottom w:w="0" w:type="dxa"/>
                    <w:right w:w="0" w:type="dxa"/>
                  </w:tcMar>
                  <w:vAlign w:val="center"/>
                </w:tcPr>
                <w:p w14:paraId="165552A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04" w:type="pct"/>
                  <w:tcBorders>
                    <w:tl2br w:val="nil"/>
                    <w:tr2bl w:val="nil"/>
                  </w:tcBorders>
                  <w:shd w:val="clear" w:color="auto" w:fill="auto"/>
                  <w:tcMar>
                    <w:top w:w="0" w:type="dxa"/>
                    <w:left w:w="0" w:type="dxa"/>
                    <w:bottom w:w="0" w:type="dxa"/>
                    <w:right w:w="0" w:type="dxa"/>
                  </w:tcMar>
                  <w:vAlign w:val="center"/>
                </w:tcPr>
                <w:p w14:paraId="0901DF0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0D9DEC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311E058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909C007">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73B4F0E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开卷机</w:t>
                  </w:r>
                </w:p>
              </w:tc>
              <w:tc>
                <w:tcPr>
                  <w:tcW w:w="264" w:type="pct"/>
                  <w:tcBorders>
                    <w:tl2br w:val="nil"/>
                    <w:tr2bl w:val="nil"/>
                  </w:tcBorders>
                  <w:shd w:val="clear" w:color="auto" w:fill="auto"/>
                  <w:tcMar>
                    <w:top w:w="0" w:type="dxa"/>
                    <w:left w:w="0" w:type="dxa"/>
                    <w:bottom w:w="0" w:type="dxa"/>
                    <w:right w:w="0" w:type="dxa"/>
                  </w:tcMar>
                  <w:vAlign w:val="center"/>
                </w:tcPr>
                <w:p w14:paraId="101B258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CAD341B">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BA53EC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8.8</w:t>
                  </w:r>
                </w:p>
              </w:tc>
              <w:tc>
                <w:tcPr>
                  <w:tcW w:w="242" w:type="pct"/>
                  <w:tcBorders>
                    <w:tl2br w:val="nil"/>
                    <w:tr2bl w:val="nil"/>
                  </w:tcBorders>
                  <w:shd w:val="clear" w:color="auto" w:fill="auto"/>
                  <w:tcMar>
                    <w:top w:w="0" w:type="dxa"/>
                    <w:left w:w="0" w:type="dxa"/>
                    <w:bottom w:w="0" w:type="dxa"/>
                    <w:right w:w="0" w:type="dxa"/>
                  </w:tcMar>
                  <w:vAlign w:val="center"/>
                </w:tcPr>
                <w:p w14:paraId="2134B38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-184.5</w:t>
                  </w:r>
                </w:p>
              </w:tc>
              <w:tc>
                <w:tcPr>
                  <w:tcW w:w="120" w:type="pct"/>
                  <w:tcBorders>
                    <w:tl2br w:val="nil"/>
                    <w:tr2bl w:val="nil"/>
                  </w:tcBorders>
                  <w:shd w:val="clear" w:color="auto" w:fill="auto"/>
                  <w:tcMar>
                    <w:top w:w="0" w:type="dxa"/>
                    <w:left w:w="0" w:type="dxa"/>
                    <w:bottom w:w="0" w:type="dxa"/>
                    <w:right w:w="0" w:type="dxa"/>
                  </w:tcMar>
                  <w:vAlign w:val="center"/>
                </w:tcPr>
                <w:p w14:paraId="2F03C8D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48C9141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76.5</w:t>
                  </w:r>
                </w:p>
              </w:tc>
              <w:tc>
                <w:tcPr>
                  <w:tcW w:w="211" w:type="pct"/>
                  <w:tcBorders>
                    <w:tl2br w:val="nil"/>
                    <w:tr2bl w:val="nil"/>
                  </w:tcBorders>
                  <w:shd w:val="clear" w:color="auto" w:fill="auto"/>
                  <w:tcMar>
                    <w:top w:w="0" w:type="dxa"/>
                    <w:left w:w="0" w:type="dxa"/>
                    <w:bottom w:w="0" w:type="dxa"/>
                    <w:right w:w="0" w:type="dxa"/>
                  </w:tcMar>
                  <w:vAlign w:val="center"/>
                </w:tcPr>
                <w:p w14:paraId="0A255F2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68.5</w:t>
                  </w:r>
                </w:p>
              </w:tc>
              <w:tc>
                <w:tcPr>
                  <w:tcW w:w="211" w:type="pct"/>
                  <w:tcBorders>
                    <w:tl2br w:val="nil"/>
                    <w:tr2bl w:val="nil"/>
                  </w:tcBorders>
                  <w:shd w:val="clear" w:color="auto" w:fill="auto"/>
                  <w:tcMar>
                    <w:top w:w="0" w:type="dxa"/>
                    <w:left w:w="0" w:type="dxa"/>
                    <w:bottom w:w="0" w:type="dxa"/>
                    <w:right w:w="0" w:type="dxa"/>
                  </w:tcMar>
                  <w:vAlign w:val="center"/>
                </w:tcPr>
                <w:p w14:paraId="1F9124B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3.5</w:t>
                  </w:r>
                </w:p>
              </w:tc>
              <w:tc>
                <w:tcPr>
                  <w:tcW w:w="211" w:type="pct"/>
                  <w:tcBorders>
                    <w:tl2br w:val="nil"/>
                    <w:tr2bl w:val="nil"/>
                  </w:tcBorders>
                  <w:shd w:val="clear" w:color="auto" w:fill="auto"/>
                  <w:tcMar>
                    <w:top w:w="0" w:type="dxa"/>
                    <w:left w:w="0" w:type="dxa"/>
                    <w:bottom w:w="0" w:type="dxa"/>
                    <w:right w:w="0" w:type="dxa"/>
                  </w:tcMar>
                  <w:vAlign w:val="center"/>
                </w:tcPr>
                <w:p w14:paraId="0FCC151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372.1</w:t>
                  </w:r>
                </w:p>
              </w:tc>
              <w:tc>
                <w:tcPr>
                  <w:tcW w:w="166" w:type="pct"/>
                  <w:tcBorders>
                    <w:tl2br w:val="nil"/>
                    <w:tr2bl w:val="nil"/>
                  </w:tcBorders>
                  <w:shd w:val="clear" w:color="auto" w:fill="auto"/>
                  <w:tcMar>
                    <w:top w:w="0" w:type="dxa"/>
                    <w:left w:w="0" w:type="dxa"/>
                    <w:bottom w:w="0" w:type="dxa"/>
                    <w:right w:w="0" w:type="dxa"/>
                  </w:tcMar>
                  <w:vAlign w:val="center"/>
                </w:tcPr>
                <w:p w14:paraId="36A3A0A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3C597C3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12211A3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65.7</w:t>
                  </w:r>
                </w:p>
              </w:tc>
              <w:tc>
                <w:tcPr>
                  <w:tcW w:w="166" w:type="pct"/>
                  <w:tcBorders>
                    <w:tl2br w:val="nil"/>
                    <w:tr2bl w:val="nil"/>
                  </w:tcBorders>
                  <w:shd w:val="clear" w:color="auto" w:fill="auto"/>
                  <w:tcMar>
                    <w:top w:w="0" w:type="dxa"/>
                    <w:left w:w="0" w:type="dxa"/>
                    <w:bottom w:w="0" w:type="dxa"/>
                    <w:right w:w="0" w:type="dxa"/>
                  </w:tcMar>
                  <w:vAlign w:val="center"/>
                </w:tcPr>
                <w:p w14:paraId="4572424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223" w:type="pct"/>
                  <w:tcBorders>
                    <w:tl2br w:val="nil"/>
                    <w:tr2bl w:val="nil"/>
                  </w:tcBorders>
                  <w:shd w:val="clear" w:color="auto" w:fill="auto"/>
                  <w:tcMar>
                    <w:top w:w="0" w:type="dxa"/>
                    <w:left w:w="0" w:type="dxa"/>
                    <w:bottom w:w="0" w:type="dxa"/>
                    <w:right w:w="0" w:type="dxa"/>
                  </w:tcMar>
                  <w:vAlign w:val="center"/>
                </w:tcPr>
                <w:p w14:paraId="08EC107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03A9FBE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157467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C76677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B9C84F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3A04C4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5D231F8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51F811A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44.7</w:t>
                  </w:r>
                </w:p>
              </w:tc>
              <w:tc>
                <w:tcPr>
                  <w:tcW w:w="166" w:type="pct"/>
                  <w:tcBorders>
                    <w:tl2br w:val="nil"/>
                    <w:tr2bl w:val="nil"/>
                  </w:tcBorders>
                  <w:shd w:val="clear" w:color="auto" w:fill="auto"/>
                  <w:tcMar>
                    <w:top w:w="0" w:type="dxa"/>
                    <w:left w:w="0" w:type="dxa"/>
                    <w:bottom w:w="0" w:type="dxa"/>
                    <w:right w:w="0" w:type="dxa"/>
                  </w:tcMar>
                  <w:vAlign w:val="center"/>
                </w:tcPr>
                <w:p w14:paraId="132890C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04" w:type="pct"/>
                  <w:tcBorders>
                    <w:tl2br w:val="nil"/>
                    <w:tr2bl w:val="nil"/>
                  </w:tcBorders>
                  <w:shd w:val="clear" w:color="auto" w:fill="auto"/>
                  <w:tcMar>
                    <w:top w:w="0" w:type="dxa"/>
                    <w:left w:w="0" w:type="dxa"/>
                    <w:bottom w:w="0" w:type="dxa"/>
                    <w:right w:w="0" w:type="dxa"/>
                  </w:tcMar>
                  <w:vAlign w:val="center"/>
                </w:tcPr>
                <w:p w14:paraId="6566263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534977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5D8F2E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3DE4E74">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49AEE6E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圆盘剪</w:t>
                  </w:r>
                </w:p>
              </w:tc>
              <w:tc>
                <w:tcPr>
                  <w:tcW w:w="264" w:type="pct"/>
                  <w:tcBorders>
                    <w:tl2br w:val="nil"/>
                    <w:tr2bl w:val="nil"/>
                  </w:tcBorders>
                  <w:shd w:val="clear" w:color="auto" w:fill="auto"/>
                  <w:tcMar>
                    <w:top w:w="0" w:type="dxa"/>
                    <w:left w:w="0" w:type="dxa"/>
                    <w:bottom w:w="0" w:type="dxa"/>
                    <w:right w:w="0" w:type="dxa"/>
                  </w:tcMar>
                  <w:vAlign w:val="center"/>
                </w:tcPr>
                <w:p w14:paraId="22BCE20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4F12223">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7CFE8CF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13.1</w:t>
                  </w:r>
                </w:p>
              </w:tc>
              <w:tc>
                <w:tcPr>
                  <w:tcW w:w="242" w:type="pct"/>
                  <w:tcBorders>
                    <w:tl2br w:val="nil"/>
                    <w:tr2bl w:val="nil"/>
                  </w:tcBorders>
                  <w:shd w:val="clear" w:color="auto" w:fill="auto"/>
                  <w:tcMar>
                    <w:top w:w="0" w:type="dxa"/>
                    <w:left w:w="0" w:type="dxa"/>
                    <w:bottom w:w="0" w:type="dxa"/>
                    <w:right w:w="0" w:type="dxa"/>
                  </w:tcMar>
                  <w:vAlign w:val="center"/>
                </w:tcPr>
                <w:p w14:paraId="151FECD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-172.5</w:t>
                  </w:r>
                </w:p>
              </w:tc>
              <w:tc>
                <w:tcPr>
                  <w:tcW w:w="120" w:type="pct"/>
                  <w:tcBorders>
                    <w:tl2br w:val="nil"/>
                    <w:tr2bl w:val="nil"/>
                  </w:tcBorders>
                  <w:shd w:val="clear" w:color="auto" w:fill="auto"/>
                  <w:tcMar>
                    <w:top w:w="0" w:type="dxa"/>
                    <w:left w:w="0" w:type="dxa"/>
                    <w:bottom w:w="0" w:type="dxa"/>
                    <w:right w:w="0" w:type="dxa"/>
                  </w:tcMar>
                  <w:vAlign w:val="center"/>
                </w:tcPr>
                <w:p w14:paraId="529E352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44A59F5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77.0</w:t>
                  </w:r>
                </w:p>
              </w:tc>
              <w:tc>
                <w:tcPr>
                  <w:tcW w:w="211" w:type="pct"/>
                  <w:tcBorders>
                    <w:tl2br w:val="nil"/>
                    <w:tr2bl w:val="nil"/>
                  </w:tcBorders>
                  <w:shd w:val="clear" w:color="auto" w:fill="auto"/>
                  <w:tcMar>
                    <w:top w:w="0" w:type="dxa"/>
                    <w:left w:w="0" w:type="dxa"/>
                    <w:bottom w:w="0" w:type="dxa"/>
                    <w:right w:w="0" w:type="dxa"/>
                  </w:tcMar>
                  <w:vAlign w:val="center"/>
                </w:tcPr>
                <w:p w14:paraId="0D1740F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81.2</w:t>
                  </w:r>
                </w:p>
              </w:tc>
              <w:tc>
                <w:tcPr>
                  <w:tcW w:w="211" w:type="pct"/>
                  <w:tcBorders>
                    <w:tl2br w:val="nil"/>
                    <w:tr2bl w:val="nil"/>
                  </w:tcBorders>
                  <w:shd w:val="clear" w:color="auto" w:fill="auto"/>
                  <w:tcMar>
                    <w:top w:w="0" w:type="dxa"/>
                    <w:left w:w="0" w:type="dxa"/>
                    <w:bottom w:w="0" w:type="dxa"/>
                    <w:right w:w="0" w:type="dxa"/>
                  </w:tcMar>
                  <w:vAlign w:val="center"/>
                </w:tcPr>
                <w:p w14:paraId="6E73F0A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9.1</w:t>
                  </w:r>
                </w:p>
              </w:tc>
              <w:tc>
                <w:tcPr>
                  <w:tcW w:w="211" w:type="pct"/>
                  <w:tcBorders>
                    <w:tl2br w:val="nil"/>
                    <w:tr2bl w:val="nil"/>
                  </w:tcBorders>
                  <w:shd w:val="clear" w:color="auto" w:fill="auto"/>
                  <w:tcMar>
                    <w:top w:w="0" w:type="dxa"/>
                    <w:left w:w="0" w:type="dxa"/>
                    <w:bottom w:w="0" w:type="dxa"/>
                    <w:right w:w="0" w:type="dxa"/>
                  </w:tcMar>
                  <w:vAlign w:val="center"/>
                </w:tcPr>
                <w:p w14:paraId="2B39180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359.4</w:t>
                  </w:r>
                </w:p>
              </w:tc>
              <w:tc>
                <w:tcPr>
                  <w:tcW w:w="166" w:type="pct"/>
                  <w:tcBorders>
                    <w:tl2br w:val="nil"/>
                    <w:tr2bl w:val="nil"/>
                  </w:tcBorders>
                  <w:shd w:val="clear" w:color="auto" w:fill="auto"/>
                  <w:tcMar>
                    <w:top w:w="0" w:type="dxa"/>
                    <w:left w:w="0" w:type="dxa"/>
                    <w:bottom w:w="0" w:type="dxa"/>
                    <w:right w:w="0" w:type="dxa"/>
                  </w:tcMar>
                  <w:vAlign w:val="center"/>
                </w:tcPr>
                <w:p w14:paraId="05383BF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C6D9A1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1CF09F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67.9</w:t>
                  </w:r>
                </w:p>
              </w:tc>
              <w:tc>
                <w:tcPr>
                  <w:tcW w:w="166" w:type="pct"/>
                  <w:tcBorders>
                    <w:tl2br w:val="nil"/>
                    <w:tr2bl w:val="nil"/>
                  </w:tcBorders>
                  <w:shd w:val="clear" w:color="auto" w:fill="auto"/>
                  <w:tcMar>
                    <w:top w:w="0" w:type="dxa"/>
                    <w:left w:w="0" w:type="dxa"/>
                    <w:bottom w:w="0" w:type="dxa"/>
                    <w:right w:w="0" w:type="dxa"/>
                  </w:tcMar>
                  <w:vAlign w:val="center"/>
                </w:tcPr>
                <w:p w14:paraId="2527CE9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156855F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5CD9CE7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620B30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56227E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7F178F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10A539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9A8E15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FA7AC8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46.9</w:t>
                  </w:r>
                </w:p>
              </w:tc>
              <w:tc>
                <w:tcPr>
                  <w:tcW w:w="166" w:type="pct"/>
                  <w:tcBorders>
                    <w:tl2br w:val="nil"/>
                    <w:tr2bl w:val="nil"/>
                  </w:tcBorders>
                  <w:shd w:val="clear" w:color="auto" w:fill="auto"/>
                  <w:tcMar>
                    <w:top w:w="0" w:type="dxa"/>
                    <w:left w:w="0" w:type="dxa"/>
                    <w:bottom w:w="0" w:type="dxa"/>
                    <w:right w:w="0" w:type="dxa"/>
                  </w:tcMar>
                  <w:vAlign w:val="center"/>
                </w:tcPr>
                <w:p w14:paraId="5A8BC18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6EBB6CC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6337CF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EF184D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912A84D">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0F577D1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抛丸机</w:t>
                  </w:r>
                </w:p>
              </w:tc>
              <w:tc>
                <w:tcPr>
                  <w:tcW w:w="264" w:type="pct"/>
                  <w:tcBorders>
                    <w:tl2br w:val="nil"/>
                    <w:tr2bl w:val="nil"/>
                  </w:tcBorders>
                  <w:shd w:val="clear" w:color="auto" w:fill="auto"/>
                  <w:tcMar>
                    <w:top w:w="0" w:type="dxa"/>
                    <w:left w:w="0" w:type="dxa"/>
                    <w:bottom w:w="0" w:type="dxa"/>
                    <w:right w:w="0" w:type="dxa"/>
                  </w:tcMar>
                  <w:vAlign w:val="center"/>
                </w:tcPr>
                <w:p w14:paraId="5D761E2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B1B1033">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4CE8A14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16.5</w:t>
                  </w:r>
                </w:p>
              </w:tc>
              <w:tc>
                <w:tcPr>
                  <w:tcW w:w="242" w:type="pct"/>
                  <w:tcBorders>
                    <w:tl2br w:val="nil"/>
                    <w:tr2bl w:val="nil"/>
                  </w:tcBorders>
                  <w:shd w:val="clear" w:color="auto" w:fill="auto"/>
                  <w:tcMar>
                    <w:top w:w="0" w:type="dxa"/>
                    <w:left w:w="0" w:type="dxa"/>
                    <w:bottom w:w="0" w:type="dxa"/>
                    <w:right w:w="0" w:type="dxa"/>
                  </w:tcMar>
                  <w:vAlign w:val="center"/>
                </w:tcPr>
                <w:p w14:paraId="56D4A85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-163.9</w:t>
                  </w:r>
                </w:p>
              </w:tc>
              <w:tc>
                <w:tcPr>
                  <w:tcW w:w="120" w:type="pct"/>
                  <w:tcBorders>
                    <w:tl2br w:val="nil"/>
                    <w:tr2bl w:val="nil"/>
                  </w:tcBorders>
                  <w:shd w:val="clear" w:color="auto" w:fill="auto"/>
                  <w:tcMar>
                    <w:top w:w="0" w:type="dxa"/>
                    <w:left w:w="0" w:type="dxa"/>
                    <w:bottom w:w="0" w:type="dxa"/>
                    <w:right w:w="0" w:type="dxa"/>
                  </w:tcMar>
                  <w:vAlign w:val="center"/>
                </w:tcPr>
                <w:p w14:paraId="3CC3C00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6814C05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77.0</w:t>
                  </w:r>
                </w:p>
              </w:tc>
              <w:tc>
                <w:tcPr>
                  <w:tcW w:w="211" w:type="pct"/>
                  <w:tcBorders>
                    <w:tl2br w:val="nil"/>
                    <w:tr2bl w:val="nil"/>
                  </w:tcBorders>
                  <w:shd w:val="clear" w:color="auto" w:fill="auto"/>
                  <w:tcMar>
                    <w:top w:w="0" w:type="dxa"/>
                    <w:left w:w="0" w:type="dxa"/>
                    <w:bottom w:w="0" w:type="dxa"/>
                    <w:right w:w="0" w:type="dxa"/>
                  </w:tcMar>
                  <w:vAlign w:val="center"/>
                </w:tcPr>
                <w:p w14:paraId="27933EF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90.4</w:t>
                  </w:r>
                </w:p>
              </w:tc>
              <w:tc>
                <w:tcPr>
                  <w:tcW w:w="211" w:type="pct"/>
                  <w:tcBorders>
                    <w:tl2br w:val="nil"/>
                    <w:tr2bl w:val="nil"/>
                  </w:tcBorders>
                  <w:shd w:val="clear" w:color="auto" w:fill="auto"/>
                  <w:tcMar>
                    <w:top w:w="0" w:type="dxa"/>
                    <w:left w:w="0" w:type="dxa"/>
                    <w:bottom w:w="0" w:type="dxa"/>
                    <w:right w:w="0" w:type="dxa"/>
                  </w:tcMar>
                  <w:vAlign w:val="center"/>
                </w:tcPr>
                <w:p w14:paraId="21614AB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18.4</w:t>
                  </w:r>
                </w:p>
              </w:tc>
              <w:tc>
                <w:tcPr>
                  <w:tcW w:w="211" w:type="pct"/>
                  <w:tcBorders>
                    <w:tl2br w:val="nil"/>
                    <w:tr2bl w:val="nil"/>
                  </w:tcBorders>
                  <w:shd w:val="clear" w:color="auto" w:fill="auto"/>
                  <w:tcMar>
                    <w:top w:w="0" w:type="dxa"/>
                    <w:left w:w="0" w:type="dxa"/>
                    <w:bottom w:w="0" w:type="dxa"/>
                    <w:right w:w="0" w:type="dxa"/>
                  </w:tcMar>
                  <w:vAlign w:val="center"/>
                </w:tcPr>
                <w:p w14:paraId="182F232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350.1</w:t>
                  </w:r>
                </w:p>
              </w:tc>
              <w:tc>
                <w:tcPr>
                  <w:tcW w:w="166" w:type="pct"/>
                  <w:tcBorders>
                    <w:tl2br w:val="nil"/>
                    <w:tr2bl w:val="nil"/>
                  </w:tcBorders>
                  <w:shd w:val="clear" w:color="auto" w:fill="auto"/>
                  <w:tcMar>
                    <w:top w:w="0" w:type="dxa"/>
                    <w:left w:w="0" w:type="dxa"/>
                    <w:bottom w:w="0" w:type="dxa"/>
                    <w:right w:w="0" w:type="dxa"/>
                  </w:tcMar>
                  <w:vAlign w:val="center"/>
                </w:tcPr>
                <w:p w14:paraId="686B89B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F96A0A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21F696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67.3</w:t>
                  </w:r>
                </w:p>
              </w:tc>
              <w:tc>
                <w:tcPr>
                  <w:tcW w:w="166" w:type="pct"/>
                  <w:tcBorders>
                    <w:tl2br w:val="nil"/>
                    <w:tr2bl w:val="nil"/>
                  </w:tcBorders>
                  <w:shd w:val="clear" w:color="auto" w:fill="auto"/>
                  <w:tcMar>
                    <w:top w:w="0" w:type="dxa"/>
                    <w:left w:w="0" w:type="dxa"/>
                    <w:bottom w:w="0" w:type="dxa"/>
                    <w:right w:w="0" w:type="dxa"/>
                  </w:tcMar>
                  <w:vAlign w:val="center"/>
                </w:tcPr>
                <w:p w14:paraId="4E18DA2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0C89C26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68B01C7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ED2EAE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AE9A30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FE1EBD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666087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A164DA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6C10AD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46.3</w:t>
                  </w:r>
                </w:p>
              </w:tc>
              <w:tc>
                <w:tcPr>
                  <w:tcW w:w="166" w:type="pct"/>
                  <w:tcBorders>
                    <w:tl2br w:val="nil"/>
                    <w:tr2bl w:val="nil"/>
                  </w:tcBorders>
                  <w:shd w:val="clear" w:color="auto" w:fill="auto"/>
                  <w:tcMar>
                    <w:top w:w="0" w:type="dxa"/>
                    <w:left w:w="0" w:type="dxa"/>
                    <w:bottom w:w="0" w:type="dxa"/>
                    <w:right w:w="0" w:type="dxa"/>
                  </w:tcMar>
                  <w:vAlign w:val="center"/>
                </w:tcPr>
                <w:p w14:paraId="1D8A7A6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39B81F9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5E2637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33E7E9D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BA17036">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25FECCC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卷取机</w:t>
                  </w:r>
                </w:p>
              </w:tc>
              <w:tc>
                <w:tcPr>
                  <w:tcW w:w="264" w:type="pct"/>
                  <w:tcBorders>
                    <w:tl2br w:val="nil"/>
                    <w:tr2bl w:val="nil"/>
                  </w:tcBorders>
                  <w:shd w:val="clear" w:color="auto" w:fill="auto"/>
                  <w:tcMar>
                    <w:top w:w="0" w:type="dxa"/>
                    <w:left w:w="0" w:type="dxa"/>
                    <w:bottom w:w="0" w:type="dxa"/>
                    <w:right w:w="0" w:type="dxa"/>
                  </w:tcMar>
                  <w:vAlign w:val="center"/>
                </w:tcPr>
                <w:p w14:paraId="53F89C6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5A2F735">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2B3A085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18.3</w:t>
                  </w:r>
                </w:p>
              </w:tc>
              <w:tc>
                <w:tcPr>
                  <w:tcW w:w="242" w:type="pct"/>
                  <w:tcBorders>
                    <w:tl2br w:val="nil"/>
                    <w:tr2bl w:val="nil"/>
                  </w:tcBorders>
                  <w:shd w:val="clear" w:color="auto" w:fill="auto"/>
                  <w:tcMar>
                    <w:top w:w="0" w:type="dxa"/>
                    <w:left w:w="0" w:type="dxa"/>
                    <w:bottom w:w="0" w:type="dxa"/>
                    <w:right w:w="0" w:type="dxa"/>
                  </w:tcMar>
                  <w:vAlign w:val="center"/>
                </w:tcPr>
                <w:p w14:paraId="58B438D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-157</w:t>
                  </w:r>
                </w:p>
              </w:tc>
              <w:tc>
                <w:tcPr>
                  <w:tcW w:w="120" w:type="pct"/>
                  <w:tcBorders>
                    <w:tl2br w:val="nil"/>
                    <w:tr2bl w:val="nil"/>
                  </w:tcBorders>
                  <w:shd w:val="clear" w:color="auto" w:fill="auto"/>
                  <w:tcMar>
                    <w:top w:w="0" w:type="dxa"/>
                    <w:left w:w="0" w:type="dxa"/>
                    <w:bottom w:w="0" w:type="dxa"/>
                    <w:right w:w="0" w:type="dxa"/>
                  </w:tcMar>
                  <w:vAlign w:val="center"/>
                </w:tcPr>
                <w:p w14:paraId="479C45A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3D5B3CE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77.8</w:t>
                  </w:r>
                </w:p>
              </w:tc>
              <w:tc>
                <w:tcPr>
                  <w:tcW w:w="211" w:type="pct"/>
                  <w:tcBorders>
                    <w:tl2br w:val="nil"/>
                    <w:tr2bl w:val="nil"/>
                  </w:tcBorders>
                  <w:shd w:val="clear" w:color="auto" w:fill="auto"/>
                  <w:tcMar>
                    <w:top w:w="0" w:type="dxa"/>
                    <w:left w:w="0" w:type="dxa"/>
                    <w:bottom w:w="0" w:type="dxa"/>
                    <w:right w:w="0" w:type="dxa"/>
                  </w:tcMar>
                  <w:vAlign w:val="center"/>
                </w:tcPr>
                <w:p w14:paraId="357B1A7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97.5</w:t>
                  </w:r>
                </w:p>
              </w:tc>
              <w:tc>
                <w:tcPr>
                  <w:tcW w:w="211" w:type="pct"/>
                  <w:tcBorders>
                    <w:tl2br w:val="nil"/>
                    <w:tr2bl w:val="nil"/>
                  </w:tcBorders>
                  <w:shd w:val="clear" w:color="auto" w:fill="auto"/>
                  <w:tcMar>
                    <w:top w:w="0" w:type="dxa"/>
                    <w:left w:w="0" w:type="dxa"/>
                    <w:bottom w:w="0" w:type="dxa"/>
                    <w:right w:w="0" w:type="dxa"/>
                  </w:tcMar>
                  <w:vAlign w:val="center"/>
                </w:tcPr>
                <w:p w14:paraId="799CEC0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25.4</w:t>
                  </w:r>
                </w:p>
              </w:tc>
              <w:tc>
                <w:tcPr>
                  <w:tcW w:w="211" w:type="pct"/>
                  <w:tcBorders>
                    <w:tl2br w:val="nil"/>
                    <w:tr2bl w:val="nil"/>
                  </w:tcBorders>
                  <w:shd w:val="clear" w:color="auto" w:fill="auto"/>
                  <w:tcMar>
                    <w:top w:w="0" w:type="dxa"/>
                    <w:left w:w="0" w:type="dxa"/>
                    <w:bottom w:w="0" w:type="dxa"/>
                    <w:right w:w="0" w:type="dxa"/>
                  </w:tcMar>
                  <w:vAlign w:val="center"/>
                </w:tcPr>
                <w:p w14:paraId="35EDD44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343.1</w:t>
                  </w:r>
                </w:p>
              </w:tc>
              <w:tc>
                <w:tcPr>
                  <w:tcW w:w="166" w:type="pct"/>
                  <w:tcBorders>
                    <w:tl2br w:val="nil"/>
                    <w:tr2bl w:val="nil"/>
                  </w:tcBorders>
                  <w:shd w:val="clear" w:color="auto" w:fill="auto"/>
                  <w:tcMar>
                    <w:top w:w="0" w:type="dxa"/>
                    <w:left w:w="0" w:type="dxa"/>
                    <w:bottom w:w="0" w:type="dxa"/>
                    <w:right w:w="0" w:type="dxa"/>
                  </w:tcMar>
                  <w:vAlign w:val="center"/>
                </w:tcPr>
                <w:p w14:paraId="2003392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6C747C2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5674AA2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62.2</w:t>
                  </w:r>
                </w:p>
              </w:tc>
              <w:tc>
                <w:tcPr>
                  <w:tcW w:w="166" w:type="pct"/>
                  <w:tcBorders>
                    <w:tl2br w:val="nil"/>
                    <w:tr2bl w:val="nil"/>
                  </w:tcBorders>
                  <w:shd w:val="clear" w:color="auto" w:fill="auto"/>
                  <w:tcMar>
                    <w:top w:w="0" w:type="dxa"/>
                    <w:left w:w="0" w:type="dxa"/>
                    <w:bottom w:w="0" w:type="dxa"/>
                    <w:right w:w="0" w:type="dxa"/>
                  </w:tcMar>
                  <w:vAlign w:val="center"/>
                </w:tcPr>
                <w:p w14:paraId="1F1D296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223" w:type="pct"/>
                  <w:tcBorders>
                    <w:tl2br w:val="nil"/>
                    <w:tr2bl w:val="nil"/>
                  </w:tcBorders>
                  <w:shd w:val="clear" w:color="auto" w:fill="auto"/>
                  <w:tcMar>
                    <w:top w:w="0" w:type="dxa"/>
                    <w:left w:w="0" w:type="dxa"/>
                    <w:bottom w:w="0" w:type="dxa"/>
                    <w:right w:w="0" w:type="dxa"/>
                  </w:tcMar>
                  <w:vAlign w:val="center"/>
                </w:tcPr>
                <w:p w14:paraId="0BB3E74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23EB6C6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B7F6D0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7B3BCA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D9CAEA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3D8FE7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5D4F898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5366300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41.2</w:t>
                  </w:r>
                </w:p>
              </w:tc>
              <w:tc>
                <w:tcPr>
                  <w:tcW w:w="166" w:type="pct"/>
                  <w:tcBorders>
                    <w:tl2br w:val="nil"/>
                    <w:tr2bl w:val="nil"/>
                  </w:tcBorders>
                  <w:shd w:val="clear" w:color="auto" w:fill="auto"/>
                  <w:tcMar>
                    <w:top w:w="0" w:type="dxa"/>
                    <w:left w:w="0" w:type="dxa"/>
                    <w:bottom w:w="0" w:type="dxa"/>
                    <w:right w:w="0" w:type="dxa"/>
                  </w:tcMar>
                  <w:vAlign w:val="center"/>
                </w:tcPr>
                <w:p w14:paraId="0DFE3C1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04" w:type="pct"/>
                  <w:tcBorders>
                    <w:tl2br w:val="nil"/>
                    <w:tr2bl w:val="nil"/>
                  </w:tcBorders>
                  <w:shd w:val="clear" w:color="auto" w:fill="auto"/>
                  <w:tcMar>
                    <w:top w:w="0" w:type="dxa"/>
                    <w:left w:w="0" w:type="dxa"/>
                    <w:bottom w:w="0" w:type="dxa"/>
                    <w:right w:w="0" w:type="dxa"/>
                  </w:tcMar>
                  <w:vAlign w:val="center"/>
                </w:tcPr>
                <w:p w14:paraId="45A0E5B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2F2286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49B406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6A727C8">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0FC472F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新酸泵</w:t>
                  </w:r>
                </w:p>
              </w:tc>
              <w:tc>
                <w:tcPr>
                  <w:tcW w:w="264" w:type="pct"/>
                  <w:tcBorders>
                    <w:tl2br w:val="nil"/>
                    <w:tr2bl w:val="nil"/>
                  </w:tcBorders>
                  <w:shd w:val="clear" w:color="auto" w:fill="auto"/>
                  <w:tcMar>
                    <w:top w:w="0" w:type="dxa"/>
                    <w:left w:w="0" w:type="dxa"/>
                    <w:bottom w:w="0" w:type="dxa"/>
                    <w:right w:w="0" w:type="dxa"/>
                  </w:tcMar>
                  <w:vAlign w:val="center"/>
                </w:tcPr>
                <w:p w14:paraId="0BAB405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1A0951F">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3EE6C4D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w:t>
                  </w:r>
                </w:p>
              </w:tc>
              <w:tc>
                <w:tcPr>
                  <w:tcW w:w="242" w:type="pct"/>
                  <w:tcBorders>
                    <w:tl2br w:val="nil"/>
                    <w:tr2bl w:val="nil"/>
                  </w:tcBorders>
                  <w:shd w:val="clear" w:color="auto" w:fill="auto"/>
                  <w:tcMar>
                    <w:top w:w="0" w:type="dxa"/>
                    <w:left w:w="0" w:type="dxa"/>
                    <w:bottom w:w="0" w:type="dxa"/>
                    <w:right w:w="0" w:type="dxa"/>
                  </w:tcMar>
                  <w:vAlign w:val="center"/>
                </w:tcPr>
                <w:p w14:paraId="2E56C08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-153.6</w:t>
                  </w:r>
                </w:p>
              </w:tc>
              <w:tc>
                <w:tcPr>
                  <w:tcW w:w="120" w:type="pct"/>
                  <w:tcBorders>
                    <w:tl2br w:val="nil"/>
                    <w:tr2bl w:val="nil"/>
                  </w:tcBorders>
                  <w:shd w:val="clear" w:color="auto" w:fill="auto"/>
                  <w:tcMar>
                    <w:top w:w="0" w:type="dxa"/>
                    <w:left w:w="0" w:type="dxa"/>
                    <w:bottom w:w="0" w:type="dxa"/>
                    <w:right w:w="0" w:type="dxa"/>
                  </w:tcMar>
                  <w:vAlign w:val="center"/>
                </w:tcPr>
                <w:p w14:paraId="0017AA9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32F5DC5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88.7</w:t>
                  </w:r>
                </w:p>
              </w:tc>
              <w:tc>
                <w:tcPr>
                  <w:tcW w:w="211" w:type="pct"/>
                  <w:tcBorders>
                    <w:tl2br w:val="nil"/>
                    <w:tr2bl w:val="nil"/>
                  </w:tcBorders>
                  <w:shd w:val="clear" w:color="auto" w:fill="auto"/>
                  <w:tcMar>
                    <w:top w:w="0" w:type="dxa"/>
                    <w:left w:w="0" w:type="dxa"/>
                    <w:bottom w:w="0" w:type="dxa"/>
                    <w:right w:w="0" w:type="dxa"/>
                  </w:tcMar>
                  <w:vAlign w:val="center"/>
                </w:tcPr>
                <w:p w14:paraId="121167B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96.7</w:t>
                  </w:r>
                </w:p>
              </w:tc>
              <w:tc>
                <w:tcPr>
                  <w:tcW w:w="211" w:type="pct"/>
                  <w:tcBorders>
                    <w:tl2br w:val="nil"/>
                    <w:tr2bl w:val="nil"/>
                  </w:tcBorders>
                  <w:shd w:val="clear" w:color="auto" w:fill="auto"/>
                  <w:tcMar>
                    <w:top w:w="0" w:type="dxa"/>
                    <w:left w:w="0" w:type="dxa"/>
                    <w:bottom w:w="0" w:type="dxa"/>
                    <w:right w:w="0" w:type="dxa"/>
                  </w:tcMar>
                  <w:vAlign w:val="center"/>
                </w:tcPr>
                <w:p w14:paraId="4306E01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211" w:type="pct"/>
                  <w:tcBorders>
                    <w:tl2br w:val="nil"/>
                    <w:tr2bl w:val="nil"/>
                  </w:tcBorders>
                  <w:shd w:val="clear" w:color="auto" w:fill="auto"/>
                  <w:tcMar>
                    <w:top w:w="0" w:type="dxa"/>
                    <w:left w:w="0" w:type="dxa"/>
                    <w:bottom w:w="0" w:type="dxa"/>
                    <w:right w:w="0" w:type="dxa"/>
                  </w:tcMar>
                  <w:vAlign w:val="center"/>
                </w:tcPr>
                <w:p w14:paraId="4B2A503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344.4</w:t>
                  </w:r>
                </w:p>
              </w:tc>
              <w:tc>
                <w:tcPr>
                  <w:tcW w:w="166" w:type="pct"/>
                  <w:tcBorders>
                    <w:tl2br w:val="nil"/>
                    <w:tr2bl w:val="nil"/>
                  </w:tcBorders>
                  <w:shd w:val="clear" w:color="auto" w:fill="auto"/>
                  <w:tcMar>
                    <w:top w:w="0" w:type="dxa"/>
                    <w:left w:w="0" w:type="dxa"/>
                    <w:bottom w:w="0" w:type="dxa"/>
                    <w:right w:w="0" w:type="dxa"/>
                  </w:tcMar>
                  <w:vAlign w:val="center"/>
                </w:tcPr>
                <w:p w14:paraId="1D5C370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6ECFB8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5E346C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67.2</w:t>
                  </w:r>
                </w:p>
              </w:tc>
              <w:tc>
                <w:tcPr>
                  <w:tcW w:w="166" w:type="pct"/>
                  <w:tcBorders>
                    <w:tl2br w:val="nil"/>
                    <w:tr2bl w:val="nil"/>
                  </w:tcBorders>
                  <w:shd w:val="clear" w:color="auto" w:fill="auto"/>
                  <w:tcMar>
                    <w:top w:w="0" w:type="dxa"/>
                    <w:left w:w="0" w:type="dxa"/>
                    <w:bottom w:w="0" w:type="dxa"/>
                    <w:right w:w="0" w:type="dxa"/>
                  </w:tcMar>
                  <w:vAlign w:val="center"/>
                </w:tcPr>
                <w:p w14:paraId="6A4E8D3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34B2BC2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076C9CC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1B428F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5D102D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B15201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9D7A7B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298AA3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9CDC2A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46.2</w:t>
                  </w:r>
                </w:p>
              </w:tc>
              <w:tc>
                <w:tcPr>
                  <w:tcW w:w="166" w:type="pct"/>
                  <w:tcBorders>
                    <w:tl2br w:val="nil"/>
                    <w:tr2bl w:val="nil"/>
                  </w:tcBorders>
                  <w:shd w:val="clear" w:color="auto" w:fill="auto"/>
                  <w:tcMar>
                    <w:top w:w="0" w:type="dxa"/>
                    <w:left w:w="0" w:type="dxa"/>
                    <w:bottom w:w="0" w:type="dxa"/>
                    <w:right w:w="0" w:type="dxa"/>
                  </w:tcMar>
                  <w:vAlign w:val="center"/>
                </w:tcPr>
                <w:p w14:paraId="389C151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4709BFE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7FE2C6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0617EE9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FA9E120">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3B714C4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新酸泵</w:t>
                  </w:r>
                </w:p>
              </w:tc>
              <w:tc>
                <w:tcPr>
                  <w:tcW w:w="264" w:type="pct"/>
                  <w:tcBorders>
                    <w:tl2br w:val="nil"/>
                    <w:tr2bl w:val="nil"/>
                  </w:tcBorders>
                  <w:shd w:val="clear" w:color="auto" w:fill="auto"/>
                  <w:tcMar>
                    <w:top w:w="0" w:type="dxa"/>
                    <w:left w:w="0" w:type="dxa"/>
                    <w:bottom w:w="0" w:type="dxa"/>
                    <w:right w:w="0" w:type="dxa"/>
                  </w:tcMar>
                  <w:vAlign w:val="center"/>
                </w:tcPr>
                <w:p w14:paraId="0FDE29B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7B6FC99">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1D627C9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10.5</w:t>
                  </w:r>
                </w:p>
              </w:tc>
              <w:tc>
                <w:tcPr>
                  <w:tcW w:w="242" w:type="pct"/>
                  <w:tcBorders>
                    <w:tl2br w:val="nil"/>
                    <w:tr2bl w:val="nil"/>
                  </w:tcBorders>
                  <w:shd w:val="clear" w:color="auto" w:fill="auto"/>
                  <w:tcMar>
                    <w:top w:w="0" w:type="dxa"/>
                    <w:left w:w="0" w:type="dxa"/>
                    <w:bottom w:w="0" w:type="dxa"/>
                    <w:right w:w="0" w:type="dxa"/>
                  </w:tcMar>
                  <w:vAlign w:val="center"/>
                </w:tcPr>
                <w:p w14:paraId="7DE38F7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-147.6</w:t>
                  </w:r>
                </w:p>
              </w:tc>
              <w:tc>
                <w:tcPr>
                  <w:tcW w:w="120" w:type="pct"/>
                  <w:tcBorders>
                    <w:tl2br w:val="nil"/>
                    <w:tr2bl w:val="nil"/>
                  </w:tcBorders>
                  <w:shd w:val="clear" w:color="auto" w:fill="auto"/>
                  <w:tcMar>
                    <w:top w:w="0" w:type="dxa"/>
                    <w:left w:w="0" w:type="dxa"/>
                    <w:bottom w:w="0" w:type="dxa"/>
                    <w:right w:w="0" w:type="dxa"/>
                  </w:tcMar>
                  <w:vAlign w:val="center"/>
                </w:tcPr>
                <w:p w14:paraId="2CF9F8B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21EC51F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88.5</w:t>
                  </w:r>
                </w:p>
              </w:tc>
              <w:tc>
                <w:tcPr>
                  <w:tcW w:w="211" w:type="pct"/>
                  <w:tcBorders>
                    <w:tl2br w:val="nil"/>
                    <w:tr2bl w:val="nil"/>
                  </w:tcBorders>
                  <w:shd w:val="clear" w:color="auto" w:fill="auto"/>
                  <w:tcMar>
                    <w:top w:w="0" w:type="dxa"/>
                    <w:left w:w="0" w:type="dxa"/>
                    <w:bottom w:w="0" w:type="dxa"/>
                    <w:right w:w="0" w:type="dxa"/>
                  </w:tcMar>
                  <w:vAlign w:val="center"/>
                </w:tcPr>
                <w:p w14:paraId="72EB5E3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103.2</w:t>
                  </w:r>
                </w:p>
              </w:tc>
              <w:tc>
                <w:tcPr>
                  <w:tcW w:w="211" w:type="pct"/>
                  <w:tcBorders>
                    <w:tl2br w:val="nil"/>
                    <w:tr2bl w:val="nil"/>
                  </w:tcBorders>
                  <w:shd w:val="clear" w:color="auto" w:fill="auto"/>
                  <w:tcMar>
                    <w:top w:w="0" w:type="dxa"/>
                    <w:left w:w="0" w:type="dxa"/>
                    <w:bottom w:w="0" w:type="dxa"/>
                    <w:right w:w="0" w:type="dxa"/>
                  </w:tcMar>
                  <w:vAlign w:val="center"/>
                </w:tcPr>
                <w:p w14:paraId="2BFA421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30.5</w:t>
                  </w:r>
                </w:p>
              </w:tc>
              <w:tc>
                <w:tcPr>
                  <w:tcW w:w="211" w:type="pct"/>
                  <w:tcBorders>
                    <w:tl2br w:val="nil"/>
                    <w:tr2bl w:val="nil"/>
                  </w:tcBorders>
                  <w:shd w:val="clear" w:color="auto" w:fill="auto"/>
                  <w:tcMar>
                    <w:top w:w="0" w:type="dxa"/>
                    <w:left w:w="0" w:type="dxa"/>
                    <w:bottom w:w="0" w:type="dxa"/>
                    <w:right w:w="0" w:type="dxa"/>
                  </w:tcMar>
                  <w:vAlign w:val="center"/>
                </w:tcPr>
                <w:p w14:paraId="1B7B329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337.9</w:t>
                  </w:r>
                </w:p>
              </w:tc>
              <w:tc>
                <w:tcPr>
                  <w:tcW w:w="166" w:type="pct"/>
                  <w:tcBorders>
                    <w:tl2br w:val="nil"/>
                    <w:tr2bl w:val="nil"/>
                  </w:tcBorders>
                  <w:shd w:val="clear" w:color="auto" w:fill="auto"/>
                  <w:tcMar>
                    <w:top w:w="0" w:type="dxa"/>
                    <w:left w:w="0" w:type="dxa"/>
                    <w:bottom w:w="0" w:type="dxa"/>
                    <w:right w:w="0" w:type="dxa"/>
                  </w:tcMar>
                  <w:vAlign w:val="center"/>
                </w:tcPr>
                <w:p w14:paraId="379F861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BFB826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C1C375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67.2</w:t>
                  </w:r>
                </w:p>
              </w:tc>
              <w:tc>
                <w:tcPr>
                  <w:tcW w:w="166" w:type="pct"/>
                  <w:tcBorders>
                    <w:tl2br w:val="nil"/>
                    <w:tr2bl w:val="nil"/>
                  </w:tcBorders>
                  <w:shd w:val="clear" w:color="auto" w:fill="auto"/>
                  <w:tcMar>
                    <w:top w:w="0" w:type="dxa"/>
                    <w:left w:w="0" w:type="dxa"/>
                    <w:bottom w:w="0" w:type="dxa"/>
                    <w:right w:w="0" w:type="dxa"/>
                  </w:tcMar>
                  <w:vAlign w:val="center"/>
                </w:tcPr>
                <w:p w14:paraId="0BC2733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6607390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36D145D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22CE5B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9CA408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0A6679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15209F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BCBAC8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9D0C34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46.2</w:t>
                  </w:r>
                </w:p>
              </w:tc>
              <w:tc>
                <w:tcPr>
                  <w:tcW w:w="166" w:type="pct"/>
                  <w:tcBorders>
                    <w:tl2br w:val="nil"/>
                    <w:tr2bl w:val="nil"/>
                  </w:tcBorders>
                  <w:shd w:val="clear" w:color="auto" w:fill="auto"/>
                  <w:tcMar>
                    <w:top w:w="0" w:type="dxa"/>
                    <w:left w:w="0" w:type="dxa"/>
                    <w:bottom w:w="0" w:type="dxa"/>
                    <w:right w:w="0" w:type="dxa"/>
                  </w:tcMar>
                  <w:vAlign w:val="center"/>
                </w:tcPr>
                <w:p w14:paraId="1EFF65C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5F09ADE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63C38E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1BFC9E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FD5346F">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2A41E34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配酸泵</w:t>
                  </w:r>
                </w:p>
              </w:tc>
              <w:tc>
                <w:tcPr>
                  <w:tcW w:w="264" w:type="pct"/>
                  <w:tcBorders>
                    <w:tl2br w:val="nil"/>
                    <w:tr2bl w:val="nil"/>
                  </w:tcBorders>
                  <w:shd w:val="clear" w:color="auto" w:fill="auto"/>
                  <w:tcMar>
                    <w:top w:w="0" w:type="dxa"/>
                    <w:left w:w="0" w:type="dxa"/>
                    <w:bottom w:w="0" w:type="dxa"/>
                    <w:right w:w="0" w:type="dxa"/>
                  </w:tcMar>
                  <w:vAlign w:val="center"/>
                </w:tcPr>
                <w:p w14:paraId="0D26179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4F6BDB9">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4DE2E37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3.7</w:t>
                  </w:r>
                </w:p>
              </w:tc>
              <w:tc>
                <w:tcPr>
                  <w:tcW w:w="242" w:type="pct"/>
                  <w:tcBorders>
                    <w:tl2br w:val="nil"/>
                    <w:tr2bl w:val="nil"/>
                  </w:tcBorders>
                  <w:shd w:val="clear" w:color="auto" w:fill="auto"/>
                  <w:tcMar>
                    <w:top w:w="0" w:type="dxa"/>
                    <w:left w:w="0" w:type="dxa"/>
                    <w:bottom w:w="0" w:type="dxa"/>
                    <w:right w:w="0" w:type="dxa"/>
                  </w:tcMar>
                  <w:vAlign w:val="center"/>
                </w:tcPr>
                <w:p w14:paraId="1D65799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-151.9</w:t>
                  </w:r>
                </w:p>
              </w:tc>
              <w:tc>
                <w:tcPr>
                  <w:tcW w:w="120" w:type="pct"/>
                  <w:tcBorders>
                    <w:tl2br w:val="nil"/>
                    <w:tr2bl w:val="nil"/>
                  </w:tcBorders>
                  <w:shd w:val="clear" w:color="auto" w:fill="auto"/>
                  <w:tcMar>
                    <w:top w:w="0" w:type="dxa"/>
                    <w:left w:w="0" w:type="dxa"/>
                    <w:bottom w:w="0" w:type="dxa"/>
                    <w:right w:w="0" w:type="dxa"/>
                  </w:tcMar>
                  <w:vAlign w:val="center"/>
                </w:tcPr>
                <w:p w14:paraId="0F997FE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5A2E3A4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93.3</w:t>
                  </w:r>
                </w:p>
              </w:tc>
              <w:tc>
                <w:tcPr>
                  <w:tcW w:w="211" w:type="pct"/>
                  <w:tcBorders>
                    <w:tl2br w:val="nil"/>
                    <w:tr2bl w:val="nil"/>
                  </w:tcBorders>
                  <w:shd w:val="clear" w:color="auto" w:fill="auto"/>
                  <w:tcMar>
                    <w:top w:w="0" w:type="dxa"/>
                    <w:left w:w="0" w:type="dxa"/>
                    <w:bottom w:w="0" w:type="dxa"/>
                    <w:right w:w="0" w:type="dxa"/>
                  </w:tcMar>
                  <w:vAlign w:val="center"/>
                </w:tcPr>
                <w:p w14:paraId="43056D4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96.6</w:t>
                  </w:r>
                </w:p>
              </w:tc>
              <w:tc>
                <w:tcPr>
                  <w:tcW w:w="211" w:type="pct"/>
                  <w:tcBorders>
                    <w:tl2br w:val="nil"/>
                    <w:tr2bl w:val="nil"/>
                  </w:tcBorders>
                  <w:shd w:val="clear" w:color="auto" w:fill="auto"/>
                  <w:tcMar>
                    <w:top w:w="0" w:type="dxa"/>
                    <w:left w:w="0" w:type="dxa"/>
                    <w:bottom w:w="0" w:type="dxa"/>
                    <w:right w:w="0" w:type="dxa"/>
                  </w:tcMar>
                  <w:vAlign w:val="center"/>
                </w:tcPr>
                <w:p w14:paraId="70EB0F9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23.7</w:t>
                  </w:r>
                </w:p>
              </w:tc>
              <w:tc>
                <w:tcPr>
                  <w:tcW w:w="211" w:type="pct"/>
                  <w:tcBorders>
                    <w:tl2br w:val="nil"/>
                    <w:tr2bl w:val="nil"/>
                  </w:tcBorders>
                  <w:shd w:val="clear" w:color="auto" w:fill="auto"/>
                  <w:tcMar>
                    <w:top w:w="0" w:type="dxa"/>
                    <w:left w:w="0" w:type="dxa"/>
                    <w:bottom w:w="0" w:type="dxa"/>
                    <w:right w:w="0" w:type="dxa"/>
                  </w:tcMar>
                  <w:vAlign w:val="center"/>
                </w:tcPr>
                <w:p w14:paraId="551DE7E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344.6</w:t>
                  </w:r>
                </w:p>
              </w:tc>
              <w:tc>
                <w:tcPr>
                  <w:tcW w:w="166" w:type="pct"/>
                  <w:tcBorders>
                    <w:tl2br w:val="nil"/>
                    <w:tr2bl w:val="nil"/>
                  </w:tcBorders>
                  <w:shd w:val="clear" w:color="auto" w:fill="auto"/>
                  <w:tcMar>
                    <w:top w:w="0" w:type="dxa"/>
                    <w:left w:w="0" w:type="dxa"/>
                    <w:bottom w:w="0" w:type="dxa"/>
                    <w:right w:w="0" w:type="dxa"/>
                  </w:tcMar>
                  <w:vAlign w:val="center"/>
                </w:tcPr>
                <w:p w14:paraId="11B7615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7CEFB6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563A3D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67.2</w:t>
                  </w:r>
                </w:p>
              </w:tc>
              <w:tc>
                <w:tcPr>
                  <w:tcW w:w="166" w:type="pct"/>
                  <w:tcBorders>
                    <w:tl2br w:val="nil"/>
                    <w:tr2bl w:val="nil"/>
                  </w:tcBorders>
                  <w:shd w:val="clear" w:color="auto" w:fill="auto"/>
                  <w:tcMar>
                    <w:top w:w="0" w:type="dxa"/>
                    <w:left w:w="0" w:type="dxa"/>
                    <w:bottom w:w="0" w:type="dxa"/>
                    <w:right w:w="0" w:type="dxa"/>
                  </w:tcMar>
                  <w:vAlign w:val="center"/>
                </w:tcPr>
                <w:p w14:paraId="49E1A3A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1F50889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2715EC5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0E2B44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603127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63F5B7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2C5196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1FE1BA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947B21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46.2</w:t>
                  </w:r>
                </w:p>
              </w:tc>
              <w:tc>
                <w:tcPr>
                  <w:tcW w:w="166" w:type="pct"/>
                  <w:tcBorders>
                    <w:tl2br w:val="nil"/>
                    <w:tr2bl w:val="nil"/>
                  </w:tcBorders>
                  <w:shd w:val="clear" w:color="auto" w:fill="auto"/>
                  <w:tcMar>
                    <w:top w:w="0" w:type="dxa"/>
                    <w:left w:w="0" w:type="dxa"/>
                    <w:bottom w:w="0" w:type="dxa"/>
                    <w:right w:w="0" w:type="dxa"/>
                  </w:tcMar>
                  <w:vAlign w:val="center"/>
                </w:tcPr>
                <w:p w14:paraId="016534E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6E6AB29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137803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654FC6B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F37C1AD">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10540B2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配酸泵</w:t>
                  </w:r>
                </w:p>
              </w:tc>
              <w:tc>
                <w:tcPr>
                  <w:tcW w:w="264" w:type="pct"/>
                  <w:tcBorders>
                    <w:tl2br w:val="nil"/>
                    <w:tr2bl w:val="nil"/>
                  </w:tcBorders>
                  <w:shd w:val="clear" w:color="auto" w:fill="auto"/>
                  <w:tcMar>
                    <w:top w:w="0" w:type="dxa"/>
                    <w:left w:w="0" w:type="dxa"/>
                    <w:bottom w:w="0" w:type="dxa"/>
                    <w:right w:w="0" w:type="dxa"/>
                  </w:tcMar>
                  <w:vAlign w:val="center"/>
                </w:tcPr>
                <w:p w14:paraId="2345E53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02A0097">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681BF83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w:t>
                  </w:r>
                </w:p>
              </w:tc>
              <w:tc>
                <w:tcPr>
                  <w:tcW w:w="242" w:type="pct"/>
                  <w:tcBorders>
                    <w:tl2br w:val="nil"/>
                    <w:tr2bl w:val="nil"/>
                  </w:tcBorders>
                  <w:shd w:val="clear" w:color="auto" w:fill="auto"/>
                  <w:tcMar>
                    <w:top w:w="0" w:type="dxa"/>
                    <w:left w:w="0" w:type="dxa"/>
                    <w:bottom w:w="0" w:type="dxa"/>
                    <w:right w:w="0" w:type="dxa"/>
                  </w:tcMar>
                  <w:vAlign w:val="center"/>
                </w:tcPr>
                <w:p w14:paraId="4B54C70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-146.3</w:t>
                  </w:r>
                </w:p>
              </w:tc>
              <w:tc>
                <w:tcPr>
                  <w:tcW w:w="120" w:type="pct"/>
                  <w:tcBorders>
                    <w:tl2br w:val="nil"/>
                    <w:tr2bl w:val="nil"/>
                  </w:tcBorders>
                  <w:shd w:val="clear" w:color="auto" w:fill="auto"/>
                  <w:tcMar>
                    <w:top w:w="0" w:type="dxa"/>
                    <w:left w:w="0" w:type="dxa"/>
                    <w:bottom w:w="0" w:type="dxa"/>
                    <w:right w:w="0" w:type="dxa"/>
                  </w:tcMar>
                  <w:vAlign w:val="center"/>
                </w:tcPr>
                <w:p w14:paraId="29B72BA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3AC6D98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92.6</w:t>
                  </w:r>
                </w:p>
              </w:tc>
              <w:tc>
                <w:tcPr>
                  <w:tcW w:w="211" w:type="pct"/>
                  <w:tcBorders>
                    <w:tl2br w:val="nil"/>
                    <w:tr2bl w:val="nil"/>
                  </w:tcBorders>
                  <w:shd w:val="clear" w:color="auto" w:fill="auto"/>
                  <w:tcMar>
                    <w:top w:w="0" w:type="dxa"/>
                    <w:left w:w="0" w:type="dxa"/>
                    <w:bottom w:w="0" w:type="dxa"/>
                    <w:right w:w="0" w:type="dxa"/>
                  </w:tcMar>
                  <w:vAlign w:val="center"/>
                </w:tcPr>
                <w:p w14:paraId="3654E8E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103.0</w:t>
                  </w:r>
                </w:p>
              </w:tc>
              <w:tc>
                <w:tcPr>
                  <w:tcW w:w="211" w:type="pct"/>
                  <w:tcBorders>
                    <w:tl2br w:val="nil"/>
                    <w:tr2bl w:val="nil"/>
                  </w:tcBorders>
                  <w:shd w:val="clear" w:color="auto" w:fill="auto"/>
                  <w:tcMar>
                    <w:top w:w="0" w:type="dxa"/>
                    <w:left w:w="0" w:type="dxa"/>
                    <w:bottom w:w="0" w:type="dxa"/>
                    <w:right w:w="0" w:type="dxa"/>
                  </w:tcMar>
                  <w:vAlign w:val="center"/>
                </w:tcPr>
                <w:p w14:paraId="28CCB9C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30.0</w:t>
                  </w:r>
                </w:p>
              </w:tc>
              <w:tc>
                <w:tcPr>
                  <w:tcW w:w="211" w:type="pct"/>
                  <w:tcBorders>
                    <w:tl2br w:val="nil"/>
                    <w:tr2bl w:val="nil"/>
                  </w:tcBorders>
                  <w:shd w:val="clear" w:color="auto" w:fill="auto"/>
                  <w:tcMar>
                    <w:top w:w="0" w:type="dxa"/>
                    <w:left w:w="0" w:type="dxa"/>
                    <w:bottom w:w="0" w:type="dxa"/>
                    <w:right w:w="0" w:type="dxa"/>
                  </w:tcMar>
                  <w:vAlign w:val="center"/>
                </w:tcPr>
                <w:p w14:paraId="0454536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338.3</w:t>
                  </w:r>
                </w:p>
              </w:tc>
              <w:tc>
                <w:tcPr>
                  <w:tcW w:w="166" w:type="pct"/>
                  <w:tcBorders>
                    <w:tl2br w:val="nil"/>
                    <w:tr2bl w:val="nil"/>
                  </w:tcBorders>
                  <w:shd w:val="clear" w:color="auto" w:fill="auto"/>
                  <w:tcMar>
                    <w:top w:w="0" w:type="dxa"/>
                    <w:left w:w="0" w:type="dxa"/>
                    <w:bottom w:w="0" w:type="dxa"/>
                    <w:right w:w="0" w:type="dxa"/>
                  </w:tcMar>
                  <w:vAlign w:val="center"/>
                </w:tcPr>
                <w:p w14:paraId="0C7D710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38383F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3B1197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67.2</w:t>
                  </w:r>
                </w:p>
              </w:tc>
              <w:tc>
                <w:tcPr>
                  <w:tcW w:w="166" w:type="pct"/>
                  <w:tcBorders>
                    <w:tl2br w:val="nil"/>
                    <w:tr2bl w:val="nil"/>
                  </w:tcBorders>
                  <w:shd w:val="clear" w:color="auto" w:fill="auto"/>
                  <w:tcMar>
                    <w:top w:w="0" w:type="dxa"/>
                    <w:left w:w="0" w:type="dxa"/>
                    <w:bottom w:w="0" w:type="dxa"/>
                    <w:right w:w="0" w:type="dxa"/>
                  </w:tcMar>
                  <w:vAlign w:val="center"/>
                </w:tcPr>
                <w:p w14:paraId="21B5F34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0ED597C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1D0F748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B8E5CD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6C4C98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727729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C3F6A0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F68F8F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831423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46.2</w:t>
                  </w:r>
                </w:p>
              </w:tc>
              <w:tc>
                <w:tcPr>
                  <w:tcW w:w="166" w:type="pct"/>
                  <w:tcBorders>
                    <w:tl2br w:val="nil"/>
                    <w:tr2bl w:val="nil"/>
                  </w:tcBorders>
                  <w:shd w:val="clear" w:color="auto" w:fill="auto"/>
                  <w:tcMar>
                    <w:top w:w="0" w:type="dxa"/>
                    <w:left w:w="0" w:type="dxa"/>
                    <w:bottom w:w="0" w:type="dxa"/>
                    <w:right w:w="0" w:type="dxa"/>
                  </w:tcMar>
                  <w:vAlign w:val="center"/>
                </w:tcPr>
                <w:p w14:paraId="58B9FDA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739A3D4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015959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319CA3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BC50E83">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3B6A721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废酸泵</w:t>
                  </w:r>
                </w:p>
              </w:tc>
              <w:tc>
                <w:tcPr>
                  <w:tcW w:w="264" w:type="pct"/>
                  <w:tcBorders>
                    <w:tl2br w:val="nil"/>
                    <w:tr2bl w:val="nil"/>
                  </w:tcBorders>
                  <w:shd w:val="clear" w:color="auto" w:fill="auto"/>
                  <w:tcMar>
                    <w:top w:w="0" w:type="dxa"/>
                    <w:left w:w="0" w:type="dxa"/>
                    <w:bottom w:w="0" w:type="dxa"/>
                    <w:right w:w="0" w:type="dxa"/>
                  </w:tcMar>
                  <w:vAlign w:val="center"/>
                </w:tcPr>
                <w:p w14:paraId="660CF45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5C330F9">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0262E32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2.2</w:t>
                  </w:r>
                </w:p>
              </w:tc>
              <w:tc>
                <w:tcPr>
                  <w:tcW w:w="242" w:type="pct"/>
                  <w:tcBorders>
                    <w:tl2br w:val="nil"/>
                    <w:tr2bl w:val="nil"/>
                  </w:tcBorders>
                  <w:shd w:val="clear" w:color="auto" w:fill="auto"/>
                  <w:tcMar>
                    <w:top w:w="0" w:type="dxa"/>
                    <w:left w:w="0" w:type="dxa"/>
                    <w:bottom w:w="0" w:type="dxa"/>
                    <w:right w:w="0" w:type="dxa"/>
                  </w:tcMar>
                  <w:vAlign w:val="center"/>
                </w:tcPr>
                <w:p w14:paraId="3624554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-143.9</w:t>
                  </w:r>
                </w:p>
              </w:tc>
              <w:tc>
                <w:tcPr>
                  <w:tcW w:w="120" w:type="pct"/>
                  <w:tcBorders>
                    <w:tl2br w:val="nil"/>
                    <w:tr2bl w:val="nil"/>
                  </w:tcBorders>
                  <w:shd w:val="clear" w:color="auto" w:fill="auto"/>
                  <w:tcMar>
                    <w:top w:w="0" w:type="dxa"/>
                    <w:left w:w="0" w:type="dxa"/>
                    <w:bottom w:w="0" w:type="dxa"/>
                    <w:right w:w="0" w:type="dxa"/>
                  </w:tcMar>
                  <w:vAlign w:val="center"/>
                </w:tcPr>
                <w:p w14:paraId="1F3E0B5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7FD0196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97.6</w:t>
                  </w:r>
                </w:p>
              </w:tc>
              <w:tc>
                <w:tcPr>
                  <w:tcW w:w="211" w:type="pct"/>
                  <w:tcBorders>
                    <w:tl2br w:val="nil"/>
                    <w:tr2bl w:val="nil"/>
                  </w:tcBorders>
                  <w:shd w:val="clear" w:color="auto" w:fill="auto"/>
                  <w:tcMar>
                    <w:top w:w="0" w:type="dxa"/>
                    <w:left w:w="0" w:type="dxa"/>
                    <w:bottom w:w="0" w:type="dxa"/>
                    <w:right w:w="0" w:type="dxa"/>
                  </w:tcMar>
                  <w:vAlign w:val="center"/>
                </w:tcPr>
                <w:p w14:paraId="173742A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103.4</w:t>
                  </w:r>
                </w:p>
              </w:tc>
              <w:tc>
                <w:tcPr>
                  <w:tcW w:w="211" w:type="pct"/>
                  <w:tcBorders>
                    <w:tl2br w:val="nil"/>
                    <w:tr2bl w:val="nil"/>
                  </w:tcBorders>
                  <w:shd w:val="clear" w:color="auto" w:fill="auto"/>
                  <w:tcMar>
                    <w:top w:w="0" w:type="dxa"/>
                    <w:left w:w="0" w:type="dxa"/>
                    <w:bottom w:w="0" w:type="dxa"/>
                    <w:right w:w="0" w:type="dxa"/>
                  </w:tcMar>
                  <w:vAlign w:val="center"/>
                </w:tcPr>
                <w:p w14:paraId="5952614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30.3</w:t>
                  </w:r>
                </w:p>
              </w:tc>
              <w:tc>
                <w:tcPr>
                  <w:tcW w:w="211" w:type="pct"/>
                  <w:tcBorders>
                    <w:tl2br w:val="nil"/>
                    <w:tr2bl w:val="nil"/>
                  </w:tcBorders>
                  <w:shd w:val="clear" w:color="auto" w:fill="auto"/>
                  <w:tcMar>
                    <w:top w:w="0" w:type="dxa"/>
                    <w:left w:w="0" w:type="dxa"/>
                    <w:bottom w:w="0" w:type="dxa"/>
                    <w:right w:w="0" w:type="dxa"/>
                  </w:tcMar>
                  <w:vAlign w:val="center"/>
                </w:tcPr>
                <w:p w14:paraId="1A377C6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338.0</w:t>
                  </w:r>
                </w:p>
              </w:tc>
              <w:tc>
                <w:tcPr>
                  <w:tcW w:w="166" w:type="pct"/>
                  <w:tcBorders>
                    <w:tl2br w:val="nil"/>
                    <w:tr2bl w:val="nil"/>
                  </w:tcBorders>
                  <w:shd w:val="clear" w:color="auto" w:fill="auto"/>
                  <w:tcMar>
                    <w:top w:w="0" w:type="dxa"/>
                    <w:left w:w="0" w:type="dxa"/>
                    <w:bottom w:w="0" w:type="dxa"/>
                    <w:right w:w="0" w:type="dxa"/>
                  </w:tcMar>
                  <w:vAlign w:val="center"/>
                </w:tcPr>
                <w:p w14:paraId="415DAF9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FCC173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164365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67.2</w:t>
                  </w:r>
                </w:p>
              </w:tc>
              <w:tc>
                <w:tcPr>
                  <w:tcW w:w="166" w:type="pct"/>
                  <w:tcBorders>
                    <w:tl2br w:val="nil"/>
                    <w:tr2bl w:val="nil"/>
                  </w:tcBorders>
                  <w:shd w:val="clear" w:color="auto" w:fill="auto"/>
                  <w:tcMar>
                    <w:top w:w="0" w:type="dxa"/>
                    <w:left w:w="0" w:type="dxa"/>
                    <w:bottom w:w="0" w:type="dxa"/>
                    <w:right w:w="0" w:type="dxa"/>
                  </w:tcMar>
                  <w:vAlign w:val="center"/>
                </w:tcPr>
                <w:p w14:paraId="4D20BA5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4123121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2287E58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25ED59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12FFB0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BEFBF2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7F6FC5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ED630B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A37E0D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46.2</w:t>
                  </w:r>
                </w:p>
              </w:tc>
              <w:tc>
                <w:tcPr>
                  <w:tcW w:w="166" w:type="pct"/>
                  <w:tcBorders>
                    <w:tl2br w:val="nil"/>
                    <w:tr2bl w:val="nil"/>
                  </w:tcBorders>
                  <w:shd w:val="clear" w:color="auto" w:fill="auto"/>
                  <w:tcMar>
                    <w:top w:w="0" w:type="dxa"/>
                    <w:left w:w="0" w:type="dxa"/>
                    <w:bottom w:w="0" w:type="dxa"/>
                    <w:right w:w="0" w:type="dxa"/>
                  </w:tcMar>
                  <w:vAlign w:val="center"/>
                </w:tcPr>
                <w:p w14:paraId="42E993B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3349D88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333212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51621F5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F96F321">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465F8BF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废酸泵</w:t>
                  </w:r>
                </w:p>
              </w:tc>
              <w:tc>
                <w:tcPr>
                  <w:tcW w:w="264" w:type="pct"/>
                  <w:tcBorders>
                    <w:tl2br w:val="nil"/>
                    <w:tr2bl w:val="nil"/>
                  </w:tcBorders>
                  <w:shd w:val="clear" w:color="auto" w:fill="auto"/>
                  <w:tcMar>
                    <w:top w:w="0" w:type="dxa"/>
                    <w:left w:w="0" w:type="dxa"/>
                    <w:bottom w:w="0" w:type="dxa"/>
                    <w:right w:w="0" w:type="dxa"/>
                  </w:tcMar>
                  <w:vAlign w:val="center"/>
                </w:tcPr>
                <w:p w14:paraId="66BC93A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B0A7C09">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1CBE587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0.3</w:t>
                  </w:r>
                </w:p>
              </w:tc>
              <w:tc>
                <w:tcPr>
                  <w:tcW w:w="242" w:type="pct"/>
                  <w:tcBorders>
                    <w:tl2br w:val="nil"/>
                    <w:tr2bl w:val="nil"/>
                  </w:tcBorders>
                  <w:shd w:val="clear" w:color="auto" w:fill="auto"/>
                  <w:tcMar>
                    <w:top w:w="0" w:type="dxa"/>
                    <w:left w:w="0" w:type="dxa"/>
                    <w:bottom w:w="0" w:type="dxa"/>
                    <w:right w:w="0" w:type="dxa"/>
                  </w:tcMar>
                  <w:vAlign w:val="center"/>
                </w:tcPr>
                <w:p w14:paraId="59E3B39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-151</w:t>
                  </w:r>
                </w:p>
              </w:tc>
              <w:tc>
                <w:tcPr>
                  <w:tcW w:w="120" w:type="pct"/>
                  <w:tcBorders>
                    <w:tl2br w:val="nil"/>
                    <w:tr2bl w:val="nil"/>
                  </w:tcBorders>
                  <w:shd w:val="clear" w:color="auto" w:fill="auto"/>
                  <w:tcMar>
                    <w:top w:w="0" w:type="dxa"/>
                    <w:left w:w="0" w:type="dxa"/>
                    <w:bottom w:w="0" w:type="dxa"/>
                    <w:right w:w="0" w:type="dxa"/>
                  </w:tcMar>
                  <w:vAlign w:val="center"/>
                </w:tcPr>
                <w:p w14:paraId="705099A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1BD9705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96.8</w:t>
                  </w:r>
                </w:p>
              </w:tc>
              <w:tc>
                <w:tcPr>
                  <w:tcW w:w="211" w:type="pct"/>
                  <w:tcBorders>
                    <w:tl2br w:val="nil"/>
                    <w:tr2bl w:val="nil"/>
                  </w:tcBorders>
                  <w:shd w:val="clear" w:color="auto" w:fill="auto"/>
                  <w:tcMar>
                    <w:top w:w="0" w:type="dxa"/>
                    <w:left w:w="0" w:type="dxa"/>
                    <w:bottom w:w="0" w:type="dxa"/>
                    <w:right w:w="0" w:type="dxa"/>
                  </w:tcMar>
                  <w:vAlign w:val="center"/>
                </w:tcPr>
                <w:p w14:paraId="366985B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96.2</w:t>
                  </w:r>
                </w:p>
              </w:tc>
              <w:tc>
                <w:tcPr>
                  <w:tcW w:w="211" w:type="pct"/>
                  <w:tcBorders>
                    <w:tl2br w:val="nil"/>
                    <w:tr2bl w:val="nil"/>
                  </w:tcBorders>
                  <w:shd w:val="clear" w:color="auto" w:fill="auto"/>
                  <w:tcMar>
                    <w:top w:w="0" w:type="dxa"/>
                    <w:left w:w="0" w:type="dxa"/>
                    <w:bottom w:w="0" w:type="dxa"/>
                    <w:right w:w="0" w:type="dxa"/>
                  </w:tcMar>
                  <w:vAlign w:val="center"/>
                </w:tcPr>
                <w:p w14:paraId="285C8B4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23.0</w:t>
                  </w:r>
                </w:p>
              </w:tc>
              <w:tc>
                <w:tcPr>
                  <w:tcW w:w="211" w:type="pct"/>
                  <w:tcBorders>
                    <w:tl2br w:val="nil"/>
                    <w:tr2bl w:val="nil"/>
                  </w:tcBorders>
                  <w:shd w:val="clear" w:color="auto" w:fill="auto"/>
                  <w:tcMar>
                    <w:top w:w="0" w:type="dxa"/>
                    <w:left w:w="0" w:type="dxa"/>
                    <w:bottom w:w="0" w:type="dxa"/>
                    <w:right w:w="0" w:type="dxa"/>
                  </w:tcMar>
                  <w:vAlign w:val="center"/>
                </w:tcPr>
                <w:p w14:paraId="6099C65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345.2</w:t>
                  </w:r>
                </w:p>
              </w:tc>
              <w:tc>
                <w:tcPr>
                  <w:tcW w:w="166" w:type="pct"/>
                  <w:tcBorders>
                    <w:tl2br w:val="nil"/>
                    <w:tr2bl w:val="nil"/>
                  </w:tcBorders>
                  <w:shd w:val="clear" w:color="auto" w:fill="auto"/>
                  <w:tcMar>
                    <w:top w:w="0" w:type="dxa"/>
                    <w:left w:w="0" w:type="dxa"/>
                    <w:bottom w:w="0" w:type="dxa"/>
                    <w:right w:w="0" w:type="dxa"/>
                  </w:tcMar>
                  <w:vAlign w:val="center"/>
                </w:tcPr>
                <w:p w14:paraId="247384A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41FF93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85E064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67.2</w:t>
                  </w:r>
                </w:p>
              </w:tc>
              <w:tc>
                <w:tcPr>
                  <w:tcW w:w="166" w:type="pct"/>
                  <w:tcBorders>
                    <w:tl2br w:val="nil"/>
                    <w:tr2bl w:val="nil"/>
                  </w:tcBorders>
                  <w:shd w:val="clear" w:color="auto" w:fill="auto"/>
                  <w:tcMar>
                    <w:top w:w="0" w:type="dxa"/>
                    <w:left w:w="0" w:type="dxa"/>
                    <w:bottom w:w="0" w:type="dxa"/>
                    <w:right w:w="0" w:type="dxa"/>
                  </w:tcMar>
                  <w:vAlign w:val="center"/>
                </w:tcPr>
                <w:p w14:paraId="52BD0D8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2A46A33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7D66182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9D9674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133E1F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2F78EF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BD7738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50FEF6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64265D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46.2</w:t>
                  </w:r>
                </w:p>
              </w:tc>
              <w:tc>
                <w:tcPr>
                  <w:tcW w:w="166" w:type="pct"/>
                  <w:tcBorders>
                    <w:tl2br w:val="nil"/>
                    <w:tr2bl w:val="nil"/>
                  </w:tcBorders>
                  <w:shd w:val="clear" w:color="auto" w:fill="auto"/>
                  <w:tcMar>
                    <w:top w:w="0" w:type="dxa"/>
                    <w:left w:w="0" w:type="dxa"/>
                    <w:bottom w:w="0" w:type="dxa"/>
                    <w:right w:w="0" w:type="dxa"/>
                  </w:tcMar>
                  <w:vAlign w:val="center"/>
                </w:tcPr>
                <w:p w14:paraId="67D4E6E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4EEDFC9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1F5429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46B4D53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BAA99CA">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70BB0D5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酸循环泵</w:t>
                  </w:r>
                </w:p>
              </w:tc>
              <w:tc>
                <w:tcPr>
                  <w:tcW w:w="264" w:type="pct"/>
                  <w:tcBorders>
                    <w:tl2br w:val="nil"/>
                    <w:tr2bl w:val="nil"/>
                  </w:tcBorders>
                  <w:shd w:val="clear" w:color="auto" w:fill="auto"/>
                  <w:tcMar>
                    <w:top w:w="0" w:type="dxa"/>
                    <w:left w:w="0" w:type="dxa"/>
                    <w:bottom w:w="0" w:type="dxa"/>
                    <w:right w:w="0" w:type="dxa"/>
                  </w:tcMar>
                  <w:vAlign w:val="center"/>
                </w:tcPr>
                <w:p w14:paraId="063022D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4B2CBD6">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E38582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4.2</w:t>
                  </w:r>
                </w:p>
              </w:tc>
              <w:tc>
                <w:tcPr>
                  <w:tcW w:w="242" w:type="pct"/>
                  <w:tcBorders>
                    <w:tl2br w:val="nil"/>
                    <w:tr2bl w:val="nil"/>
                  </w:tcBorders>
                  <w:shd w:val="clear" w:color="auto" w:fill="auto"/>
                  <w:tcMar>
                    <w:top w:w="0" w:type="dxa"/>
                    <w:left w:w="0" w:type="dxa"/>
                    <w:bottom w:w="0" w:type="dxa"/>
                    <w:right w:w="0" w:type="dxa"/>
                  </w:tcMar>
                  <w:vAlign w:val="center"/>
                </w:tcPr>
                <w:p w14:paraId="4640CD7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-138.6</w:t>
                  </w:r>
                </w:p>
              </w:tc>
              <w:tc>
                <w:tcPr>
                  <w:tcW w:w="120" w:type="pct"/>
                  <w:tcBorders>
                    <w:tl2br w:val="nil"/>
                    <w:tr2bl w:val="nil"/>
                  </w:tcBorders>
                  <w:shd w:val="clear" w:color="auto" w:fill="auto"/>
                  <w:tcMar>
                    <w:top w:w="0" w:type="dxa"/>
                    <w:left w:w="0" w:type="dxa"/>
                    <w:bottom w:w="0" w:type="dxa"/>
                    <w:right w:w="0" w:type="dxa"/>
                  </w:tcMar>
                  <w:vAlign w:val="center"/>
                </w:tcPr>
                <w:p w14:paraId="5F9BEE4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1D3996F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97.7</w:t>
                  </w:r>
                </w:p>
              </w:tc>
              <w:tc>
                <w:tcPr>
                  <w:tcW w:w="211" w:type="pct"/>
                  <w:tcBorders>
                    <w:tl2br w:val="nil"/>
                    <w:tr2bl w:val="nil"/>
                  </w:tcBorders>
                  <w:shd w:val="clear" w:color="auto" w:fill="auto"/>
                  <w:tcMar>
                    <w:top w:w="0" w:type="dxa"/>
                    <w:left w:w="0" w:type="dxa"/>
                    <w:bottom w:w="0" w:type="dxa"/>
                    <w:right w:w="0" w:type="dxa"/>
                  </w:tcMar>
                  <w:vAlign w:val="center"/>
                </w:tcPr>
                <w:p w14:paraId="3D226DF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109.1</w:t>
                  </w:r>
                </w:p>
              </w:tc>
              <w:tc>
                <w:tcPr>
                  <w:tcW w:w="211" w:type="pct"/>
                  <w:tcBorders>
                    <w:tl2br w:val="nil"/>
                    <w:tr2bl w:val="nil"/>
                  </w:tcBorders>
                  <w:shd w:val="clear" w:color="auto" w:fill="auto"/>
                  <w:tcMar>
                    <w:top w:w="0" w:type="dxa"/>
                    <w:left w:w="0" w:type="dxa"/>
                    <w:bottom w:w="0" w:type="dxa"/>
                    <w:right w:w="0" w:type="dxa"/>
                  </w:tcMar>
                  <w:vAlign w:val="center"/>
                </w:tcPr>
                <w:p w14:paraId="581209C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35.9</w:t>
                  </w:r>
                </w:p>
              </w:tc>
              <w:tc>
                <w:tcPr>
                  <w:tcW w:w="211" w:type="pct"/>
                  <w:tcBorders>
                    <w:tl2br w:val="nil"/>
                    <w:tr2bl w:val="nil"/>
                  </w:tcBorders>
                  <w:shd w:val="clear" w:color="auto" w:fill="auto"/>
                  <w:tcMar>
                    <w:top w:w="0" w:type="dxa"/>
                    <w:left w:w="0" w:type="dxa"/>
                    <w:bottom w:w="0" w:type="dxa"/>
                    <w:right w:w="0" w:type="dxa"/>
                  </w:tcMar>
                  <w:vAlign w:val="center"/>
                </w:tcPr>
                <w:p w14:paraId="05145CD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332.4</w:t>
                  </w:r>
                </w:p>
              </w:tc>
              <w:tc>
                <w:tcPr>
                  <w:tcW w:w="166" w:type="pct"/>
                  <w:tcBorders>
                    <w:tl2br w:val="nil"/>
                    <w:tr2bl w:val="nil"/>
                  </w:tcBorders>
                  <w:shd w:val="clear" w:color="auto" w:fill="auto"/>
                  <w:tcMar>
                    <w:top w:w="0" w:type="dxa"/>
                    <w:left w:w="0" w:type="dxa"/>
                    <w:bottom w:w="0" w:type="dxa"/>
                    <w:right w:w="0" w:type="dxa"/>
                  </w:tcMar>
                  <w:vAlign w:val="center"/>
                </w:tcPr>
                <w:p w14:paraId="3F779E5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3DB86A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6FFDCF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67.2</w:t>
                  </w:r>
                </w:p>
              </w:tc>
              <w:tc>
                <w:tcPr>
                  <w:tcW w:w="166" w:type="pct"/>
                  <w:tcBorders>
                    <w:tl2br w:val="nil"/>
                    <w:tr2bl w:val="nil"/>
                  </w:tcBorders>
                  <w:shd w:val="clear" w:color="auto" w:fill="auto"/>
                  <w:tcMar>
                    <w:top w:w="0" w:type="dxa"/>
                    <w:left w:w="0" w:type="dxa"/>
                    <w:bottom w:w="0" w:type="dxa"/>
                    <w:right w:w="0" w:type="dxa"/>
                  </w:tcMar>
                  <w:vAlign w:val="center"/>
                </w:tcPr>
                <w:p w14:paraId="2244137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052BC08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2273E17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BACA39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A31BAB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752DF1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E69B6A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F9AD67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891972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46.2</w:t>
                  </w:r>
                </w:p>
              </w:tc>
              <w:tc>
                <w:tcPr>
                  <w:tcW w:w="166" w:type="pct"/>
                  <w:tcBorders>
                    <w:tl2br w:val="nil"/>
                    <w:tr2bl w:val="nil"/>
                  </w:tcBorders>
                  <w:shd w:val="clear" w:color="auto" w:fill="auto"/>
                  <w:tcMar>
                    <w:top w:w="0" w:type="dxa"/>
                    <w:left w:w="0" w:type="dxa"/>
                    <w:bottom w:w="0" w:type="dxa"/>
                    <w:right w:w="0" w:type="dxa"/>
                  </w:tcMar>
                  <w:vAlign w:val="center"/>
                </w:tcPr>
                <w:p w14:paraId="2C9D24B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351048F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2D8C3A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320F0E9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1518073">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6F4EA5D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酸循环泵</w:t>
                  </w:r>
                </w:p>
              </w:tc>
              <w:tc>
                <w:tcPr>
                  <w:tcW w:w="264" w:type="pct"/>
                  <w:tcBorders>
                    <w:tl2br w:val="nil"/>
                    <w:tr2bl w:val="nil"/>
                  </w:tcBorders>
                  <w:shd w:val="clear" w:color="auto" w:fill="auto"/>
                  <w:tcMar>
                    <w:top w:w="0" w:type="dxa"/>
                    <w:left w:w="0" w:type="dxa"/>
                    <w:bottom w:w="0" w:type="dxa"/>
                    <w:right w:w="0" w:type="dxa"/>
                  </w:tcMar>
                  <w:vAlign w:val="center"/>
                </w:tcPr>
                <w:p w14:paraId="1A9F57C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2CD1897">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635AA5E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8.1</w:t>
                  </w:r>
                </w:p>
              </w:tc>
              <w:tc>
                <w:tcPr>
                  <w:tcW w:w="242" w:type="pct"/>
                  <w:tcBorders>
                    <w:tl2br w:val="nil"/>
                    <w:tr2bl w:val="nil"/>
                  </w:tcBorders>
                  <w:shd w:val="clear" w:color="auto" w:fill="auto"/>
                  <w:tcMar>
                    <w:top w:w="0" w:type="dxa"/>
                    <w:left w:w="0" w:type="dxa"/>
                    <w:bottom w:w="0" w:type="dxa"/>
                    <w:right w:w="0" w:type="dxa"/>
                  </w:tcMar>
                  <w:vAlign w:val="center"/>
                </w:tcPr>
                <w:p w14:paraId="5FE996D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-139.4</w:t>
                  </w:r>
                </w:p>
              </w:tc>
              <w:tc>
                <w:tcPr>
                  <w:tcW w:w="120" w:type="pct"/>
                  <w:tcBorders>
                    <w:tl2br w:val="nil"/>
                    <w:tr2bl w:val="nil"/>
                  </w:tcBorders>
                  <w:shd w:val="clear" w:color="auto" w:fill="auto"/>
                  <w:tcMar>
                    <w:top w:w="0" w:type="dxa"/>
                    <w:left w:w="0" w:type="dxa"/>
                    <w:bottom w:w="0" w:type="dxa"/>
                    <w:right w:w="0" w:type="dxa"/>
                  </w:tcMar>
                  <w:vAlign w:val="center"/>
                </w:tcPr>
                <w:p w14:paraId="61FFDFA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786E97A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93.8</w:t>
                  </w:r>
                </w:p>
              </w:tc>
              <w:tc>
                <w:tcPr>
                  <w:tcW w:w="211" w:type="pct"/>
                  <w:tcBorders>
                    <w:tl2br w:val="nil"/>
                    <w:tr2bl w:val="nil"/>
                  </w:tcBorders>
                  <w:shd w:val="clear" w:color="auto" w:fill="auto"/>
                  <w:tcMar>
                    <w:top w:w="0" w:type="dxa"/>
                    <w:left w:w="0" w:type="dxa"/>
                    <w:bottom w:w="0" w:type="dxa"/>
                    <w:right w:w="0" w:type="dxa"/>
                  </w:tcMar>
                  <w:vAlign w:val="center"/>
                </w:tcPr>
                <w:p w14:paraId="60AF198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109.9</w:t>
                  </w:r>
                </w:p>
              </w:tc>
              <w:tc>
                <w:tcPr>
                  <w:tcW w:w="211" w:type="pct"/>
                  <w:tcBorders>
                    <w:tl2br w:val="nil"/>
                    <w:tr2bl w:val="nil"/>
                  </w:tcBorders>
                  <w:shd w:val="clear" w:color="auto" w:fill="auto"/>
                  <w:tcMar>
                    <w:top w:w="0" w:type="dxa"/>
                    <w:left w:w="0" w:type="dxa"/>
                    <w:bottom w:w="0" w:type="dxa"/>
                    <w:right w:w="0" w:type="dxa"/>
                  </w:tcMar>
                  <w:vAlign w:val="center"/>
                </w:tcPr>
                <w:p w14:paraId="134A0A8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36.9</w:t>
                  </w:r>
                </w:p>
              </w:tc>
              <w:tc>
                <w:tcPr>
                  <w:tcW w:w="211" w:type="pct"/>
                  <w:tcBorders>
                    <w:tl2br w:val="nil"/>
                    <w:tr2bl w:val="nil"/>
                  </w:tcBorders>
                  <w:shd w:val="clear" w:color="auto" w:fill="auto"/>
                  <w:tcMar>
                    <w:top w:w="0" w:type="dxa"/>
                    <w:left w:w="0" w:type="dxa"/>
                    <w:bottom w:w="0" w:type="dxa"/>
                    <w:right w:w="0" w:type="dxa"/>
                  </w:tcMar>
                  <w:vAlign w:val="center"/>
                </w:tcPr>
                <w:p w14:paraId="6B09E50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331.4</w:t>
                  </w:r>
                </w:p>
              </w:tc>
              <w:tc>
                <w:tcPr>
                  <w:tcW w:w="166" w:type="pct"/>
                  <w:tcBorders>
                    <w:tl2br w:val="nil"/>
                    <w:tr2bl w:val="nil"/>
                  </w:tcBorders>
                  <w:shd w:val="clear" w:color="auto" w:fill="auto"/>
                  <w:tcMar>
                    <w:top w:w="0" w:type="dxa"/>
                    <w:left w:w="0" w:type="dxa"/>
                    <w:bottom w:w="0" w:type="dxa"/>
                    <w:right w:w="0" w:type="dxa"/>
                  </w:tcMar>
                  <w:vAlign w:val="center"/>
                </w:tcPr>
                <w:p w14:paraId="7715DA4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E8E27A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99CD5E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67.2</w:t>
                  </w:r>
                </w:p>
              </w:tc>
              <w:tc>
                <w:tcPr>
                  <w:tcW w:w="166" w:type="pct"/>
                  <w:tcBorders>
                    <w:tl2br w:val="nil"/>
                    <w:tr2bl w:val="nil"/>
                  </w:tcBorders>
                  <w:shd w:val="clear" w:color="auto" w:fill="auto"/>
                  <w:tcMar>
                    <w:top w:w="0" w:type="dxa"/>
                    <w:left w:w="0" w:type="dxa"/>
                    <w:bottom w:w="0" w:type="dxa"/>
                    <w:right w:w="0" w:type="dxa"/>
                  </w:tcMar>
                  <w:vAlign w:val="center"/>
                </w:tcPr>
                <w:p w14:paraId="1CC672A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4EE016B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2A6AAE4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E079BB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8F35DF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B31B15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11AE27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CF1D8C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04A053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46.2</w:t>
                  </w:r>
                </w:p>
              </w:tc>
              <w:tc>
                <w:tcPr>
                  <w:tcW w:w="166" w:type="pct"/>
                  <w:tcBorders>
                    <w:tl2br w:val="nil"/>
                    <w:tr2bl w:val="nil"/>
                  </w:tcBorders>
                  <w:shd w:val="clear" w:color="auto" w:fill="auto"/>
                  <w:tcMar>
                    <w:top w:w="0" w:type="dxa"/>
                    <w:left w:w="0" w:type="dxa"/>
                    <w:bottom w:w="0" w:type="dxa"/>
                    <w:right w:w="0" w:type="dxa"/>
                  </w:tcMar>
                  <w:vAlign w:val="center"/>
                </w:tcPr>
                <w:p w14:paraId="2F099D7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7A0B563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425096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4BF3566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14</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B7FEE9F">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1FE95FA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酸循环泵</w:t>
                  </w:r>
                </w:p>
              </w:tc>
              <w:tc>
                <w:tcPr>
                  <w:tcW w:w="264" w:type="pct"/>
                  <w:tcBorders>
                    <w:tl2br w:val="nil"/>
                    <w:tr2bl w:val="nil"/>
                  </w:tcBorders>
                  <w:shd w:val="clear" w:color="auto" w:fill="auto"/>
                  <w:tcMar>
                    <w:top w:w="0" w:type="dxa"/>
                    <w:left w:w="0" w:type="dxa"/>
                    <w:bottom w:w="0" w:type="dxa"/>
                    <w:right w:w="0" w:type="dxa"/>
                  </w:tcMar>
                  <w:vAlign w:val="center"/>
                </w:tcPr>
                <w:p w14:paraId="41A2C5E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2B334C5">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FB19C2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11.5</w:t>
                  </w:r>
                </w:p>
              </w:tc>
              <w:tc>
                <w:tcPr>
                  <w:tcW w:w="242" w:type="pct"/>
                  <w:tcBorders>
                    <w:tl2br w:val="nil"/>
                    <w:tr2bl w:val="nil"/>
                  </w:tcBorders>
                  <w:shd w:val="clear" w:color="auto" w:fill="auto"/>
                  <w:tcMar>
                    <w:top w:w="0" w:type="dxa"/>
                    <w:left w:w="0" w:type="dxa"/>
                    <w:bottom w:w="0" w:type="dxa"/>
                    <w:right w:w="0" w:type="dxa"/>
                  </w:tcMar>
                  <w:vAlign w:val="center"/>
                </w:tcPr>
                <w:p w14:paraId="608E10D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-140.7</w:t>
                  </w:r>
                </w:p>
              </w:tc>
              <w:tc>
                <w:tcPr>
                  <w:tcW w:w="120" w:type="pct"/>
                  <w:tcBorders>
                    <w:tl2br w:val="nil"/>
                    <w:tr2bl w:val="nil"/>
                  </w:tcBorders>
                  <w:shd w:val="clear" w:color="auto" w:fill="auto"/>
                  <w:tcMar>
                    <w:top w:w="0" w:type="dxa"/>
                    <w:left w:w="0" w:type="dxa"/>
                    <w:bottom w:w="0" w:type="dxa"/>
                    <w:right w:w="0" w:type="dxa"/>
                  </w:tcMar>
                  <w:vAlign w:val="center"/>
                </w:tcPr>
                <w:p w14:paraId="01EBDF7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215FAB3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90.1</w:t>
                  </w:r>
                </w:p>
              </w:tc>
              <w:tc>
                <w:tcPr>
                  <w:tcW w:w="211" w:type="pct"/>
                  <w:tcBorders>
                    <w:tl2br w:val="nil"/>
                    <w:tr2bl w:val="nil"/>
                  </w:tcBorders>
                  <w:shd w:val="clear" w:color="auto" w:fill="auto"/>
                  <w:tcMar>
                    <w:top w:w="0" w:type="dxa"/>
                    <w:left w:w="0" w:type="dxa"/>
                    <w:bottom w:w="0" w:type="dxa"/>
                    <w:right w:w="0" w:type="dxa"/>
                  </w:tcMar>
                  <w:vAlign w:val="center"/>
                </w:tcPr>
                <w:p w14:paraId="509D4B3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110.0</w:t>
                  </w:r>
                </w:p>
              </w:tc>
              <w:tc>
                <w:tcPr>
                  <w:tcW w:w="211" w:type="pct"/>
                  <w:tcBorders>
                    <w:tl2br w:val="nil"/>
                    <w:tr2bl w:val="nil"/>
                  </w:tcBorders>
                  <w:shd w:val="clear" w:color="auto" w:fill="auto"/>
                  <w:tcMar>
                    <w:top w:w="0" w:type="dxa"/>
                    <w:left w:w="0" w:type="dxa"/>
                    <w:bottom w:w="0" w:type="dxa"/>
                    <w:right w:w="0" w:type="dxa"/>
                  </w:tcMar>
                  <w:vAlign w:val="center"/>
                </w:tcPr>
                <w:p w14:paraId="7BBFF7C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37.2</w:t>
                  </w:r>
                </w:p>
              </w:tc>
              <w:tc>
                <w:tcPr>
                  <w:tcW w:w="211" w:type="pct"/>
                  <w:tcBorders>
                    <w:tl2br w:val="nil"/>
                    <w:tr2bl w:val="nil"/>
                  </w:tcBorders>
                  <w:shd w:val="clear" w:color="auto" w:fill="auto"/>
                  <w:tcMar>
                    <w:top w:w="0" w:type="dxa"/>
                    <w:left w:w="0" w:type="dxa"/>
                    <w:bottom w:w="0" w:type="dxa"/>
                    <w:right w:w="0" w:type="dxa"/>
                  </w:tcMar>
                  <w:vAlign w:val="center"/>
                </w:tcPr>
                <w:p w14:paraId="436F09B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331.2</w:t>
                  </w:r>
                </w:p>
              </w:tc>
              <w:tc>
                <w:tcPr>
                  <w:tcW w:w="166" w:type="pct"/>
                  <w:tcBorders>
                    <w:tl2br w:val="nil"/>
                    <w:tr2bl w:val="nil"/>
                  </w:tcBorders>
                  <w:shd w:val="clear" w:color="auto" w:fill="auto"/>
                  <w:tcMar>
                    <w:top w:w="0" w:type="dxa"/>
                    <w:left w:w="0" w:type="dxa"/>
                    <w:bottom w:w="0" w:type="dxa"/>
                    <w:right w:w="0" w:type="dxa"/>
                  </w:tcMar>
                  <w:vAlign w:val="center"/>
                </w:tcPr>
                <w:p w14:paraId="1DE3EBA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C165DA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919386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67.2</w:t>
                  </w:r>
                </w:p>
              </w:tc>
              <w:tc>
                <w:tcPr>
                  <w:tcW w:w="166" w:type="pct"/>
                  <w:tcBorders>
                    <w:tl2br w:val="nil"/>
                    <w:tr2bl w:val="nil"/>
                  </w:tcBorders>
                  <w:shd w:val="clear" w:color="auto" w:fill="auto"/>
                  <w:tcMar>
                    <w:top w:w="0" w:type="dxa"/>
                    <w:left w:w="0" w:type="dxa"/>
                    <w:bottom w:w="0" w:type="dxa"/>
                    <w:right w:w="0" w:type="dxa"/>
                  </w:tcMar>
                  <w:vAlign w:val="center"/>
                </w:tcPr>
                <w:p w14:paraId="05EB33C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2681864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719B480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9F7D7F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87CBF7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923C75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3760E8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3E41C3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872DAB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46.2</w:t>
                  </w:r>
                </w:p>
              </w:tc>
              <w:tc>
                <w:tcPr>
                  <w:tcW w:w="166" w:type="pct"/>
                  <w:tcBorders>
                    <w:tl2br w:val="nil"/>
                    <w:tr2bl w:val="nil"/>
                  </w:tcBorders>
                  <w:shd w:val="clear" w:color="auto" w:fill="auto"/>
                  <w:tcMar>
                    <w:top w:w="0" w:type="dxa"/>
                    <w:left w:w="0" w:type="dxa"/>
                    <w:bottom w:w="0" w:type="dxa"/>
                    <w:right w:w="0" w:type="dxa"/>
                  </w:tcMar>
                  <w:vAlign w:val="center"/>
                </w:tcPr>
                <w:p w14:paraId="7F3351D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309E90B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1DB319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5F22E7D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555B626">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4C81813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地坑提升泵</w:t>
                  </w:r>
                </w:p>
              </w:tc>
              <w:tc>
                <w:tcPr>
                  <w:tcW w:w="264" w:type="pct"/>
                  <w:tcBorders>
                    <w:tl2br w:val="nil"/>
                    <w:tr2bl w:val="nil"/>
                  </w:tcBorders>
                  <w:shd w:val="clear" w:color="auto" w:fill="auto"/>
                  <w:tcMar>
                    <w:top w:w="0" w:type="dxa"/>
                    <w:left w:w="0" w:type="dxa"/>
                    <w:bottom w:w="0" w:type="dxa"/>
                    <w:right w:w="0" w:type="dxa"/>
                  </w:tcMar>
                  <w:vAlign w:val="center"/>
                </w:tcPr>
                <w:p w14:paraId="1796DF2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B8A6B7B">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340BCD1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5.1</w:t>
                  </w:r>
                </w:p>
              </w:tc>
              <w:tc>
                <w:tcPr>
                  <w:tcW w:w="242" w:type="pct"/>
                  <w:tcBorders>
                    <w:tl2br w:val="nil"/>
                    <w:tr2bl w:val="nil"/>
                  </w:tcBorders>
                  <w:shd w:val="clear" w:color="auto" w:fill="auto"/>
                  <w:tcMar>
                    <w:top w:w="0" w:type="dxa"/>
                    <w:left w:w="0" w:type="dxa"/>
                    <w:bottom w:w="0" w:type="dxa"/>
                    <w:right w:w="0" w:type="dxa"/>
                  </w:tcMar>
                  <w:vAlign w:val="center"/>
                </w:tcPr>
                <w:p w14:paraId="22BE341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-133.4</w:t>
                  </w:r>
                </w:p>
              </w:tc>
              <w:tc>
                <w:tcPr>
                  <w:tcW w:w="120" w:type="pct"/>
                  <w:tcBorders>
                    <w:tl2br w:val="nil"/>
                    <w:tr2bl w:val="nil"/>
                  </w:tcBorders>
                  <w:shd w:val="clear" w:color="auto" w:fill="auto"/>
                  <w:tcMar>
                    <w:top w:w="0" w:type="dxa"/>
                    <w:left w:w="0" w:type="dxa"/>
                    <w:bottom w:w="0" w:type="dxa"/>
                    <w:right w:w="0" w:type="dxa"/>
                  </w:tcMar>
                  <w:vAlign w:val="center"/>
                </w:tcPr>
                <w:p w14:paraId="259AD1E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15EAB9A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98.8</w:t>
                  </w:r>
                </w:p>
              </w:tc>
              <w:tc>
                <w:tcPr>
                  <w:tcW w:w="211" w:type="pct"/>
                  <w:tcBorders>
                    <w:tl2br w:val="nil"/>
                    <w:tr2bl w:val="nil"/>
                  </w:tcBorders>
                  <w:shd w:val="clear" w:color="auto" w:fill="auto"/>
                  <w:tcMar>
                    <w:top w:w="0" w:type="dxa"/>
                    <w:left w:w="0" w:type="dxa"/>
                    <w:bottom w:w="0" w:type="dxa"/>
                    <w:right w:w="0" w:type="dxa"/>
                  </w:tcMar>
                  <w:vAlign w:val="center"/>
                </w:tcPr>
                <w:p w14:paraId="4305B68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114.3</w:t>
                  </w:r>
                </w:p>
              </w:tc>
              <w:tc>
                <w:tcPr>
                  <w:tcW w:w="211" w:type="pct"/>
                  <w:tcBorders>
                    <w:tl2br w:val="nil"/>
                    <w:tr2bl w:val="nil"/>
                  </w:tcBorders>
                  <w:shd w:val="clear" w:color="auto" w:fill="auto"/>
                  <w:tcMar>
                    <w:top w:w="0" w:type="dxa"/>
                    <w:left w:w="0" w:type="dxa"/>
                    <w:bottom w:w="0" w:type="dxa"/>
                    <w:right w:w="0" w:type="dxa"/>
                  </w:tcMar>
                  <w:vAlign w:val="center"/>
                </w:tcPr>
                <w:p w14:paraId="1DAC44E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41.0</w:t>
                  </w:r>
                </w:p>
              </w:tc>
              <w:tc>
                <w:tcPr>
                  <w:tcW w:w="211" w:type="pct"/>
                  <w:tcBorders>
                    <w:tl2br w:val="nil"/>
                    <w:tr2bl w:val="nil"/>
                  </w:tcBorders>
                  <w:shd w:val="clear" w:color="auto" w:fill="auto"/>
                  <w:tcMar>
                    <w:top w:w="0" w:type="dxa"/>
                    <w:left w:w="0" w:type="dxa"/>
                    <w:bottom w:w="0" w:type="dxa"/>
                    <w:right w:w="0" w:type="dxa"/>
                  </w:tcMar>
                  <w:vAlign w:val="center"/>
                </w:tcPr>
                <w:p w14:paraId="7BDC922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327.3</w:t>
                  </w:r>
                </w:p>
              </w:tc>
              <w:tc>
                <w:tcPr>
                  <w:tcW w:w="166" w:type="pct"/>
                  <w:tcBorders>
                    <w:tl2br w:val="nil"/>
                    <w:tr2bl w:val="nil"/>
                  </w:tcBorders>
                  <w:shd w:val="clear" w:color="auto" w:fill="auto"/>
                  <w:tcMar>
                    <w:top w:w="0" w:type="dxa"/>
                    <w:left w:w="0" w:type="dxa"/>
                    <w:bottom w:w="0" w:type="dxa"/>
                    <w:right w:w="0" w:type="dxa"/>
                  </w:tcMar>
                  <w:vAlign w:val="center"/>
                </w:tcPr>
                <w:p w14:paraId="0AB42DF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1BB416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DA4404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67.2</w:t>
                  </w:r>
                </w:p>
              </w:tc>
              <w:tc>
                <w:tcPr>
                  <w:tcW w:w="166" w:type="pct"/>
                  <w:tcBorders>
                    <w:tl2br w:val="nil"/>
                    <w:tr2bl w:val="nil"/>
                  </w:tcBorders>
                  <w:shd w:val="clear" w:color="auto" w:fill="auto"/>
                  <w:tcMar>
                    <w:top w:w="0" w:type="dxa"/>
                    <w:left w:w="0" w:type="dxa"/>
                    <w:bottom w:w="0" w:type="dxa"/>
                    <w:right w:w="0" w:type="dxa"/>
                  </w:tcMar>
                  <w:vAlign w:val="center"/>
                </w:tcPr>
                <w:p w14:paraId="4685BB5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0058F43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322E581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5FDEAB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078399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8BCD7D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6D70BE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B3F5D6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B910AF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46.2</w:t>
                  </w:r>
                </w:p>
              </w:tc>
              <w:tc>
                <w:tcPr>
                  <w:tcW w:w="166" w:type="pct"/>
                  <w:tcBorders>
                    <w:tl2br w:val="nil"/>
                    <w:tr2bl w:val="nil"/>
                  </w:tcBorders>
                  <w:shd w:val="clear" w:color="auto" w:fill="auto"/>
                  <w:tcMar>
                    <w:top w:w="0" w:type="dxa"/>
                    <w:left w:w="0" w:type="dxa"/>
                    <w:bottom w:w="0" w:type="dxa"/>
                    <w:right w:w="0" w:type="dxa"/>
                  </w:tcMar>
                  <w:vAlign w:val="center"/>
                </w:tcPr>
                <w:p w14:paraId="779FAC1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2405C83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1A5C18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3F033A5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2343CFA">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664AA15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地坑提升泵</w:t>
                  </w:r>
                </w:p>
              </w:tc>
              <w:tc>
                <w:tcPr>
                  <w:tcW w:w="264" w:type="pct"/>
                  <w:tcBorders>
                    <w:tl2br w:val="nil"/>
                    <w:tr2bl w:val="nil"/>
                  </w:tcBorders>
                  <w:shd w:val="clear" w:color="auto" w:fill="auto"/>
                  <w:tcMar>
                    <w:top w:w="0" w:type="dxa"/>
                    <w:left w:w="0" w:type="dxa"/>
                    <w:bottom w:w="0" w:type="dxa"/>
                    <w:right w:w="0" w:type="dxa"/>
                  </w:tcMar>
                  <w:vAlign w:val="center"/>
                </w:tcPr>
                <w:p w14:paraId="1BE9B6F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ADDAD98">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395CD09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8.7</w:t>
                  </w:r>
                </w:p>
              </w:tc>
              <w:tc>
                <w:tcPr>
                  <w:tcW w:w="242" w:type="pct"/>
                  <w:tcBorders>
                    <w:tl2br w:val="nil"/>
                    <w:tr2bl w:val="nil"/>
                  </w:tcBorders>
                  <w:shd w:val="clear" w:color="auto" w:fill="auto"/>
                  <w:tcMar>
                    <w:top w:w="0" w:type="dxa"/>
                    <w:left w:w="0" w:type="dxa"/>
                    <w:bottom w:w="0" w:type="dxa"/>
                    <w:right w:w="0" w:type="dxa"/>
                  </w:tcMar>
                  <w:vAlign w:val="center"/>
                </w:tcPr>
                <w:p w14:paraId="14DDA76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-134.1</w:t>
                  </w:r>
                </w:p>
              </w:tc>
              <w:tc>
                <w:tcPr>
                  <w:tcW w:w="120" w:type="pct"/>
                  <w:tcBorders>
                    <w:tl2br w:val="nil"/>
                    <w:tr2bl w:val="nil"/>
                  </w:tcBorders>
                  <w:shd w:val="clear" w:color="auto" w:fill="auto"/>
                  <w:tcMar>
                    <w:top w:w="0" w:type="dxa"/>
                    <w:left w:w="0" w:type="dxa"/>
                    <w:bottom w:w="0" w:type="dxa"/>
                    <w:right w:w="0" w:type="dxa"/>
                  </w:tcMar>
                  <w:vAlign w:val="center"/>
                </w:tcPr>
                <w:p w14:paraId="7976F6C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7EABF1A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95.2</w:t>
                  </w:r>
                </w:p>
              </w:tc>
              <w:tc>
                <w:tcPr>
                  <w:tcW w:w="211" w:type="pct"/>
                  <w:tcBorders>
                    <w:tl2br w:val="nil"/>
                    <w:tr2bl w:val="nil"/>
                  </w:tcBorders>
                  <w:shd w:val="clear" w:color="auto" w:fill="auto"/>
                  <w:tcMar>
                    <w:top w:w="0" w:type="dxa"/>
                    <w:left w:w="0" w:type="dxa"/>
                    <w:bottom w:w="0" w:type="dxa"/>
                    <w:right w:w="0" w:type="dxa"/>
                  </w:tcMar>
                  <w:vAlign w:val="center"/>
                </w:tcPr>
                <w:p w14:paraId="71EB12E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115.0</w:t>
                  </w:r>
                </w:p>
              </w:tc>
              <w:tc>
                <w:tcPr>
                  <w:tcW w:w="211" w:type="pct"/>
                  <w:tcBorders>
                    <w:tl2br w:val="nil"/>
                    <w:tr2bl w:val="nil"/>
                  </w:tcBorders>
                  <w:shd w:val="clear" w:color="auto" w:fill="auto"/>
                  <w:tcMar>
                    <w:top w:w="0" w:type="dxa"/>
                    <w:left w:w="0" w:type="dxa"/>
                    <w:bottom w:w="0" w:type="dxa"/>
                    <w:right w:w="0" w:type="dxa"/>
                  </w:tcMar>
                  <w:vAlign w:val="center"/>
                </w:tcPr>
                <w:p w14:paraId="4874F1B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41.9</w:t>
                  </w:r>
                </w:p>
              </w:tc>
              <w:tc>
                <w:tcPr>
                  <w:tcW w:w="211" w:type="pct"/>
                  <w:tcBorders>
                    <w:tl2br w:val="nil"/>
                    <w:tr2bl w:val="nil"/>
                  </w:tcBorders>
                  <w:shd w:val="clear" w:color="auto" w:fill="auto"/>
                  <w:tcMar>
                    <w:top w:w="0" w:type="dxa"/>
                    <w:left w:w="0" w:type="dxa"/>
                    <w:bottom w:w="0" w:type="dxa"/>
                    <w:right w:w="0" w:type="dxa"/>
                  </w:tcMar>
                  <w:vAlign w:val="center"/>
                </w:tcPr>
                <w:p w14:paraId="0AC1203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326.4</w:t>
                  </w:r>
                </w:p>
              </w:tc>
              <w:tc>
                <w:tcPr>
                  <w:tcW w:w="166" w:type="pct"/>
                  <w:tcBorders>
                    <w:tl2br w:val="nil"/>
                    <w:tr2bl w:val="nil"/>
                  </w:tcBorders>
                  <w:shd w:val="clear" w:color="auto" w:fill="auto"/>
                  <w:tcMar>
                    <w:top w:w="0" w:type="dxa"/>
                    <w:left w:w="0" w:type="dxa"/>
                    <w:bottom w:w="0" w:type="dxa"/>
                    <w:right w:w="0" w:type="dxa"/>
                  </w:tcMar>
                  <w:vAlign w:val="center"/>
                </w:tcPr>
                <w:p w14:paraId="0BEE985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895765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0F5CC1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68A63B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5E8A806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003AF75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360055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CBD81A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40D05D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767C11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48363C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82F326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73FD91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2267AD1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7C0576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41AAC6C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98CF298">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5A7CBCB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高压冲洗水泵</w:t>
                  </w:r>
                </w:p>
              </w:tc>
              <w:tc>
                <w:tcPr>
                  <w:tcW w:w="264" w:type="pct"/>
                  <w:tcBorders>
                    <w:tl2br w:val="nil"/>
                    <w:tr2bl w:val="nil"/>
                  </w:tcBorders>
                  <w:shd w:val="clear" w:color="auto" w:fill="auto"/>
                  <w:tcMar>
                    <w:top w:w="0" w:type="dxa"/>
                    <w:left w:w="0" w:type="dxa"/>
                    <w:bottom w:w="0" w:type="dxa"/>
                    <w:right w:w="0" w:type="dxa"/>
                  </w:tcMar>
                  <w:vAlign w:val="center"/>
                </w:tcPr>
                <w:p w14:paraId="5A80B0F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994ACF4">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6B0989A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11.7</w:t>
                  </w:r>
                </w:p>
              </w:tc>
              <w:tc>
                <w:tcPr>
                  <w:tcW w:w="242" w:type="pct"/>
                  <w:tcBorders>
                    <w:tl2br w:val="nil"/>
                    <w:tr2bl w:val="nil"/>
                  </w:tcBorders>
                  <w:shd w:val="clear" w:color="auto" w:fill="auto"/>
                  <w:tcMar>
                    <w:top w:w="0" w:type="dxa"/>
                    <w:left w:w="0" w:type="dxa"/>
                    <w:bottom w:w="0" w:type="dxa"/>
                    <w:right w:w="0" w:type="dxa"/>
                  </w:tcMar>
                  <w:vAlign w:val="center"/>
                </w:tcPr>
                <w:p w14:paraId="14B380F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-134.7</w:t>
                  </w:r>
                </w:p>
              </w:tc>
              <w:tc>
                <w:tcPr>
                  <w:tcW w:w="120" w:type="pct"/>
                  <w:tcBorders>
                    <w:tl2br w:val="nil"/>
                    <w:tr2bl w:val="nil"/>
                  </w:tcBorders>
                  <w:shd w:val="clear" w:color="auto" w:fill="auto"/>
                  <w:tcMar>
                    <w:top w:w="0" w:type="dxa"/>
                    <w:left w:w="0" w:type="dxa"/>
                    <w:bottom w:w="0" w:type="dxa"/>
                    <w:right w:w="0" w:type="dxa"/>
                  </w:tcMar>
                  <w:vAlign w:val="center"/>
                </w:tcPr>
                <w:p w14:paraId="38AB54C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5FE52C5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92.2</w:t>
                  </w:r>
                </w:p>
              </w:tc>
              <w:tc>
                <w:tcPr>
                  <w:tcW w:w="211" w:type="pct"/>
                  <w:tcBorders>
                    <w:tl2br w:val="nil"/>
                    <w:tr2bl w:val="nil"/>
                  </w:tcBorders>
                  <w:shd w:val="clear" w:color="auto" w:fill="auto"/>
                  <w:tcMar>
                    <w:top w:w="0" w:type="dxa"/>
                    <w:left w:w="0" w:type="dxa"/>
                    <w:bottom w:w="0" w:type="dxa"/>
                    <w:right w:w="0" w:type="dxa"/>
                  </w:tcMar>
                  <w:vAlign w:val="center"/>
                </w:tcPr>
                <w:p w14:paraId="7538419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115.6</w:t>
                  </w:r>
                </w:p>
              </w:tc>
              <w:tc>
                <w:tcPr>
                  <w:tcW w:w="211" w:type="pct"/>
                  <w:tcBorders>
                    <w:tl2br w:val="nil"/>
                    <w:tr2bl w:val="nil"/>
                  </w:tcBorders>
                  <w:shd w:val="clear" w:color="auto" w:fill="auto"/>
                  <w:tcMar>
                    <w:top w:w="0" w:type="dxa"/>
                    <w:left w:w="0" w:type="dxa"/>
                    <w:bottom w:w="0" w:type="dxa"/>
                    <w:right w:w="0" w:type="dxa"/>
                  </w:tcMar>
                  <w:vAlign w:val="center"/>
                </w:tcPr>
                <w:p w14:paraId="131D307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42.7</w:t>
                  </w:r>
                </w:p>
              </w:tc>
              <w:tc>
                <w:tcPr>
                  <w:tcW w:w="211" w:type="pct"/>
                  <w:tcBorders>
                    <w:tl2br w:val="nil"/>
                    <w:tr2bl w:val="nil"/>
                  </w:tcBorders>
                  <w:shd w:val="clear" w:color="auto" w:fill="auto"/>
                  <w:tcMar>
                    <w:top w:w="0" w:type="dxa"/>
                    <w:left w:w="0" w:type="dxa"/>
                    <w:bottom w:w="0" w:type="dxa"/>
                    <w:right w:w="0" w:type="dxa"/>
                  </w:tcMar>
                  <w:vAlign w:val="center"/>
                </w:tcPr>
                <w:p w14:paraId="5C702FC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325.7</w:t>
                  </w:r>
                </w:p>
              </w:tc>
              <w:tc>
                <w:tcPr>
                  <w:tcW w:w="166" w:type="pct"/>
                  <w:tcBorders>
                    <w:tl2br w:val="nil"/>
                    <w:tr2bl w:val="nil"/>
                  </w:tcBorders>
                  <w:shd w:val="clear" w:color="auto" w:fill="auto"/>
                  <w:tcMar>
                    <w:top w:w="0" w:type="dxa"/>
                    <w:left w:w="0" w:type="dxa"/>
                    <w:bottom w:w="0" w:type="dxa"/>
                    <w:right w:w="0" w:type="dxa"/>
                  </w:tcMar>
                  <w:vAlign w:val="center"/>
                </w:tcPr>
                <w:p w14:paraId="345B498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E79286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F1A534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52FBD0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2459CF0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7623DE0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057F89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405D6C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B62D30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F0EBBF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17E597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8C3B06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A68F49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337314D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3F0A15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E705D5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15E31D3">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4FBD35C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高压冲洗水泵</w:t>
                  </w:r>
                </w:p>
              </w:tc>
              <w:tc>
                <w:tcPr>
                  <w:tcW w:w="264" w:type="pct"/>
                  <w:tcBorders>
                    <w:tl2br w:val="nil"/>
                    <w:tr2bl w:val="nil"/>
                  </w:tcBorders>
                  <w:shd w:val="clear" w:color="auto" w:fill="auto"/>
                  <w:tcMar>
                    <w:top w:w="0" w:type="dxa"/>
                    <w:left w:w="0" w:type="dxa"/>
                    <w:bottom w:w="0" w:type="dxa"/>
                    <w:right w:w="0" w:type="dxa"/>
                  </w:tcMar>
                  <w:vAlign w:val="center"/>
                </w:tcPr>
                <w:p w14:paraId="3D443B4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185B3E4">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72CE361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14.7</w:t>
                  </w:r>
                </w:p>
              </w:tc>
              <w:tc>
                <w:tcPr>
                  <w:tcW w:w="242" w:type="pct"/>
                  <w:tcBorders>
                    <w:tl2br w:val="nil"/>
                    <w:tr2bl w:val="nil"/>
                  </w:tcBorders>
                  <w:shd w:val="clear" w:color="auto" w:fill="auto"/>
                  <w:tcMar>
                    <w:top w:w="0" w:type="dxa"/>
                    <w:left w:w="0" w:type="dxa"/>
                    <w:bottom w:w="0" w:type="dxa"/>
                    <w:right w:w="0" w:type="dxa"/>
                  </w:tcMar>
                  <w:vAlign w:val="center"/>
                </w:tcPr>
                <w:p w14:paraId="31F9185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-136</w:t>
                  </w:r>
                </w:p>
              </w:tc>
              <w:tc>
                <w:tcPr>
                  <w:tcW w:w="120" w:type="pct"/>
                  <w:tcBorders>
                    <w:tl2br w:val="nil"/>
                    <w:tr2bl w:val="nil"/>
                  </w:tcBorders>
                  <w:shd w:val="clear" w:color="auto" w:fill="auto"/>
                  <w:tcMar>
                    <w:top w:w="0" w:type="dxa"/>
                    <w:left w:w="0" w:type="dxa"/>
                    <w:bottom w:w="0" w:type="dxa"/>
                    <w:right w:w="0" w:type="dxa"/>
                  </w:tcMar>
                  <w:vAlign w:val="center"/>
                </w:tcPr>
                <w:p w14:paraId="580BF2F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30E8DF4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88.9</w:t>
                  </w:r>
                </w:p>
              </w:tc>
              <w:tc>
                <w:tcPr>
                  <w:tcW w:w="211" w:type="pct"/>
                  <w:tcBorders>
                    <w:tl2br w:val="nil"/>
                    <w:tr2bl w:val="nil"/>
                  </w:tcBorders>
                  <w:shd w:val="clear" w:color="auto" w:fill="auto"/>
                  <w:tcMar>
                    <w:top w:w="0" w:type="dxa"/>
                    <w:left w:w="0" w:type="dxa"/>
                    <w:bottom w:w="0" w:type="dxa"/>
                    <w:right w:w="0" w:type="dxa"/>
                  </w:tcMar>
                  <w:vAlign w:val="center"/>
                </w:tcPr>
                <w:p w14:paraId="6113737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115.5</w:t>
                  </w:r>
                </w:p>
              </w:tc>
              <w:tc>
                <w:tcPr>
                  <w:tcW w:w="211" w:type="pct"/>
                  <w:tcBorders>
                    <w:tl2br w:val="nil"/>
                    <w:tr2bl w:val="nil"/>
                  </w:tcBorders>
                  <w:shd w:val="clear" w:color="auto" w:fill="auto"/>
                  <w:tcMar>
                    <w:top w:w="0" w:type="dxa"/>
                    <w:left w:w="0" w:type="dxa"/>
                    <w:bottom w:w="0" w:type="dxa"/>
                    <w:right w:w="0" w:type="dxa"/>
                  </w:tcMar>
                  <w:vAlign w:val="center"/>
                </w:tcPr>
                <w:p w14:paraId="4888301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42.8</w:t>
                  </w:r>
                </w:p>
              </w:tc>
              <w:tc>
                <w:tcPr>
                  <w:tcW w:w="211" w:type="pct"/>
                  <w:tcBorders>
                    <w:tl2br w:val="nil"/>
                    <w:tr2bl w:val="nil"/>
                  </w:tcBorders>
                  <w:shd w:val="clear" w:color="auto" w:fill="auto"/>
                  <w:tcMar>
                    <w:top w:w="0" w:type="dxa"/>
                    <w:left w:w="0" w:type="dxa"/>
                    <w:bottom w:w="0" w:type="dxa"/>
                    <w:right w:w="0" w:type="dxa"/>
                  </w:tcMar>
                  <w:vAlign w:val="center"/>
                </w:tcPr>
                <w:p w14:paraId="16A5D5A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325.6</w:t>
                  </w:r>
                </w:p>
              </w:tc>
              <w:tc>
                <w:tcPr>
                  <w:tcW w:w="166" w:type="pct"/>
                  <w:tcBorders>
                    <w:tl2br w:val="nil"/>
                    <w:tr2bl w:val="nil"/>
                  </w:tcBorders>
                  <w:shd w:val="clear" w:color="auto" w:fill="auto"/>
                  <w:tcMar>
                    <w:top w:w="0" w:type="dxa"/>
                    <w:left w:w="0" w:type="dxa"/>
                    <w:bottom w:w="0" w:type="dxa"/>
                    <w:right w:w="0" w:type="dxa"/>
                  </w:tcMar>
                  <w:vAlign w:val="center"/>
                </w:tcPr>
                <w:p w14:paraId="6AC3DD6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3C6647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5C9704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B93F34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015CEF3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7F1CD9B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0B2FF7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F69A6E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041A9B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BC23ED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51D646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53BA5C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F510F6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7DCD71D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23498D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5C52DB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62E6D90">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024693A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冲洗水泵,6台（按点声源组预测）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24B0393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90（等效后：97.8)</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6FF32EE">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3F414F2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11.4</w:t>
                  </w:r>
                </w:p>
              </w:tc>
              <w:tc>
                <w:tcPr>
                  <w:tcW w:w="242" w:type="pct"/>
                  <w:tcBorders>
                    <w:tl2br w:val="nil"/>
                    <w:tr2bl w:val="nil"/>
                  </w:tcBorders>
                  <w:shd w:val="clear" w:color="auto" w:fill="auto"/>
                  <w:tcMar>
                    <w:top w:w="0" w:type="dxa"/>
                    <w:left w:w="0" w:type="dxa"/>
                    <w:bottom w:w="0" w:type="dxa"/>
                    <w:right w:w="0" w:type="dxa"/>
                  </w:tcMar>
                  <w:vAlign w:val="center"/>
                </w:tcPr>
                <w:p w14:paraId="7E94E89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-127.5</w:t>
                  </w:r>
                </w:p>
              </w:tc>
              <w:tc>
                <w:tcPr>
                  <w:tcW w:w="120" w:type="pct"/>
                  <w:tcBorders>
                    <w:tl2br w:val="nil"/>
                    <w:tr2bl w:val="nil"/>
                  </w:tcBorders>
                  <w:shd w:val="clear" w:color="auto" w:fill="auto"/>
                  <w:tcMar>
                    <w:top w:w="0" w:type="dxa"/>
                    <w:left w:w="0" w:type="dxa"/>
                    <w:bottom w:w="0" w:type="dxa"/>
                    <w:right w:w="0" w:type="dxa"/>
                  </w:tcMar>
                  <w:vAlign w:val="center"/>
                </w:tcPr>
                <w:p w14:paraId="5A8D835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4A68F28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95.1</w:t>
                  </w:r>
                </w:p>
              </w:tc>
              <w:tc>
                <w:tcPr>
                  <w:tcW w:w="211" w:type="pct"/>
                  <w:tcBorders>
                    <w:tl2br w:val="nil"/>
                    <w:tr2bl w:val="nil"/>
                  </w:tcBorders>
                  <w:shd w:val="clear" w:color="auto" w:fill="auto"/>
                  <w:tcMar>
                    <w:top w:w="0" w:type="dxa"/>
                    <w:left w:w="0" w:type="dxa"/>
                    <w:bottom w:w="0" w:type="dxa"/>
                    <w:right w:w="0" w:type="dxa"/>
                  </w:tcMar>
                  <w:vAlign w:val="center"/>
                </w:tcPr>
                <w:p w14:paraId="3FA0E9D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122.1</w:t>
                  </w:r>
                </w:p>
              </w:tc>
              <w:tc>
                <w:tcPr>
                  <w:tcW w:w="211" w:type="pct"/>
                  <w:tcBorders>
                    <w:tl2br w:val="nil"/>
                    <w:tr2bl w:val="nil"/>
                  </w:tcBorders>
                  <w:shd w:val="clear" w:color="auto" w:fill="auto"/>
                  <w:tcMar>
                    <w:top w:w="0" w:type="dxa"/>
                    <w:left w:w="0" w:type="dxa"/>
                    <w:bottom w:w="0" w:type="dxa"/>
                    <w:right w:w="0" w:type="dxa"/>
                  </w:tcMar>
                  <w:vAlign w:val="center"/>
                </w:tcPr>
                <w:p w14:paraId="2A45A7A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49.0</w:t>
                  </w:r>
                </w:p>
              </w:tc>
              <w:tc>
                <w:tcPr>
                  <w:tcW w:w="211" w:type="pct"/>
                  <w:tcBorders>
                    <w:tl2br w:val="nil"/>
                    <w:tr2bl w:val="nil"/>
                  </w:tcBorders>
                  <w:shd w:val="clear" w:color="auto" w:fill="auto"/>
                  <w:tcMar>
                    <w:top w:w="0" w:type="dxa"/>
                    <w:left w:w="0" w:type="dxa"/>
                    <w:bottom w:w="0" w:type="dxa"/>
                    <w:right w:w="0" w:type="dxa"/>
                  </w:tcMar>
                  <w:vAlign w:val="center"/>
                </w:tcPr>
                <w:p w14:paraId="50534D8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319.3</w:t>
                  </w:r>
                </w:p>
              </w:tc>
              <w:tc>
                <w:tcPr>
                  <w:tcW w:w="166" w:type="pct"/>
                  <w:tcBorders>
                    <w:tl2br w:val="nil"/>
                    <w:tr2bl w:val="nil"/>
                  </w:tcBorders>
                  <w:shd w:val="clear" w:color="auto" w:fill="auto"/>
                  <w:tcMar>
                    <w:top w:w="0" w:type="dxa"/>
                    <w:left w:w="0" w:type="dxa"/>
                    <w:bottom w:w="0" w:type="dxa"/>
                    <w:right w:w="0" w:type="dxa"/>
                  </w:tcMar>
                  <w:vAlign w:val="center"/>
                </w:tcPr>
                <w:p w14:paraId="39966F4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74.9</w:t>
                  </w:r>
                </w:p>
              </w:tc>
              <w:tc>
                <w:tcPr>
                  <w:tcW w:w="166" w:type="pct"/>
                  <w:tcBorders>
                    <w:tl2br w:val="nil"/>
                    <w:tr2bl w:val="nil"/>
                  </w:tcBorders>
                  <w:shd w:val="clear" w:color="auto" w:fill="auto"/>
                  <w:tcMar>
                    <w:top w:w="0" w:type="dxa"/>
                    <w:left w:w="0" w:type="dxa"/>
                    <w:bottom w:w="0" w:type="dxa"/>
                    <w:right w:w="0" w:type="dxa"/>
                  </w:tcMar>
                  <w:vAlign w:val="center"/>
                </w:tcPr>
                <w:p w14:paraId="5395B29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74.9</w:t>
                  </w:r>
                </w:p>
              </w:tc>
              <w:tc>
                <w:tcPr>
                  <w:tcW w:w="166" w:type="pct"/>
                  <w:tcBorders>
                    <w:tl2br w:val="nil"/>
                    <w:tr2bl w:val="nil"/>
                  </w:tcBorders>
                  <w:shd w:val="clear" w:color="auto" w:fill="auto"/>
                  <w:tcMar>
                    <w:top w:w="0" w:type="dxa"/>
                    <w:left w:w="0" w:type="dxa"/>
                    <w:bottom w:w="0" w:type="dxa"/>
                    <w:right w:w="0" w:type="dxa"/>
                  </w:tcMar>
                  <w:vAlign w:val="center"/>
                </w:tcPr>
                <w:p w14:paraId="1165B20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74.9</w:t>
                  </w:r>
                </w:p>
              </w:tc>
              <w:tc>
                <w:tcPr>
                  <w:tcW w:w="166" w:type="pct"/>
                  <w:tcBorders>
                    <w:tl2br w:val="nil"/>
                    <w:tr2bl w:val="nil"/>
                  </w:tcBorders>
                  <w:shd w:val="clear" w:color="auto" w:fill="auto"/>
                  <w:tcMar>
                    <w:top w:w="0" w:type="dxa"/>
                    <w:left w:w="0" w:type="dxa"/>
                    <w:bottom w:w="0" w:type="dxa"/>
                    <w:right w:w="0" w:type="dxa"/>
                  </w:tcMar>
                  <w:vAlign w:val="center"/>
                </w:tcPr>
                <w:p w14:paraId="45ADE92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74.9</w:t>
                  </w:r>
                </w:p>
              </w:tc>
              <w:tc>
                <w:tcPr>
                  <w:tcW w:w="223" w:type="pct"/>
                  <w:tcBorders>
                    <w:tl2br w:val="nil"/>
                    <w:tr2bl w:val="nil"/>
                  </w:tcBorders>
                  <w:shd w:val="clear" w:color="auto" w:fill="auto"/>
                  <w:tcMar>
                    <w:top w:w="0" w:type="dxa"/>
                    <w:left w:w="0" w:type="dxa"/>
                    <w:bottom w:w="0" w:type="dxa"/>
                    <w:right w:w="0" w:type="dxa"/>
                  </w:tcMar>
                  <w:vAlign w:val="center"/>
                </w:tcPr>
                <w:p w14:paraId="2FD8D7C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4294C78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5E5ECD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1B2026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F3473B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642DE9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53.9</w:t>
                  </w:r>
                </w:p>
              </w:tc>
              <w:tc>
                <w:tcPr>
                  <w:tcW w:w="166" w:type="pct"/>
                  <w:tcBorders>
                    <w:tl2br w:val="nil"/>
                    <w:tr2bl w:val="nil"/>
                  </w:tcBorders>
                  <w:shd w:val="clear" w:color="auto" w:fill="auto"/>
                  <w:tcMar>
                    <w:top w:w="0" w:type="dxa"/>
                    <w:left w:w="0" w:type="dxa"/>
                    <w:bottom w:w="0" w:type="dxa"/>
                    <w:right w:w="0" w:type="dxa"/>
                  </w:tcMar>
                  <w:vAlign w:val="center"/>
                </w:tcPr>
                <w:p w14:paraId="400F09F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53.9</w:t>
                  </w:r>
                </w:p>
              </w:tc>
              <w:tc>
                <w:tcPr>
                  <w:tcW w:w="166" w:type="pct"/>
                  <w:tcBorders>
                    <w:tl2br w:val="nil"/>
                    <w:tr2bl w:val="nil"/>
                  </w:tcBorders>
                  <w:shd w:val="clear" w:color="auto" w:fill="auto"/>
                  <w:tcMar>
                    <w:top w:w="0" w:type="dxa"/>
                    <w:left w:w="0" w:type="dxa"/>
                    <w:bottom w:w="0" w:type="dxa"/>
                    <w:right w:w="0" w:type="dxa"/>
                  </w:tcMar>
                  <w:vAlign w:val="center"/>
                </w:tcPr>
                <w:p w14:paraId="3F05463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53.9</w:t>
                  </w:r>
                </w:p>
              </w:tc>
              <w:tc>
                <w:tcPr>
                  <w:tcW w:w="166" w:type="pct"/>
                  <w:tcBorders>
                    <w:tl2br w:val="nil"/>
                    <w:tr2bl w:val="nil"/>
                  </w:tcBorders>
                  <w:shd w:val="clear" w:color="auto" w:fill="auto"/>
                  <w:tcMar>
                    <w:top w:w="0" w:type="dxa"/>
                    <w:left w:w="0" w:type="dxa"/>
                    <w:bottom w:w="0" w:type="dxa"/>
                    <w:right w:w="0" w:type="dxa"/>
                  </w:tcMar>
                  <w:vAlign w:val="center"/>
                </w:tcPr>
                <w:p w14:paraId="531455B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53.9</w:t>
                  </w:r>
                </w:p>
              </w:tc>
              <w:tc>
                <w:tcPr>
                  <w:tcW w:w="104" w:type="pct"/>
                  <w:tcBorders>
                    <w:tl2br w:val="nil"/>
                    <w:tr2bl w:val="nil"/>
                  </w:tcBorders>
                  <w:shd w:val="clear" w:color="auto" w:fill="auto"/>
                  <w:tcMar>
                    <w:top w:w="0" w:type="dxa"/>
                    <w:left w:w="0" w:type="dxa"/>
                    <w:bottom w:w="0" w:type="dxa"/>
                    <w:right w:w="0" w:type="dxa"/>
                  </w:tcMar>
                  <w:vAlign w:val="center"/>
                </w:tcPr>
                <w:p w14:paraId="65F9F0B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1B3326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31EB24C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4A4E67E">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5AB5586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热水泵</w:t>
                  </w:r>
                </w:p>
              </w:tc>
              <w:tc>
                <w:tcPr>
                  <w:tcW w:w="264" w:type="pct"/>
                  <w:tcBorders>
                    <w:tl2br w:val="nil"/>
                    <w:tr2bl w:val="nil"/>
                  </w:tcBorders>
                  <w:shd w:val="clear" w:color="auto" w:fill="auto"/>
                  <w:tcMar>
                    <w:top w:w="0" w:type="dxa"/>
                    <w:left w:w="0" w:type="dxa"/>
                    <w:bottom w:w="0" w:type="dxa"/>
                    <w:right w:w="0" w:type="dxa"/>
                  </w:tcMar>
                  <w:vAlign w:val="center"/>
                </w:tcPr>
                <w:p w14:paraId="3F38F29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CCEE946">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A03E91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11.5</w:t>
                  </w:r>
                </w:p>
              </w:tc>
              <w:tc>
                <w:tcPr>
                  <w:tcW w:w="242" w:type="pct"/>
                  <w:tcBorders>
                    <w:tl2br w:val="nil"/>
                    <w:tr2bl w:val="nil"/>
                  </w:tcBorders>
                  <w:shd w:val="clear" w:color="auto" w:fill="auto"/>
                  <w:tcMar>
                    <w:top w:w="0" w:type="dxa"/>
                    <w:left w:w="0" w:type="dxa"/>
                    <w:bottom w:w="0" w:type="dxa"/>
                    <w:right w:w="0" w:type="dxa"/>
                  </w:tcMar>
                  <w:vAlign w:val="center"/>
                </w:tcPr>
                <w:p w14:paraId="6B932A7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-120.1</w:t>
                  </w:r>
                </w:p>
              </w:tc>
              <w:tc>
                <w:tcPr>
                  <w:tcW w:w="120" w:type="pct"/>
                  <w:tcBorders>
                    <w:tl2br w:val="nil"/>
                    <w:tr2bl w:val="nil"/>
                  </w:tcBorders>
                  <w:shd w:val="clear" w:color="auto" w:fill="auto"/>
                  <w:tcMar>
                    <w:top w:w="0" w:type="dxa"/>
                    <w:left w:w="0" w:type="dxa"/>
                    <w:bottom w:w="0" w:type="dxa"/>
                    <w:right w:w="0" w:type="dxa"/>
                  </w:tcMar>
                  <w:vAlign w:val="center"/>
                </w:tcPr>
                <w:p w14:paraId="37E6222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0031110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97.7</w:t>
                  </w:r>
                </w:p>
              </w:tc>
              <w:tc>
                <w:tcPr>
                  <w:tcW w:w="211" w:type="pct"/>
                  <w:tcBorders>
                    <w:tl2br w:val="nil"/>
                    <w:tr2bl w:val="nil"/>
                  </w:tcBorders>
                  <w:shd w:val="clear" w:color="auto" w:fill="auto"/>
                  <w:tcMar>
                    <w:top w:w="0" w:type="dxa"/>
                    <w:left w:w="0" w:type="dxa"/>
                    <w:bottom w:w="0" w:type="dxa"/>
                    <w:right w:w="0" w:type="dxa"/>
                  </w:tcMar>
                  <w:vAlign w:val="center"/>
                </w:tcPr>
                <w:p w14:paraId="02DCBF4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129.0</w:t>
                  </w:r>
                </w:p>
              </w:tc>
              <w:tc>
                <w:tcPr>
                  <w:tcW w:w="211" w:type="pct"/>
                  <w:tcBorders>
                    <w:tl2br w:val="nil"/>
                    <w:tr2bl w:val="nil"/>
                  </w:tcBorders>
                  <w:shd w:val="clear" w:color="auto" w:fill="auto"/>
                  <w:tcMar>
                    <w:top w:w="0" w:type="dxa"/>
                    <w:left w:w="0" w:type="dxa"/>
                    <w:bottom w:w="0" w:type="dxa"/>
                    <w:right w:w="0" w:type="dxa"/>
                  </w:tcMar>
                  <w:vAlign w:val="center"/>
                </w:tcPr>
                <w:p w14:paraId="0C37E6A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55.7</w:t>
                  </w:r>
                </w:p>
              </w:tc>
              <w:tc>
                <w:tcPr>
                  <w:tcW w:w="211" w:type="pct"/>
                  <w:tcBorders>
                    <w:tl2br w:val="nil"/>
                    <w:tr2bl w:val="nil"/>
                  </w:tcBorders>
                  <w:shd w:val="clear" w:color="auto" w:fill="auto"/>
                  <w:tcMar>
                    <w:top w:w="0" w:type="dxa"/>
                    <w:left w:w="0" w:type="dxa"/>
                    <w:bottom w:w="0" w:type="dxa"/>
                    <w:right w:w="0" w:type="dxa"/>
                  </w:tcMar>
                  <w:vAlign w:val="center"/>
                </w:tcPr>
                <w:p w14:paraId="058B016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312.5</w:t>
                  </w:r>
                </w:p>
              </w:tc>
              <w:tc>
                <w:tcPr>
                  <w:tcW w:w="166" w:type="pct"/>
                  <w:tcBorders>
                    <w:tl2br w:val="nil"/>
                    <w:tr2bl w:val="nil"/>
                  </w:tcBorders>
                  <w:shd w:val="clear" w:color="auto" w:fill="auto"/>
                  <w:tcMar>
                    <w:top w:w="0" w:type="dxa"/>
                    <w:left w:w="0" w:type="dxa"/>
                    <w:bottom w:w="0" w:type="dxa"/>
                    <w:right w:w="0" w:type="dxa"/>
                  </w:tcMar>
                  <w:vAlign w:val="center"/>
                </w:tcPr>
                <w:p w14:paraId="03E86A5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40503E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7EBC87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34E6D3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5449A5A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2899B36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F18448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102D7E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3A8CE4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68E717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3EE072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8FBF96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5E9683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1CAFD24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41226F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21E49A6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96996E0">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708102D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热水泵</w:t>
                  </w:r>
                </w:p>
              </w:tc>
              <w:tc>
                <w:tcPr>
                  <w:tcW w:w="264" w:type="pct"/>
                  <w:tcBorders>
                    <w:tl2br w:val="nil"/>
                    <w:tr2bl w:val="nil"/>
                  </w:tcBorders>
                  <w:shd w:val="clear" w:color="auto" w:fill="auto"/>
                  <w:tcMar>
                    <w:top w:w="0" w:type="dxa"/>
                    <w:left w:w="0" w:type="dxa"/>
                    <w:bottom w:w="0" w:type="dxa"/>
                    <w:right w:w="0" w:type="dxa"/>
                  </w:tcMar>
                  <w:vAlign w:val="center"/>
                </w:tcPr>
                <w:p w14:paraId="5868CF9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9CFB076">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681B697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14.4</w:t>
                  </w:r>
                </w:p>
              </w:tc>
              <w:tc>
                <w:tcPr>
                  <w:tcW w:w="242" w:type="pct"/>
                  <w:tcBorders>
                    <w:tl2br w:val="nil"/>
                    <w:tr2bl w:val="nil"/>
                  </w:tcBorders>
                  <w:shd w:val="clear" w:color="auto" w:fill="auto"/>
                  <w:tcMar>
                    <w:top w:w="0" w:type="dxa"/>
                    <w:left w:w="0" w:type="dxa"/>
                    <w:bottom w:w="0" w:type="dxa"/>
                    <w:right w:w="0" w:type="dxa"/>
                  </w:tcMar>
                  <w:vAlign w:val="center"/>
                </w:tcPr>
                <w:p w14:paraId="537A7BA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-121.2</w:t>
                  </w:r>
                </w:p>
              </w:tc>
              <w:tc>
                <w:tcPr>
                  <w:tcW w:w="120" w:type="pct"/>
                  <w:tcBorders>
                    <w:tl2br w:val="nil"/>
                    <w:tr2bl w:val="nil"/>
                  </w:tcBorders>
                  <w:shd w:val="clear" w:color="auto" w:fill="auto"/>
                  <w:tcMar>
                    <w:top w:w="0" w:type="dxa"/>
                    <w:left w:w="0" w:type="dxa"/>
                    <w:bottom w:w="0" w:type="dxa"/>
                    <w:right w:w="0" w:type="dxa"/>
                  </w:tcMar>
                  <w:vAlign w:val="center"/>
                </w:tcPr>
                <w:p w14:paraId="726B6B1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15EBE08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94.6</w:t>
                  </w:r>
                </w:p>
              </w:tc>
              <w:tc>
                <w:tcPr>
                  <w:tcW w:w="211" w:type="pct"/>
                  <w:tcBorders>
                    <w:tl2br w:val="nil"/>
                    <w:tr2bl w:val="nil"/>
                  </w:tcBorders>
                  <w:shd w:val="clear" w:color="auto" w:fill="auto"/>
                  <w:tcMar>
                    <w:top w:w="0" w:type="dxa"/>
                    <w:left w:w="0" w:type="dxa"/>
                    <w:bottom w:w="0" w:type="dxa"/>
                    <w:right w:w="0" w:type="dxa"/>
                  </w:tcMar>
                  <w:vAlign w:val="center"/>
                </w:tcPr>
                <w:p w14:paraId="2061DAA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129.1</w:t>
                  </w:r>
                </w:p>
              </w:tc>
              <w:tc>
                <w:tcPr>
                  <w:tcW w:w="211" w:type="pct"/>
                  <w:tcBorders>
                    <w:tl2br w:val="nil"/>
                    <w:tr2bl w:val="nil"/>
                  </w:tcBorders>
                  <w:shd w:val="clear" w:color="auto" w:fill="auto"/>
                  <w:tcMar>
                    <w:top w:w="0" w:type="dxa"/>
                    <w:left w:w="0" w:type="dxa"/>
                    <w:bottom w:w="0" w:type="dxa"/>
                    <w:right w:w="0" w:type="dxa"/>
                  </w:tcMar>
                  <w:vAlign w:val="center"/>
                </w:tcPr>
                <w:p w14:paraId="05AE4BF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56.0</w:t>
                  </w:r>
                </w:p>
              </w:tc>
              <w:tc>
                <w:tcPr>
                  <w:tcW w:w="211" w:type="pct"/>
                  <w:tcBorders>
                    <w:tl2br w:val="nil"/>
                    <w:tr2bl w:val="nil"/>
                  </w:tcBorders>
                  <w:shd w:val="clear" w:color="auto" w:fill="auto"/>
                  <w:tcMar>
                    <w:top w:w="0" w:type="dxa"/>
                    <w:left w:w="0" w:type="dxa"/>
                    <w:bottom w:w="0" w:type="dxa"/>
                    <w:right w:w="0" w:type="dxa"/>
                  </w:tcMar>
                  <w:vAlign w:val="center"/>
                </w:tcPr>
                <w:p w14:paraId="40F6386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312.3</w:t>
                  </w:r>
                </w:p>
              </w:tc>
              <w:tc>
                <w:tcPr>
                  <w:tcW w:w="166" w:type="pct"/>
                  <w:tcBorders>
                    <w:tl2br w:val="nil"/>
                    <w:tr2bl w:val="nil"/>
                  </w:tcBorders>
                  <w:shd w:val="clear" w:color="auto" w:fill="auto"/>
                  <w:tcMar>
                    <w:top w:w="0" w:type="dxa"/>
                    <w:left w:w="0" w:type="dxa"/>
                    <w:bottom w:w="0" w:type="dxa"/>
                    <w:right w:w="0" w:type="dxa"/>
                  </w:tcMar>
                  <w:vAlign w:val="center"/>
                </w:tcPr>
                <w:p w14:paraId="6084B27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B61D2E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A24999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70028B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3E6729E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178B8EB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A200AE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7C136A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F8FEFA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BA3EED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972445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244FAC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EF04D2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6832E8A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654EA8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0DA3E2C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22</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964511A">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7AEA0DF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玻璃钢变频风机</w:t>
                  </w:r>
                </w:p>
              </w:tc>
              <w:tc>
                <w:tcPr>
                  <w:tcW w:w="264" w:type="pct"/>
                  <w:tcBorders>
                    <w:tl2br w:val="nil"/>
                    <w:tr2bl w:val="nil"/>
                  </w:tcBorders>
                  <w:shd w:val="clear" w:color="auto" w:fill="auto"/>
                  <w:tcMar>
                    <w:top w:w="0" w:type="dxa"/>
                    <w:left w:w="0" w:type="dxa"/>
                    <w:bottom w:w="0" w:type="dxa"/>
                    <w:right w:w="0" w:type="dxa"/>
                  </w:tcMar>
                  <w:vAlign w:val="center"/>
                </w:tcPr>
                <w:p w14:paraId="705B500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D26A2AF">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17CB9F4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12.4</w:t>
                  </w:r>
                </w:p>
              </w:tc>
              <w:tc>
                <w:tcPr>
                  <w:tcW w:w="242" w:type="pct"/>
                  <w:tcBorders>
                    <w:tl2br w:val="nil"/>
                    <w:tr2bl w:val="nil"/>
                  </w:tcBorders>
                  <w:shd w:val="clear" w:color="auto" w:fill="auto"/>
                  <w:tcMar>
                    <w:top w:w="0" w:type="dxa"/>
                    <w:left w:w="0" w:type="dxa"/>
                    <w:bottom w:w="0" w:type="dxa"/>
                    <w:right w:w="0" w:type="dxa"/>
                  </w:tcMar>
                  <w:vAlign w:val="center"/>
                </w:tcPr>
                <w:p w14:paraId="38A4B29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-118</w:t>
                  </w:r>
                </w:p>
              </w:tc>
              <w:tc>
                <w:tcPr>
                  <w:tcW w:w="120" w:type="pct"/>
                  <w:tcBorders>
                    <w:tl2br w:val="nil"/>
                    <w:tr2bl w:val="nil"/>
                  </w:tcBorders>
                  <w:shd w:val="clear" w:color="auto" w:fill="auto"/>
                  <w:tcMar>
                    <w:top w:w="0" w:type="dxa"/>
                    <w:left w:w="0" w:type="dxa"/>
                    <w:bottom w:w="0" w:type="dxa"/>
                    <w:right w:w="0" w:type="dxa"/>
                  </w:tcMar>
                  <w:vAlign w:val="center"/>
                </w:tcPr>
                <w:p w14:paraId="5BB66A9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195163A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97.7</w:t>
                  </w:r>
                </w:p>
              </w:tc>
              <w:tc>
                <w:tcPr>
                  <w:tcW w:w="211" w:type="pct"/>
                  <w:tcBorders>
                    <w:tl2br w:val="nil"/>
                    <w:tr2bl w:val="nil"/>
                  </w:tcBorders>
                  <w:shd w:val="clear" w:color="auto" w:fill="auto"/>
                  <w:tcMar>
                    <w:top w:w="0" w:type="dxa"/>
                    <w:left w:w="0" w:type="dxa"/>
                    <w:bottom w:w="0" w:type="dxa"/>
                    <w:right w:w="0" w:type="dxa"/>
                  </w:tcMar>
                  <w:vAlign w:val="center"/>
                </w:tcPr>
                <w:p w14:paraId="32AF08B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131.3</w:t>
                  </w:r>
                </w:p>
              </w:tc>
              <w:tc>
                <w:tcPr>
                  <w:tcW w:w="211" w:type="pct"/>
                  <w:tcBorders>
                    <w:tl2br w:val="nil"/>
                    <w:tr2bl w:val="nil"/>
                  </w:tcBorders>
                  <w:shd w:val="clear" w:color="auto" w:fill="auto"/>
                  <w:tcMar>
                    <w:top w:w="0" w:type="dxa"/>
                    <w:left w:w="0" w:type="dxa"/>
                    <w:bottom w:w="0" w:type="dxa"/>
                    <w:right w:w="0" w:type="dxa"/>
                  </w:tcMar>
                  <w:vAlign w:val="center"/>
                </w:tcPr>
                <w:p w14:paraId="29D4AB2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58.0</w:t>
                  </w:r>
                </w:p>
              </w:tc>
              <w:tc>
                <w:tcPr>
                  <w:tcW w:w="211" w:type="pct"/>
                  <w:tcBorders>
                    <w:tl2br w:val="nil"/>
                    <w:tr2bl w:val="nil"/>
                  </w:tcBorders>
                  <w:shd w:val="clear" w:color="auto" w:fill="auto"/>
                  <w:tcMar>
                    <w:top w:w="0" w:type="dxa"/>
                    <w:left w:w="0" w:type="dxa"/>
                    <w:bottom w:w="0" w:type="dxa"/>
                    <w:right w:w="0" w:type="dxa"/>
                  </w:tcMar>
                  <w:vAlign w:val="center"/>
                </w:tcPr>
                <w:p w14:paraId="1E5EC6D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310.2</w:t>
                  </w:r>
                </w:p>
              </w:tc>
              <w:tc>
                <w:tcPr>
                  <w:tcW w:w="166" w:type="pct"/>
                  <w:tcBorders>
                    <w:tl2br w:val="nil"/>
                    <w:tr2bl w:val="nil"/>
                  </w:tcBorders>
                  <w:shd w:val="clear" w:color="auto" w:fill="auto"/>
                  <w:tcMar>
                    <w:top w:w="0" w:type="dxa"/>
                    <w:left w:w="0" w:type="dxa"/>
                    <w:bottom w:w="0" w:type="dxa"/>
                    <w:right w:w="0" w:type="dxa"/>
                  </w:tcMar>
                  <w:vAlign w:val="center"/>
                </w:tcPr>
                <w:p w14:paraId="25206C2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45282F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0B22A0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8A52EC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4A3351F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158BB0E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22D0CA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988F4C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34B427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092289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D1A98E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38C2EF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C26CF5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31D16E1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10F2AC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0715B55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23</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FD5FD0D">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1AAD5DF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玻璃钢变频风机</w:t>
                  </w:r>
                </w:p>
              </w:tc>
              <w:tc>
                <w:tcPr>
                  <w:tcW w:w="264" w:type="pct"/>
                  <w:tcBorders>
                    <w:tl2br w:val="nil"/>
                    <w:tr2bl w:val="nil"/>
                  </w:tcBorders>
                  <w:shd w:val="clear" w:color="auto" w:fill="auto"/>
                  <w:tcMar>
                    <w:top w:w="0" w:type="dxa"/>
                    <w:left w:w="0" w:type="dxa"/>
                    <w:bottom w:w="0" w:type="dxa"/>
                    <w:right w:w="0" w:type="dxa"/>
                  </w:tcMar>
                  <w:vAlign w:val="center"/>
                </w:tcPr>
                <w:p w14:paraId="08B7EC0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117CA09">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2392D5F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15.5</w:t>
                  </w:r>
                </w:p>
              </w:tc>
              <w:tc>
                <w:tcPr>
                  <w:tcW w:w="242" w:type="pct"/>
                  <w:tcBorders>
                    <w:tl2br w:val="nil"/>
                    <w:tr2bl w:val="nil"/>
                  </w:tcBorders>
                  <w:shd w:val="clear" w:color="auto" w:fill="auto"/>
                  <w:tcMar>
                    <w:top w:w="0" w:type="dxa"/>
                    <w:left w:w="0" w:type="dxa"/>
                    <w:bottom w:w="0" w:type="dxa"/>
                    <w:right w:w="0" w:type="dxa"/>
                  </w:tcMar>
                  <w:vAlign w:val="center"/>
                </w:tcPr>
                <w:p w14:paraId="0E9AEA6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-118.1</w:t>
                  </w:r>
                </w:p>
              </w:tc>
              <w:tc>
                <w:tcPr>
                  <w:tcW w:w="120" w:type="pct"/>
                  <w:tcBorders>
                    <w:tl2br w:val="nil"/>
                    <w:tr2bl w:val="nil"/>
                  </w:tcBorders>
                  <w:shd w:val="clear" w:color="auto" w:fill="auto"/>
                  <w:tcMar>
                    <w:top w:w="0" w:type="dxa"/>
                    <w:left w:w="0" w:type="dxa"/>
                    <w:bottom w:w="0" w:type="dxa"/>
                    <w:right w:w="0" w:type="dxa"/>
                  </w:tcMar>
                  <w:vAlign w:val="center"/>
                </w:tcPr>
                <w:p w14:paraId="5E632C7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5F68EEB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94.7</w:t>
                  </w:r>
                </w:p>
              </w:tc>
              <w:tc>
                <w:tcPr>
                  <w:tcW w:w="211" w:type="pct"/>
                  <w:tcBorders>
                    <w:tl2br w:val="nil"/>
                    <w:tr2bl w:val="nil"/>
                  </w:tcBorders>
                  <w:shd w:val="clear" w:color="auto" w:fill="auto"/>
                  <w:tcMar>
                    <w:top w:w="0" w:type="dxa"/>
                    <w:left w:w="0" w:type="dxa"/>
                    <w:bottom w:w="0" w:type="dxa"/>
                    <w:right w:w="0" w:type="dxa"/>
                  </w:tcMar>
                  <w:vAlign w:val="center"/>
                </w:tcPr>
                <w:p w14:paraId="716E151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132.4</w:t>
                  </w:r>
                </w:p>
              </w:tc>
              <w:tc>
                <w:tcPr>
                  <w:tcW w:w="211" w:type="pct"/>
                  <w:tcBorders>
                    <w:tl2br w:val="nil"/>
                    <w:tr2bl w:val="nil"/>
                  </w:tcBorders>
                  <w:shd w:val="clear" w:color="auto" w:fill="auto"/>
                  <w:tcMar>
                    <w:top w:w="0" w:type="dxa"/>
                    <w:left w:w="0" w:type="dxa"/>
                    <w:bottom w:w="0" w:type="dxa"/>
                    <w:right w:w="0" w:type="dxa"/>
                  </w:tcMar>
                  <w:vAlign w:val="center"/>
                </w:tcPr>
                <w:p w14:paraId="138BD62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59.3</w:t>
                  </w:r>
                </w:p>
              </w:tc>
              <w:tc>
                <w:tcPr>
                  <w:tcW w:w="211" w:type="pct"/>
                  <w:tcBorders>
                    <w:tl2br w:val="nil"/>
                    <w:tr2bl w:val="nil"/>
                  </w:tcBorders>
                  <w:shd w:val="clear" w:color="auto" w:fill="auto"/>
                  <w:tcMar>
                    <w:top w:w="0" w:type="dxa"/>
                    <w:left w:w="0" w:type="dxa"/>
                    <w:bottom w:w="0" w:type="dxa"/>
                    <w:right w:w="0" w:type="dxa"/>
                  </w:tcMar>
                  <w:vAlign w:val="center"/>
                </w:tcPr>
                <w:p w14:paraId="28ABEA9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309.0</w:t>
                  </w:r>
                </w:p>
              </w:tc>
              <w:tc>
                <w:tcPr>
                  <w:tcW w:w="166" w:type="pct"/>
                  <w:tcBorders>
                    <w:tl2br w:val="nil"/>
                    <w:tr2bl w:val="nil"/>
                  </w:tcBorders>
                  <w:shd w:val="clear" w:color="auto" w:fill="auto"/>
                  <w:tcMar>
                    <w:top w:w="0" w:type="dxa"/>
                    <w:left w:w="0" w:type="dxa"/>
                    <w:bottom w:w="0" w:type="dxa"/>
                    <w:right w:w="0" w:type="dxa"/>
                  </w:tcMar>
                  <w:vAlign w:val="center"/>
                </w:tcPr>
                <w:p w14:paraId="1923E91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FACC87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D151A7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DA2D65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3552891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3B21731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89FE05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7C94AE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D4F3C0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EC1F7F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18119D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86C124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91E4BB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6B8BBA1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5CF9D7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2C68390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0C935BC">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62196EB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循环液下泵,6台（按点声源组预测）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10FBC4E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90（等效后：97.8)</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F0BDCF0">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220C559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19.9</w:t>
                  </w:r>
                </w:p>
              </w:tc>
              <w:tc>
                <w:tcPr>
                  <w:tcW w:w="242" w:type="pct"/>
                  <w:tcBorders>
                    <w:tl2br w:val="nil"/>
                    <w:tr2bl w:val="nil"/>
                  </w:tcBorders>
                  <w:shd w:val="clear" w:color="auto" w:fill="auto"/>
                  <w:tcMar>
                    <w:top w:w="0" w:type="dxa"/>
                    <w:left w:w="0" w:type="dxa"/>
                    <w:bottom w:w="0" w:type="dxa"/>
                    <w:right w:w="0" w:type="dxa"/>
                  </w:tcMar>
                  <w:vAlign w:val="center"/>
                </w:tcPr>
                <w:p w14:paraId="7D412EE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-106.8</w:t>
                  </w:r>
                </w:p>
              </w:tc>
              <w:tc>
                <w:tcPr>
                  <w:tcW w:w="120" w:type="pct"/>
                  <w:tcBorders>
                    <w:tl2br w:val="nil"/>
                    <w:tr2bl w:val="nil"/>
                  </w:tcBorders>
                  <w:shd w:val="clear" w:color="auto" w:fill="auto"/>
                  <w:tcMar>
                    <w:top w:w="0" w:type="dxa"/>
                    <w:left w:w="0" w:type="dxa"/>
                    <w:bottom w:w="0" w:type="dxa"/>
                    <w:right w:w="0" w:type="dxa"/>
                  </w:tcMar>
                  <w:vAlign w:val="center"/>
                </w:tcPr>
                <w:p w14:paraId="0808315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52882C0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94.8</w:t>
                  </w:r>
                </w:p>
              </w:tc>
              <w:tc>
                <w:tcPr>
                  <w:tcW w:w="211" w:type="pct"/>
                  <w:tcBorders>
                    <w:tl2br w:val="nil"/>
                    <w:tr2bl w:val="nil"/>
                  </w:tcBorders>
                  <w:shd w:val="clear" w:color="auto" w:fill="auto"/>
                  <w:tcMar>
                    <w:top w:w="0" w:type="dxa"/>
                    <w:left w:w="0" w:type="dxa"/>
                    <w:bottom w:w="0" w:type="dxa"/>
                    <w:right w:w="0" w:type="dxa"/>
                  </w:tcMar>
                  <w:vAlign w:val="center"/>
                </w:tcPr>
                <w:p w14:paraId="1FBD175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144.5</w:t>
                  </w:r>
                </w:p>
              </w:tc>
              <w:tc>
                <w:tcPr>
                  <w:tcW w:w="211" w:type="pct"/>
                  <w:tcBorders>
                    <w:tl2br w:val="nil"/>
                    <w:tr2bl w:val="nil"/>
                  </w:tcBorders>
                  <w:shd w:val="clear" w:color="auto" w:fill="auto"/>
                  <w:tcMar>
                    <w:top w:w="0" w:type="dxa"/>
                    <w:left w:w="0" w:type="dxa"/>
                    <w:bottom w:w="0" w:type="dxa"/>
                    <w:right w:w="0" w:type="dxa"/>
                  </w:tcMar>
                  <w:vAlign w:val="center"/>
                </w:tcPr>
                <w:p w14:paraId="406164E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71.4</w:t>
                  </w:r>
                </w:p>
              </w:tc>
              <w:tc>
                <w:tcPr>
                  <w:tcW w:w="211" w:type="pct"/>
                  <w:tcBorders>
                    <w:tl2br w:val="nil"/>
                    <w:tr2bl w:val="nil"/>
                  </w:tcBorders>
                  <w:shd w:val="clear" w:color="auto" w:fill="auto"/>
                  <w:tcMar>
                    <w:top w:w="0" w:type="dxa"/>
                    <w:left w:w="0" w:type="dxa"/>
                    <w:bottom w:w="0" w:type="dxa"/>
                    <w:right w:w="0" w:type="dxa"/>
                  </w:tcMar>
                  <w:vAlign w:val="center"/>
                </w:tcPr>
                <w:p w14:paraId="41BF209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296.9</w:t>
                  </w:r>
                </w:p>
              </w:tc>
              <w:tc>
                <w:tcPr>
                  <w:tcW w:w="166" w:type="pct"/>
                  <w:tcBorders>
                    <w:tl2br w:val="nil"/>
                    <w:tr2bl w:val="nil"/>
                  </w:tcBorders>
                  <w:shd w:val="clear" w:color="auto" w:fill="auto"/>
                  <w:tcMar>
                    <w:top w:w="0" w:type="dxa"/>
                    <w:left w:w="0" w:type="dxa"/>
                    <w:bottom w:w="0" w:type="dxa"/>
                    <w:right w:w="0" w:type="dxa"/>
                  </w:tcMar>
                  <w:vAlign w:val="center"/>
                </w:tcPr>
                <w:p w14:paraId="6B1118F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74.9</w:t>
                  </w:r>
                </w:p>
              </w:tc>
              <w:tc>
                <w:tcPr>
                  <w:tcW w:w="166" w:type="pct"/>
                  <w:tcBorders>
                    <w:tl2br w:val="nil"/>
                    <w:tr2bl w:val="nil"/>
                  </w:tcBorders>
                  <w:shd w:val="clear" w:color="auto" w:fill="auto"/>
                  <w:tcMar>
                    <w:top w:w="0" w:type="dxa"/>
                    <w:left w:w="0" w:type="dxa"/>
                    <w:bottom w:w="0" w:type="dxa"/>
                    <w:right w:w="0" w:type="dxa"/>
                  </w:tcMar>
                  <w:vAlign w:val="center"/>
                </w:tcPr>
                <w:p w14:paraId="3385718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74.9</w:t>
                  </w:r>
                </w:p>
              </w:tc>
              <w:tc>
                <w:tcPr>
                  <w:tcW w:w="166" w:type="pct"/>
                  <w:tcBorders>
                    <w:tl2br w:val="nil"/>
                    <w:tr2bl w:val="nil"/>
                  </w:tcBorders>
                  <w:shd w:val="clear" w:color="auto" w:fill="auto"/>
                  <w:tcMar>
                    <w:top w:w="0" w:type="dxa"/>
                    <w:left w:w="0" w:type="dxa"/>
                    <w:bottom w:w="0" w:type="dxa"/>
                    <w:right w:w="0" w:type="dxa"/>
                  </w:tcMar>
                  <w:vAlign w:val="center"/>
                </w:tcPr>
                <w:p w14:paraId="005C266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74.9</w:t>
                  </w:r>
                </w:p>
              </w:tc>
              <w:tc>
                <w:tcPr>
                  <w:tcW w:w="166" w:type="pct"/>
                  <w:tcBorders>
                    <w:tl2br w:val="nil"/>
                    <w:tr2bl w:val="nil"/>
                  </w:tcBorders>
                  <w:shd w:val="clear" w:color="auto" w:fill="auto"/>
                  <w:tcMar>
                    <w:top w:w="0" w:type="dxa"/>
                    <w:left w:w="0" w:type="dxa"/>
                    <w:bottom w:w="0" w:type="dxa"/>
                    <w:right w:w="0" w:type="dxa"/>
                  </w:tcMar>
                  <w:vAlign w:val="center"/>
                </w:tcPr>
                <w:p w14:paraId="23398C1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74.9</w:t>
                  </w:r>
                </w:p>
              </w:tc>
              <w:tc>
                <w:tcPr>
                  <w:tcW w:w="223" w:type="pct"/>
                  <w:tcBorders>
                    <w:tl2br w:val="nil"/>
                    <w:tr2bl w:val="nil"/>
                  </w:tcBorders>
                  <w:shd w:val="clear" w:color="auto" w:fill="auto"/>
                  <w:tcMar>
                    <w:top w:w="0" w:type="dxa"/>
                    <w:left w:w="0" w:type="dxa"/>
                    <w:bottom w:w="0" w:type="dxa"/>
                    <w:right w:w="0" w:type="dxa"/>
                  </w:tcMar>
                  <w:vAlign w:val="center"/>
                </w:tcPr>
                <w:p w14:paraId="36F2830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54CA0AA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A27F8D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2B7C70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BD5680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0BE4F7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53.9</w:t>
                  </w:r>
                </w:p>
              </w:tc>
              <w:tc>
                <w:tcPr>
                  <w:tcW w:w="166" w:type="pct"/>
                  <w:tcBorders>
                    <w:tl2br w:val="nil"/>
                    <w:tr2bl w:val="nil"/>
                  </w:tcBorders>
                  <w:shd w:val="clear" w:color="auto" w:fill="auto"/>
                  <w:tcMar>
                    <w:top w:w="0" w:type="dxa"/>
                    <w:left w:w="0" w:type="dxa"/>
                    <w:bottom w:w="0" w:type="dxa"/>
                    <w:right w:w="0" w:type="dxa"/>
                  </w:tcMar>
                  <w:vAlign w:val="center"/>
                </w:tcPr>
                <w:p w14:paraId="4827B64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53.9</w:t>
                  </w:r>
                </w:p>
              </w:tc>
              <w:tc>
                <w:tcPr>
                  <w:tcW w:w="166" w:type="pct"/>
                  <w:tcBorders>
                    <w:tl2br w:val="nil"/>
                    <w:tr2bl w:val="nil"/>
                  </w:tcBorders>
                  <w:shd w:val="clear" w:color="auto" w:fill="auto"/>
                  <w:tcMar>
                    <w:top w:w="0" w:type="dxa"/>
                    <w:left w:w="0" w:type="dxa"/>
                    <w:bottom w:w="0" w:type="dxa"/>
                    <w:right w:w="0" w:type="dxa"/>
                  </w:tcMar>
                  <w:vAlign w:val="center"/>
                </w:tcPr>
                <w:p w14:paraId="7880E5A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53.9</w:t>
                  </w:r>
                </w:p>
              </w:tc>
              <w:tc>
                <w:tcPr>
                  <w:tcW w:w="166" w:type="pct"/>
                  <w:tcBorders>
                    <w:tl2br w:val="nil"/>
                    <w:tr2bl w:val="nil"/>
                  </w:tcBorders>
                  <w:shd w:val="clear" w:color="auto" w:fill="auto"/>
                  <w:tcMar>
                    <w:top w:w="0" w:type="dxa"/>
                    <w:left w:w="0" w:type="dxa"/>
                    <w:bottom w:w="0" w:type="dxa"/>
                    <w:right w:w="0" w:type="dxa"/>
                  </w:tcMar>
                  <w:vAlign w:val="center"/>
                </w:tcPr>
                <w:p w14:paraId="391C9DD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53.9</w:t>
                  </w:r>
                </w:p>
              </w:tc>
              <w:tc>
                <w:tcPr>
                  <w:tcW w:w="104" w:type="pct"/>
                  <w:tcBorders>
                    <w:tl2br w:val="nil"/>
                    <w:tr2bl w:val="nil"/>
                  </w:tcBorders>
                  <w:shd w:val="clear" w:color="auto" w:fill="auto"/>
                  <w:tcMar>
                    <w:top w:w="0" w:type="dxa"/>
                    <w:left w:w="0" w:type="dxa"/>
                    <w:bottom w:w="0" w:type="dxa"/>
                    <w:right w:w="0" w:type="dxa"/>
                  </w:tcMar>
                  <w:vAlign w:val="center"/>
                </w:tcPr>
                <w:p w14:paraId="344AFC1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7B19C9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6FFDACD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DA32600">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444BA53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计量泵,6台（按点声源组预测）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74D998C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90（等效后：97.8)</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2BCC2E6">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74C537B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24.9</w:t>
                  </w:r>
                </w:p>
              </w:tc>
              <w:tc>
                <w:tcPr>
                  <w:tcW w:w="242" w:type="pct"/>
                  <w:tcBorders>
                    <w:tl2br w:val="nil"/>
                    <w:tr2bl w:val="nil"/>
                  </w:tcBorders>
                  <w:shd w:val="clear" w:color="auto" w:fill="auto"/>
                  <w:tcMar>
                    <w:top w:w="0" w:type="dxa"/>
                    <w:left w:w="0" w:type="dxa"/>
                    <w:bottom w:w="0" w:type="dxa"/>
                    <w:right w:w="0" w:type="dxa"/>
                  </w:tcMar>
                  <w:vAlign w:val="center"/>
                </w:tcPr>
                <w:p w14:paraId="2509AA6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-97.1</w:t>
                  </w:r>
                </w:p>
              </w:tc>
              <w:tc>
                <w:tcPr>
                  <w:tcW w:w="120" w:type="pct"/>
                  <w:tcBorders>
                    <w:tl2br w:val="nil"/>
                    <w:tr2bl w:val="nil"/>
                  </w:tcBorders>
                  <w:shd w:val="clear" w:color="auto" w:fill="auto"/>
                  <w:tcMar>
                    <w:top w:w="0" w:type="dxa"/>
                    <w:left w:w="0" w:type="dxa"/>
                    <w:bottom w:w="0" w:type="dxa"/>
                    <w:right w:w="0" w:type="dxa"/>
                  </w:tcMar>
                  <w:vAlign w:val="center"/>
                </w:tcPr>
                <w:p w14:paraId="4917E46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41826BC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93.7</w:t>
                  </w:r>
                </w:p>
              </w:tc>
              <w:tc>
                <w:tcPr>
                  <w:tcW w:w="211" w:type="pct"/>
                  <w:tcBorders>
                    <w:tl2br w:val="nil"/>
                    <w:tr2bl w:val="nil"/>
                  </w:tcBorders>
                  <w:shd w:val="clear" w:color="auto" w:fill="auto"/>
                  <w:tcMar>
                    <w:top w:w="0" w:type="dxa"/>
                    <w:left w:w="0" w:type="dxa"/>
                    <w:bottom w:w="0" w:type="dxa"/>
                    <w:right w:w="0" w:type="dxa"/>
                  </w:tcMar>
                  <w:vAlign w:val="center"/>
                </w:tcPr>
                <w:p w14:paraId="2CD7D12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155.4</w:t>
                  </w:r>
                </w:p>
              </w:tc>
              <w:tc>
                <w:tcPr>
                  <w:tcW w:w="211" w:type="pct"/>
                  <w:tcBorders>
                    <w:tl2br w:val="nil"/>
                    <w:tr2bl w:val="nil"/>
                  </w:tcBorders>
                  <w:shd w:val="clear" w:color="auto" w:fill="auto"/>
                  <w:tcMar>
                    <w:top w:w="0" w:type="dxa"/>
                    <w:left w:w="0" w:type="dxa"/>
                    <w:bottom w:w="0" w:type="dxa"/>
                    <w:right w:w="0" w:type="dxa"/>
                  </w:tcMar>
                  <w:vAlign w:val="center"/>
                </w:tcPr>
                <w:p w14:paraId="75927EC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82.3</w:t>
                  </w:r>
                </w:p>
              </w:tc>
              <w:tc>
                <w:tcPr>
                  <w:tcW w:w="211" w:type="pct"/>
                  <w:tcBorders>
                    <w:tl2br w:val="nil"/>
                    <w:tr2bl w:val="nil"/>
                  </w:tcBorders>
                  <w:shd w:val="clear" w:color="auto" w:fill="auto"/>
                  <w:tcMar>
                    <w:top w:w="0" w:type="dxa"/>
                    <w:left w:w="0" w:type="dxa"/>
                    <w:bottom w:w="0" w:type="dxa"/>
                    <w:right w:w="0" w:type="dxa"/>
                  </w:tcMar>
                  <w:vAlign w:val="center"/>
                </w:tcPr>
                <w:p w14:paraId="6BE29C5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286.0</w:t>
                  </w:r>
                </w:p>
              </w:tc>
              <w:tc>
                <w:tcPr>
                  <w:tcW w:w="166" w:type="pct"/>
                  <w:tcBorders>
                    <w:tl2br w:val="nil"/>
                    <w:tr2bl w:val="nil"/>
                  </w:tcBorders>
                  <w:shd w:val="clear" w:color="auto" w:fill="auto"/>
                  <w:tcMar>
                    <w:top w:w="0" w:type="dxa"/>
                    <w:left w:w="0" w:type="dxa"/>
                    <w:bottom w:w="0" w:type="dxa"/>
                    <w:right w:w="0" w:type="dxa"/>
                  </w:tcMar>
                  <w:vAlign w:val="center"/>
                </w:tcPr>
                <w:p w14:paraId="7565261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74.9</w:t>
                  </w:r>
                </w:p>
              </w:tc>
              <w:tc>
                <w:tcPr>
                  <w:tcW w:w="166" w:type="pct"/>
                  <w:tcBorders>
                    <w:tl2br w:val="nil"/>
                    <w:tr2bl w:val="nil"/>
                  </w:tcBorders>
                  <w:shd w:val="clear" w:color="auto" w:fill="auto"/>
                  <w:tcMar>
                    <w:top w:w="0" w:type="dxa"/>
                    <w:left w:w="0" w:type="dxa"/>
                    <w:bottom w:w="0" w:type="dxa"/>
                    <w:right w:w="0" w:type="dxa"/>
                  </w:tcMar>
                  <w:vAlign w:val="center"/>
                </w:tcPr>
                <w:p w14:paraId="59AA859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74.9</w:t>
                  </w:r>
                </w:p>
              </w:tc>
              <w:tc>
                <w:tcPr>
                  <w:tcW w:w="166" w:type="pct"/>
                  <w:tcBorders>
                    <w:tl2br w:val="nil"/>
                    <w:tr2bl w:val="nil"/>
                  </w:tcBorders>
                  <w:shd w:val="clear" w:color="auto" w:fill="auto"/>
                  <w:tcMar>
                    <w:top w:w="0" w:type="dxa"/>
                    <w:left w:w="0" w:type="dxa"/>
                    <w:bottom w:w="0" w:type="dxa"/>
                    <w:right w:w="0" w:type="dxa"/>
                  </w:tcMar>
                  <w:vAlign w:val="center"/>
                </w:tcPr>
                <w:p w14:paraId="4441A3B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74.9</w:t>
                  </w:r>
                </w:p>
              </w:tc>
              <w:tc>
                <w:tcPr>
                  <w:tcW w:w="166" w:type="pct"/>
                  <w:tcBorders>
                    <w:tl2br w:val="nil"/>
                    <w:tr2bl w:val="nil"/>
                  </w:tcBorders>
                  <w:shd w:val="clear" w:color="auto" w:fill="auto"/>
                  <w:tcMar>
                    <w:top w:w="0" w:type="dxa"/>
                    <w:left w:w="0" w:type="dxa"/>
                    <w:bottom w:w="0" w:type="dxa"/>
                    <w:right w:w="0" w:type="dxa"/>
                  </w:tcMar>
                  <w:vAlign w:val="center"/>
                </w:tcPr>
                <w:p w14:paraId="09AE496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74.9</w:t>
                  </w:r>
                </w:p>
              </w:tc>
              <w:tc>
                <w:tcPr>
                  <w:tcW w:w="223" w:type="pct"/>
                  <w:tcBorders>
                    <w:tl2br w:val="nil"/>
                    <w:tr2bl w:val="nil"/>
                  </w:tcBorders>
                  <w:shd w:val="clear" w:color="auto" w:fill="auto"/>
                  <w:tcMar>
                    <w:top w:w="0" w:type="dxa"/>
                    <w:left w:w="0" w:type="dxa"/>
                    <w:bottom w:w="0" w:type="dxa"/>
                    <w:right w:w="0" w:type="dxa"/>
                  </w:tcMar>
                  <w:vAlign w:val="center"/>
                </w:tcPr>
                <w:p w14:paraId="049A961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5DB795B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53D364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F13DFD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24194B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DAA0E8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53.9</w:t>
                  </w:r>
                </w:p>
              </w:tc>
              <w:tc>
                <w:tcPr>
                  <w:tcW w:w="166" w:type="pct"/>
                  <w:tcBorders>
                    <w:tl2br w:val="nil"/>
                    <w:tr2bl w:val="nil"/>
                  </w:tcBorders>
                  <w:shd w:val="clear" w:color="auto" w:fill="auto"/>
                  <w:tcMar>
                    <w:top w:w="0" w:type="dxa"/>
                    <w:left w:w="0" w:type="dxa"/>
                    <w:bottom w:w="0" w:type="dxa"/>
                    <w:right w:w="0" w:type="dxa"/>
                  </w:tcMar>
                  <w:vAlign w:val="center"/>
                </w:tcPr>
                <w:p w14:paraId="6E9FE75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53.9</w:t>
                  </w:r>
                </w:p>
              </w:tc>
              <w:tc>
                <w:tcPr>
                  <w:tcW w:w="166" w:type="pct"/>
                  <w:tcBorders>
                    <w:tl2br w:val="nil"/>
                    <w:tr2bl w:val="nil"/>
                  </w:tcBorders>
                  <w:shd w:val="clear" w:color="auto" w:fill="auto"/>
                  <w:tcMar>
                    <w:top w:w="0" w:type="dxa"/>
                    <w:left w:w="0" w:type="dxa"/>
                    <w:bottom w:w="0" w:type="dxa"/>
                    <w:right w:w="0" w:type="dxa"/>
                  </w:tcMar>
                  <w:vAlign w:val="center"/>
                </w:tcPr>
                <w:p w14:paraId="43E049A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53.9</w:t>
                  </w:r>
                </w:p>
              </w:tc>
              <w:tc>
                <w:tcPr>
                  <w:tcW w:w="166" w:type="pct"/>
                  <w:tcBorders>
                    <w:tl2br w:val="nil"/>
                    <w:tr2bl w:val="nil"/>
                  </w:tcBorders>
                  <w:shd w:val="clear" w:color="auto" w:fill="auto"/>
                  <w:tcMar>
                    <w:top w:w="0" w:type="dxa"/>
                    <w:left w:w="0" w:type="dxa"/>
                    <w:bottom w:w="0" w:type="dxa"/>
                    <w:right w:w="0" w:type="dxa"/>
                  </w:tcMar>
                  <w:vAlign w:val="center"/>
                </w:tcPr>
                <w:p w14:paraId="54BCA2D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53.9</w:t>
                  </w:r>
                </w:p>
              </w:tc>
              <w:tc>
                <w:tcPr>
                  <w:tcW w:w="104" w:type="pct"/>
                  <w:tcBorders>
                    <w:tl2br w:val="nil"/>
                    <w:tr2bl w:val="nil"/>
                  </w:tcBorders>
                  <w:shd w:val="clear" w:color="auto" w:fill="auto"/>
                  <w:tcMar>
                    <w:top w:w="0" w:type="dxa"/>
                    <w:left w:w="0" w:type="dxa"/>
                    <w:bottom w:w="0" w:type="dxa"/>
                    <w:right w:w="0" w:type="dxa"/>
                  </w:tcMar>
                  <w:vAlign w:val="center"/>
                </w:tcPr>
                <w:p w14:paraId="5C09026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125D83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002E61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59BF019">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2670AAA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机械搅拌机,3台（按点声源组预测）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7872531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90（等效后：94.8)</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C64BF95">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F740F3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32.4</w:t>
                  </w:r>
                </w:p>
              </w:tc>
              <w:tc>
                <w:tcPr>
                  <w:tcW w:w="242" w:type="pct"/>
                  <w:tcBorders>
                    <w:tl2br w:val="nil"/>
                    <w:tr2bl w:val="nil"/>
                  </w:tcBorders>
                  <w:shd w:val="clear" w:color="auto" w:fill="auto"/>
                  <w:tcMar>
                    <w:top w:w="0" w:type="dxa"/>
                    <w:left w:w="0" w:type="dxa"/>
                    <w:bottom w:w="0" w:type="dxa"/>
                    <w:right w:w="0" w:type="dxa"/>
                  </w:tcMar>
                  <w:vAlign w:val="center"/>
                </w:tcPr>
                <w:p w14:paraId="3B2BA43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-83</w:t>
                  </w:r>
                </w:p>
              </w:tc>
              <w:tc>
                <w:tcPr>
                  <w:tcW w:w="120" w:type="pct"/>
                  <w:tcBorders>
                    <w:tl2br w:val="nil"/>
                    <w:tr2bl w:val="nil"/>
                  </w:tcBorders>
                  <w:shd w:val="clear" w:color="auto" w:fill="auto"/>
                  <w:tcMar>
                    <w:top w:w="0" w:type="dxa"/>
                    <w:left w:w="0" w:type="dxa"/>
                    <w:bottom w:w="0" w:type="dxa"/>
                    <w:right w:w="0" w:type="dxa"/>
                  </w:tcMar>
                  <w:vAlign w:val="center"/>
                </w:tcPr>
                <w:p w14:paraId="1B1F2CA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0.3</w:t>
                  </w:r>
                </w:p>
              </w:tc>
              <w:tc>
                <w:tcPr>
                  <w:tcW w:w="211" w:type="pct"/>
                  <w:tcBorders>
                    <w:tl2br w:val="nil"/>
                    <w:tr2bl w:val="nil"/>
                  </w:tcBorders>
                  <w:shd w:val="clear" w:color="auto" w:fill="auto"/>
                  <w:tcMar>
                    <w:top w:w="0" w:type="dxa"/>
                    <w:left w:w="0" w:type="dxa"/>
                    <w:bottom w:w="0" w:type="dxa"/>
                    <w:right w:w="0" w:type="dxa"/>
                  </w:tcMar>
                  <w:vAlign w:val="center"/>
                </w:tcPr>
                <w:p w14:paraId="0DEDC5B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91.9</w:t>
                  </w:r>
                </w:p>
              </w:tc>
              <w:tc>
                <w:tcPr>
                  <w:tcW w:w="211" w:type="pct"/>
                  <w:tcBorders>
                    <w:tl2br w:val="nil"/>
                    <w:tr2bl w:val="nil"/>
                  </w:tcBorders>
                  <w:shd w:val="clear" w:color="auto" w:fill="auto"/>
                  <w:tcMar>
                    <w:top w:w="0" w:type="dxa"/>
                    <w:left w:w="0" w:type="dxa"/>
                    <w:bottom w:w="0" w:type="dxa"/>
                    <w:right w:w="0" w:type="dxa"/>
                  </w:tcMar>
                  <w:vAlign w:val="center"/>
                </w:tcPr>
                <w:p w14:paraId="2714FD3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171.3</w:t>
                  </w:r>
                </w:p>
              </w:tc>
              <w:tc>
                <w:tcPr>
                  <w:tcW w:w="211" w:type="pct"/>
                  <w:tcBorders>
                    <w:tl2br w:val="nil"/>
                    <w:tr2bl w:val="nil"/>
                  </w:tcBorders>
                  <w:shd w:val="clear" w:color="auto" w:fill="auto"/>
                  <w:tcMar>
                    <w:top w:w="0" w:type="dxa"/>
                    <w:left w:w="0" w:type="dxa"/>
                    <w:bottom w:w="0" w:type="dxa"/>
                    <w:right w:w="0" w:type="dxa"/>
                  </w:tcMar>
                  <w:vAlign w:val="center"/>
                </w:tcPr>
                <w:p w14:paraId="393112B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98.2</w:t>
                  </w:r>
                </w:p>
              </w:tc>
              <w:tc>
                <w:tcPr>
                  <w:tcW w:w="211" w:type="pct"/>
                  <w:tcBorders>
                    <w:tl2br w:val="nil"/>
                    <w:tr2bl w:val="nil"/>
                  </w:tcBorders>
                  <w:shd w:val="clear" w:color="auto" w:fill="auto"/>
                  <w:tcMar>
                    <w:top w:w="0" w:type="dxa"/>
                    <w:left w:w="0" w:type="dxa"/>
                    <w:bottom w:w="0" w:type="dxa"/>
                    <w:right w:w="0" w:type="dxa"/>
                  </w:tcMar>
                  <w:vAlign w:val="center"/>
                </w:tcPr>
                <w:p w14:paraId="103977E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270.1</w:t>
                  </w:r>
                </w:p>
              </w:tc>
              <w:tc>
                <w:tcPr>
                  <w:tcW w:w="166" w:type="pct"/>
                  <w:tcBorders>
                    <w:tl2br w:val="nil"/>
                    <w:tr2bl w:val="nil"/>
                  </w:tcBorders>
                  <w:shd w:val="clear" w:color="auto" w:fill="auto"/>
                  <w:tcMar>
                    <w:top w:w="0" w:type="dxa"/>
                    <w:left w:w="0" w:type="dxa"/>
                    <w:bottom w:w="0" w:type="dxa"/>
                    <w:right w:w="0" w:type="dxa"/>
                  </w:tcMar>
                  <w:vAlign w:val="center"/>
                </w:tcPr>
                <w:p w14:paraId="08090E9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71.9</w:t>
                  </w:r>
                </w:p>
              </w:tc>
              <w:tc>
                <w:tcPr>
                  <w:tcW w:w="166" w:type="pct"/>
                  <w:tcBorders>
                    <w:tl2br w:val="nil"/>
                    <w:tr2bl w:val="nil"/>
                  </w:tcBorders>
                  <w:shd w:val="clear" w:color="auto" w:fill="auto"/>
                  <w:tcMar>
                    <w:top w:w="0" w:type="dxa"/>
                    <w:left w:w="0" w:type="dxa"/>
                    <w:bottom w:w="0" w:type="dxa"/>
                    <w:right w:w="0" w:type="dxa"/>
                  </w:tcMar>
                  <w:vAlign w:val="center"/>
                </w:tcPr>
                <w:p w14:paraId="35EE7F0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71.9</w:t>
                  </w:r>
                </w:p>
              </w:tc>
              <w:tc>
                <w:tcPr>
                  <w:tcW w:w="166" w:type="pct"/>
                  <w:tcBorders>
                    <w:tl2br w:val="nil"/>
                    <w:tr2bl w:val="nil"/>
                  </w:tcBorders>
                  <w:shd w:val="clear" w:color="auto" w:fill="auto"/>
                  <w:tcMar>
                    <w:top w:w="0" w:type="dxa"/>
                    <w:left w:w="0" w:type="dxa"/>
                    <w:bottom w:w="0" w:type="dxa"/>
                    <w:right w:w="0" w:type="dxa"/>
                  </w:tcMar>
                  <w:vAlign w:val="center"/>
                </w:tcPr>
                <w:p w14:paraId="59169E3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71.9</w:t>
                  </w:r>
                </w:p>
              </w:tc>
              <w:tc>
                <w:tcPr>
                  <w:tcW w:w="166" w:type="pct"/>
                  <w:tcBorders>
                    <w:tl2br w:val="nil"/>
                    <w:tr2bl w:val="nil"/>
                  </w:tcBorders>
                  <w:shd w:val="clear" w:color="auto" w:fill="auto"/>
                  <w:tcMar>
                    <w:top w:w="0" w:type="dxa"/>
                    <w:left w:w="0" w:type="dxa"/>
                    <w:bottom w:w="0" w:type="dxa"/>
                    <w:right w:w="0" w:type="dxa"/>
                  </w:tcMar>
                  <w:vAlign w:val="center"/>
                </w:tcPr>
                <w:p w14:paraId="4D91161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71.9</w:t>
                  </w:r>
                </w:p>
              </w:tc>
              <w:tc>
                <w:tcPr>
                  <w:tcW w:w="223" w:type="pct"/>
                  <w:tcBorders>
                    <w:tl2br w:val="nil"/>
                    <w:tr2bl w:val="nil"/>
                  </w:tcBorders>
                  <w:shd w:val="clear" w:color="auto" w:fill="auto"/>
                  <w:tcMar>
                    <w:top w:w="0" w:type="dxa"/>
                    <w:left w:w="0" w:type="dxa"/>
                    <w:bottom w:w="0" w:type="dxa"/>
                    <w:right w:w="0" w:type="dxa"/>
                  </w:tcMar>
                  <w:vAlign w:val="center"/>
                </w:tcPr>
                <w:p w14:paraId="3CDF315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22A6972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EAFA06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DF8CB3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6A228B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5FB900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50.9</w:t>
                  </w:r>
                </w:p>
              </w:tc>
              <w:tc>
                <w:tcPr>
                  <w:tcW w:w="166" w:type="pct"/>
                  <w:tcBorders>
                    <w:tl2br w:val="nil"/>
                    <w:tr2bl w:val="nil"/>
                  </w:tcBorders>
                  <w:shd w:val="clear" w:color="auto" w:fill="auto"/>
                  <w:tcMar>
                    <w:top w:w="0" w:type="dxa"/>
                    <w:left w:w="0" w:type="dxa"/>
                    <w:bottom w:w="0" w:type="dxa"/>
                    <w:right w:w="0" w:type="dxa"/>
                  </w:tcMar>
                  <w:vAlign w:val="center"/>
                </w:tcPr>
                <w:p w14:paraId="0B72D06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50.9</w:t>
                  </w:r>
                </w:p>
              </w:tc>
              <w:tc>
                <w:tcPr>
                  <w:tcW w:w="166" w:type="pct"/>
                  <w:tcBorders>
                    <w:tl2br w:val="nil"/>
                    <w:tr2bl w:val="nil"/>
                  </w:tcBorders>
                  <w:shd w:val="clear" w:color="auto" w:fill="auto"/>
                  <w:tcMar>
                    <w:top w:w="0" w:type="dxa"/>
                    <w:left w:w="0" w:type="dxa"/>
                    <w:bottom w:w="0" w:type="dxa"/>
                    <w:right w:w="0" w:type="dxa"/>
                  </w:tcMar>
                  <w:vAlign w:val="center"/>
                </w:tcPr>
                <w:p w14:paraId="75CA12F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50.9</w:t>
                  </w:r>
                </w:p>
              </w:tc>
              <w:tc>
                <w:tcPr>
                  <w:tcW w:w="166" w:type="pct"/>
                  <w:tcBorders>
                    <w:tl2br w:val="nil"/>
                    <w:tr2bl w:val="nil"/>
                  </w:tcBorders>
                  <w:shd w:val="clear" w:color="auto" w:fill="auto"/>
                  <w:tcMar>
                    <w:top w:w="0" w:type="dxa"/>
                    <w:left w:w="0" w:type="dxa"/>
                    <w:bottom w:w="0" w:type="dxa"/>
                    <w:right w:w="0" w:type="dxa"/>
                  </w:tcMar>
                  <w:vAlign w:val="center"/>
                </w:tcPr>
                <w:p w14:paraId="305F413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50.9</w:t>
                  </w:r>
                </w:p>
              </w:tc>
              <w:tc>
                <w:tcPr>
                  <w:tcW w:w="104" w:type="pct"/>
                  <w:tcBorders>
                    <w:tl2br w:val="nil"/>
                    <w:tr2bl w:val="nil"/>
                  </w:tcBorders>
                  <w:shd w:val="clear" w:color="auto" w:fill="auto"/>
                  <w:tcMar>
                    <w:top w:w="0" w:type="dxa"/>
                    <w:left w:w="0" w:type="dxa"/>
                    <w:bottom w:w="0" w:type="dxa"/>
                    <w:right w:w="0" w:type="dxa"/>
                  </w:tcMar>
                  <w:vAlign w:val="center"/>
                </w:tcPr>
                <w:p w14:paraId="526E842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5FAC83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432B998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27</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B4F3A7C">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3D7246E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冷却塔</w:t>
                  </w:r>
                </w:p>
              </w:tc>
              <w:tc>
                <w:tcPr>
                  <w:tcW w:w="264" w:type="pct"/>
                  <w:tcBorders>
                    <w:tl2br w:val="nil"/>
                    <w:tr2bl w:val="nil"/>
                  </w:tcBorders>
                  <w:shd w:val="clear" w:color="auto" w:fill="auto"/>
                  <w:tcMar>
                    <w:top w:w="0" w:type="dxa"/>
                    <w:left w:w="0" w:type="dxa"/>
                    <w:bottom w:w="0" w:type="dxa"/>
                    <w:right w:w="0" w:type="dxa"/>
                  </w:tcMar>
                  <w:vAlign w:val="center"/>
                </w:tcPr>
                <w:p w14:paraId="6058E8B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E2C1C9B">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6F45AD4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31.1</w:t>
                  </w:r>
                </w:p>
              </w:tc>
              <w:tc>
                <w:tcPr>
                  <w:tcW w:w="242" w:type="pct"/>
                  <w:tcBorders>
                    <w:tl2br w:val="nil"/>
                    <w:tr2bl w:val="nil"/>
                  </w:tcBorders>
                  <w:shd w:val="clear" w:color="auto" w:fill="auto"/>
                  <w:tcMar>
                    <w:top w:w="0" w:type="dxa"/>
                    <w:left w:w="0" w:type="dxa"/>
                    <w:bottom w:w="0" w:type="dxa"/>
                    <w:right w:w="0" w:type="dxa"/>
                  </w:tcMar>
                  <w:vAlign w:val="center"/>
                </w:tcPr>
                <w:p w14:paraId="51DF108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-73.7</w:t>
                  </w:r>
                </w:p>
              </w:tc>
              <w:tc>
                <w:tcPr>
                  <w:tcW w:w="120" w:type="pct"/>
                  <w:tcBorders>
                    <w:tl2br w:val="nil"/>
                    <w:tr2bl w:val="nil"/>
                  </w:tcBorders>
                  <w:shd w:val="clear" w:color="auto" w:fill="auto"/>
                  <w:tcMar>
                    <w:top w:w="0" w:type="dxa"/>
                    <w:left w:w="0" w:type="dxa"/>
                    <w:bottom w:w="0" w:type="dxa"/>
                    <w:right w:w="0" w:type="dxa"/>
                  </w:tcMar>
                  <w:vAlign w:val="center"/>
                </w:tcPr>
                <w:p w14:paraId="7EDE331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0AD00AE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96.6</w:t>
                  </w:r>
                </w:p>
              </w:tc>
              <w:tc>
                <w:tcPr>
                  <w:tcW w:w="211" w:type="pct"/>
                  <w:tcBorders>
                    <w:tl2br w:val="nil"/>
                    <w:tr2bl w:val="nil"/>
                  </w:tcBorders>
                  <w:shd w:val="clear" w:color="auto" w:fill="auto"/>
                  <w:tcMar>
                    <w:top w:w="0" w:type="dxa"/>
                    <w:left w:w="0" w:type="dxa"/>
                    <w:bottom w:w="0" w:type="dxa"/>
                    <w:right w:w="0" w:type="dxa"/>
                  </w:tcMar>
                  <w:vAlign w:val="center"/>
                </w:tcPr>
                <w:p w14:paraId="56EEA10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179.3</w:t>
                  </w:r>
                </w:p>
              </w:tc>
              <w:tc>
                <w:tcPr>
                  <w:tcW w:w="211" w:type="pct"/>
                  <w:tcBorders>
                    <w:tl2br w:val="nil"/>
                    <w:tr2bl w:val="nil"/>
                  </w:tcBorders>
                  <w:shd w:val="clear" w:color="auto" w:fill="auto"/>
                  <w:tcMar>
                    <w:top w:w="0" w:type="dxa"/>
                    <w:left w:w="0" w:type="dxa"/>
                    <w:bottom w:w="0" w:type="dxa"/>
                    <w:right w:w="0" w:type="dxa"/>
                  </w:tcMar>
                  <w:vAlign w:val="center"/>
                </w:tcPr>
                <w:p w14:paraId="2EC161D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106.0</w:t>
                  </w:r>
                </w:p>
              </w:tc>
              <w:tc>
                <w:tcPr>
                  <w:tcW w:w="211" w:type="pct"/>
                  <w:tcBorders>
                    <w:tl2br w:val="nil"/>
                    <w:tr2bl w:val="nil"/>
                  </w:tcBorders>
                  <w:shd w:val="clear" w:color="auto" w:fill="auto"/>
                  <w:tcMar>
                    <w:top w:w="0" w:type="dxa"/>
                    <w:left w:w="0" w:type="dxa"/>
                    <w:bottom w:w="0" w:type="dxa"/>
                    <w:right w:w="0" w:type="dxa"/>
                  </w:tcMar>
                  <w:vAlign w:val="center"/>
                </w:tcPr>
                <w:p w14:paraId="78F77DD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262.2</w:t>
                  </w:r>
                </w:p>
              </w:tc>
              <w:tc>
                <w:tcPr>
                  <w:tcW w:w="166" w:type="pct"/>
                  <w:tcBorders>
                    <w:tl2br w:val="nil"/>
                    <w:tr2bl w:val="nil"/>
                  </w:tcBorders>
                  <w:shd w:val="clear" w:color="auto" w:fill="auto"/>
                  <w:tcMar>
                    <w:top w:w="0" w:type="dxa"/>
                    <w:left w:w="0" w:type="dxa"/>
                    <w:bottom w:w="0" w:type="dxa"/>
                    <w:right w:w="0" w:type="dxa"/>
                  </w:tcMar>
                  <w:vAlign w:val="center"/>
                </w:tcPr>
                <w:p w14:paraId="7636559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5D1862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FB44A7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7D55AC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7F6010F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69695AD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74075C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ED1CB9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D39B03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761B1F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9EA187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42B372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157ABF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5412500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7242AB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771079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28</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B27C719">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252FEBA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NOF助燃风机</w:t>
                  </w:r>
                </w:p>
              </w:tc>
              <w:tc>
                <w:tcPr>
                  <w:tcW w:w="264" w:type="pct"/>
                  <w:tcBorders>
                    <w:tl2br w:val="nil"/>
                    <w:tr2bl w:val="nil"/>
                  </w:tcBorders>
                  <w:shd w:val="clear" w:color="auto" w:fill="auto"/>
                  <w:tcMar>
                    <w:top w:w="0" w:type="dxa"/>
                    <w:left w:w="0" w:type="dxa"/>
                    <w:bottom w:w="0" w:type="dxa"/>
                    <w:right w:w="0" w:type="dxa"/>
                  </w:tcMar>
                  <w:vAlign w:val="center"/>
                </w:tcPr>
                <w:p w14:paraId="494E51A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2077E74">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69E92F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32</w:t>
                  </w:r>
                </w:p>
              </w:tc>
              <w:tc>
                <w:tcPr>
                  <w:tcW w:w="242" w:type="pct"/>
                  <w:tcBorders>
                    <w:tl2br w:val="nil"/>
                    <w:tr2bl w:val="nil"/>
                  </w:tcBorders>
                  <w:shd w:val="clear" w:color="auto" w:fill="auto"/>
                  <w:tcMar>
                    <w:top w:w="0" w:type="dxa"/>
                    <w:left w:w="0" w:type="dxa"/>
                    <w:bottom w:w="0" w:type="dxa"/>
                    <w:right w:w="0" w:type="dxa"/>
                  </w:tcMar>
                  <w:vAlign w:val="center"/>
                </w:tcPr>
                <w:p w14:paraId="6799AE8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-67.7</w:t>
                  </w:r>
                </w:p>
              </w:tc>
              <w:tc>
                <w:tcPr>
                  <w:tcW w:w="120" w:type="pct"/>
                  <w:tcBorders>
                    <w:tl2br w:val="nil"/>
                    <w:tr2bl w:val="nil"/>
                  </w:tcBorders>
                  <w:shd w:val="clear" w:color="auto" w:fill="auto"/>
                  <w:tcMar>
                    <w:top w:w="0" w:type="dxa"/>
                    <w:left w:w="0" w:type="dxa"/>
                    <w:bottom w:w="0" w:type="dxa"/>
                    <w:right w:w="0" w:type="dxa"/>
                  </w:tcMar>
                  <w:vAlign w:val="center"/>
                </w:tcPr>
                <w:p w14:paraId="0A94DCE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2194926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98.0</w:t>
                  </w:r>
                </w:p>
              </w:tc>
              <w:tc>
                <w:tcPr>
                  <w:tcW w:w="211" w:type="pct"/>
                  <w:tcBorders>
                    <w:tl2br w:val="nil"/>
                    <w:tr2bl w:val="nil"/>
                  </w:tcBorders>
                  <w:shd w:val="clear" w:color="auto" w:fill="auto"/>
                  <w:tcMar>
                    <w:top w:w="0" w:type="dxa"/>
                    <w:left w:w="0" w:type="dxa"/>
                    <w:bottom w:w="0" w:type="dxa"/>
                    <w:right w:w="0" w:type="dxa"/>
                  </w:tcMar>
                  <w:vAlign w:val="center"/>
                </w:tcPr>
                <w:p w14:paraId="275E7FB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185.2</w:t>
                  </w:r>
                </w:p>
              </w:tc>
              <w:tc>
                <w:tcPr>
                  <w:tcW w:w="211" w:type="pct"/>
                  <w:tcBorders>
                    <w:tl2br w:val="nil"/>
                    <w:tr2bl w:val="nil"/>
                  </w:tcBorders>
                  <w:shd w:val="clear" w:color="auto" w:fill="auto"/>
                  <w:tcMar>
                    <w:top w:w="0" w:type="dxa"/>
                    <w:left w:w="0" w:type="dxa"/>
                    <w:bottom w:w="0" w:type="dxa"/>
                    <w:right w:w="0" w:type="dxa"/>
                  </w:tcMar>
                  <w:vAlign w:val="center"/>
                </w:tcPr>
                <w:p w14:paraId="6F98EA3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111.9</w:t>
                  </w:r>
                </w:p>
              </w:tc>
              <w:tc>
                <w:tcPr>
                  <w:tcW w:w="211" w:type="pct"/>
                  <w:tcBorders>
                    <w:tl2br w:val="nil"/>
                    <w:tr2bl w:val="nil"/>
                  </w:tcBorders>
                  <w:shd w:val="clear" w:color="auto" w:fill="auto"/>
                  <w:tcMar>
                    <w:top w:w="0" w:type="dxa"/>
                    <w:left w:w="0" w:type="dxa"/>
                    <w:bottom w:w="0" w:type="dxa"/>
                    <w:right w:w="0" w:type="dxa"/>
                  </w:tcMar>
                  <w:vAlign w:val="center"/>
                </w:tcPr>
                <w:p w14:paraId="72AA1B6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256.3</w:t>
                  </w:r>
                </w:p>
              </w:tc>
              <w:tc>
                <w:tcPr>
                  <w:tcW w:w="166" w:type="pct"/>
                  <w:tcBorders>
                    <w:tl2br w:val="nil"/>
                    <w:tr2bl w:val="nil"/>
                  </w:tcBorders>
                  <w:shd w:val="clear" w:color="auto" w:fill="auto"/>
                  <w:tcMar>
                    <w:top w:w="0" w:type="dxa"/>
                    <w:left w:w="0" w:type="dxa"/>
                    <w:bottom w:w="0" w:type="dxa"/>
                    <w:right w:w="0" w:type="dxa"/>
                  </w:tcMar>
                  <w:vAlign w:val="center"/>
                </w:tcPr>
                <w:p w14:paraId="6386A08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396918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1E23DA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627411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2B0F97A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7CE4B4D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C38E03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0746FD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582F9E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48F620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142BE2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DE05E3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87F2E4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1CE33E2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76C19D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6E58148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29</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F1D4D1A">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3BF7A2F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NOF助燃风机</w:t>
                  </w:r>
                </w:p>
              </w:tc>
              <w:tc>
                <w:tcPr>
                  <w:tcW w:w="264" w:type="pct"/>
                  <w:tcBorders>
                    <w:tl2br w:val="nil"/>
                    <w:tr2bl w:val="nil"/>
                  </w:tcBorders>
                  <w:shd w:val="clear" w:color="auto" w:fill="auto"/>
                  <w:tcMar>
                    <w:top w:w="0" w:type="dxa"/>
                    <w:left w:w="0" w:type="dxa"/>
                    <w:bottom w:w="0" w:type="dxa"/>
                    <w:right w:w="0" w:type="dxa"/>
                  </w:tcMar>
                  <w:vAlign w:val="center"/>
                </w:tcPr>
                <w:p w14:paraId="3478B88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F040E31">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25ABD78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34.6</w:t>
                  </w:r>
                </w:p>
              </w:tc>
              <w:tc>
                <w:tcPr>
                  <w:tcW w:w="242" w:type="pct"/>
                  <w:tcBorders>
                    <w:tl2br w:val="nil"/>
                    <w:tr2bl w:val="nil"/>
                  </w:tcBorders>
                  <w:shd w:val="clear" w:color="auto" w:fill="auto"/>
                  <w:tcMar>
                    <w:top w:w="0" w:type="dxa"/>
                    <w:left w:w="0" w:type="dxa"/>
                    <w:bottom w:w="0" w:type="dxa"/>
                    <w:right w:w="0" w:type="dxa"/>
                  </w:tcMar>
                  <w:vAlign w:val="center"/>
                </w:tcPr>
                <w:p w14:paraId="62F85AB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-62.2</w:t>
                  </w:r>
                </w:p>
              </w:tc>
              <w:tc>
                <w:tcPr>
                  <w:tcW w:w="120" w:type="pct"/>
                  <w:tcBorders>
                    <w:tl2br w:val="nil"/>
                    <w:tr2bl w:val="nil"/>
                  </w:tcBorders>
                  <w:shd w:val="clear" w:color="auto" w:fill="auto"/>
                  <w:tcMar>
                    <w:top w:w="0" w:type="dxa"/>
                    <w:left w:w="0" w:type="dxa"/>
                    <w:bottom w:w="0" w:type="dxa"/>
                    <w:right w:w="0" w:type="dxa"/>
                  </w:tcMar>
                  <w:vAlign w:val="center"/>
                </w:tcPr>
                <w:p w14:paraId="6F95365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3DB2CAC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97.6</w:t>
                  </w:r>
                </w:p>
              </w:tc>
              <w:tc>
                <w:tcPr>
                  <w:tcW w:w="211" w:type="pct"/>
                  <w:tcBorders>
                    <w:tl2br w:val="nil"/>
                    <w:tr2bl w:val="nil"/>
                  </w:tcBorders>
                  <w:shd w:val="clear" w:color="auto" w:fill="auto"/>
                  <w:tcMar>
                    <w:top w:w="0" w:type="dxa"/>
                    <w:left w:w="0" w:type="dxa"/>
                    <w:bottom w:w="0" w:type="dxa"/>
                    <w:right w:w="0" w:type="dxa"/>
                  </w:tcMar>
                  <w:vAlign w:val="center"/>
                </w:tcPr>
                <w:p w14:paraId="201A753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191.3</w:t>
                  </w:r>
                </w:p>
              </w:tc>
              <w:tc>
                <w:tcPr>
                  <w:tcW w:w="211" w:type="pct"/>
                  <w:tcBorders>
                    <w:tl2br w:val="nil"/>
                    <w:tr2bl w:val="nil"/>
                  </w:tcBorders>
                  <w:shd w:val="clear" w:color="auto" w:fill="auto"/>
                  <w:tcMar>
                    <w:top w:w="0" w:type="dxa"/>
                    <w:left w:w="0" w:type="dxa"/>
                    <w:bottom w:w="0" w:type="dxa"/>
                    <w:right w:w="0" w:type="dxa"/>
                  </w:tcMar>
                  <w:vAlign w:val="center"/>
                </w:tcPr>
                <w:p w14:paraId="337A250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117.9</w:t>
                  </w:r>
                </w:p>
              </w:tc>
              <w:tc>
                <w:tcPr>
                  <w:tcW w:w="211" w:type="pct"/>
                  <w:tcBorders>
                    <w:tl2br w:val="nil"/>
                    <w:tr2bl w:val="nil"/>
                  </w:tcBorders>
                  <w:shd w:val="clear" w:color="auto" w:fill="auto"/>
                  <w:tcMar>
                    <w:top w:w="0" w:type="dxa"/>
                    <w:left w:w="0" w:type="dxa"/>
                    <w:bottom w:w="0" w:type="dxa"/>
                    <w:right w:w="0" w:type="dxa"/>
                  </w:tcMar>
                  <w:vAlign w:val="center"/>
                </w:tcPr>
                <w:p w14:paraId="79E3F4B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250.3</w:t>
                  </w:r>
                </w:p>
              </w:tc>
              <w:tc>
                <w:tcPr>
                  <w:tcW w:w="166" w:type="pct"/>
                  <w:tcBorders>
                    <w:tl2br w:val="nil"/>
                    <w:tr2bl w:val="nil"/>
                  </w:tcBorders>
                  <w:shd w:val="clear" w:color="auto" w:fill="auto"/>
                  <w:tcMar>
                    <w:top w:w="0" w:type="dxa"/>
                    <w:left w:w="0" w:type="dxa"/>
                    <w:bottom w:w="0" w:type="dxa"/>
                    <w:right w:w="0" w:type="dxa"/>
                  </w:tcMar>
                  <w:vAlign w:val="center"/>
                </w:tcPr>
                <w:p w14:paraId="7DEF0B7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251780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933F7E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466DFA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02A1532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0C75ADF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2558F0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BD2878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6588B3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1D2028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C3BCAE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98FD3B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CAA4BD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29B1542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76206B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41D28D8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24FB775">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19C4F9C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NOF排烟风机</w:t>
                  </w:r>
                </w:p>
              </w:tc>
              <w:tc>
                <w:tcPr>
                  <w:tcW w:w="264" w:type="pct"/>
                  <w:tcBorders>
                    <w:tl2br w:val="nil"/>
                    <w:tr2bl w:val="nil"/>
                  </w:tcBorders>
                  <w:shd w:val="clear" w:color="auto" w:fill="auto"/>
                  <w:tcMar>
                    <w:top w:w="0" w:type="dxa"/>
                    <w:left w:w="0" w:type="dxa"/>
                    <w:bottom w:w="0" w:type="dxa"/>
                    <w:right w:w="0" w:type="dxa"/>
                  </w:tcMar>
                  <w:vAlign w:val="center"/>
                </w:tcPr>
                <w:p w14:paraId="40F9C4B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6643CEB">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9F7F16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39.7</w:t>
                  </w:r>
                </w:p>
              </w:tc>
              <w:tc>
                <w:tcPr>
                  <w:tcW w:w="242" w:type="pct"/>
                  <w:tcBorders>
                    <w:tl2br w:val="nil"/>
                    <w:tr2bl w:val="nil"/>
                  </w:tcBorders>
                  <w:shd w:val="clear" w:color="auto" w:fill="auto"/>
                  <w:tcMar>
                    <w:top w:w="0" w:type="dxa"/>
                    <w:left w:w="0" w:type="dxa"/>
                    <w:bottom w:w="0" w:type="dxa"/>
                    <w:right w:w="0" w:type="dxa"/>
                  </w:tcMar>
                  <w:vAlign w:val="center"/>
                </w:tcPr>
                <w:p w14:paraId="2357E5E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-64.3</w:t>
                  </w:r>
                </w:p>
              </w:tc>
              <w:tc>
                <w:tcPr>
                  <w:tcW w:w="120" w:type="pct"/>
                  <w:tcBorders>
                    <w:tl2br w:val="nil"/>
                    <w:tr2bl w:val="nil"/>
                  </w:tcBorders>
                  <w:shd w:val="clear" w:color="auto" w:fill="auto"/>
                  <w:tcMar>
                    <w:top w:w="0" w:type="dxa"/>
                    <w:left w:w="0" w:type="dxa"/>
                    <w:bottom w:w="0" w:type="dxa"/>
                    <w:right w:w="0" w:type="dxa"/>
                  </w:tcMar>
                  <w:vAlign w:val="center"/>
                </w:tcPr>
                <w:p w14:paraId="1767625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60B4B8F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92.0</w:t>
                  </w:r>
                </w:p>
              </w:tc>
              <w:tc>
                <w:tcPr>
                  <w:tcW w:w="211" w:type="pct"/>
                  <w:tcBorders>
                    <w:tl2br w:val="nil"/>
                    <w:tr2bl w:val="nil"/>
                  </w:tcBorders>
                  <w:shd w:val="clear" w:color="auto" w:fill="auto"/>
                  <w:tcMar>
                    <w:top w:w="0" w:type="dxa"/>
                    <w:left w:w="0" w:type="dxa"/>
                    <w:bottom w:w="0" w:type="dxa"/>
                    <w:right w:w="0" w:type="dxa"/>
                  </w:tcMar>
                  <w:vAlign w:val="center"/>
                </w:tcPr>
                <w:p w14:paraId="736EF87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191.3</w:t>
                  </w:r>
                </w:p>
              </w:tc>
              <w:tc>
                <w:tcPr>
                  <w:tcW w:w="211" w:type="pct"/>
                  <w:tcBorders>
                    <w:tl2br w:val="nil"/>
                    <w:tr2bl w:val="nil"/>
                  </w:tcBorders>
                  <w:shd w:val="clear" w:color="auto" w:fill="auto"/>
                  <w:tcMar>
                    <w:top w:w="0" w:type="dxa"/>
                    <w:left w:w="0" w:type="dxa"/>
                    <w:bottom w:w="0" w:type="dxa"/>
                    <w:right w:w="0" w:type="dxa"/>
                  </w:tcMar>
                  <w:vAlign w:val="center"/>
                </w:tcPr>
                <w:p w14:paraId="45332D3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118.2</w:t>
                  </w:r>
                </w:p>
              </w:tc>
              <w:tc>
                <w:tcPr>
                  <w:tcW w:w="211" w:type="pct"/>
                  <w:tcBorders>
                    <w:tl2br w:val="nil"/>
                    <w:tr2bl w:val="nil"/>
                  </w:tcBorders>
                  <w:shd w:val="clear" w:color="auto" w:fill="auto"/>
                  <w:tcMar>
                    <w:top w:w="0" w:type="dxa"/>
                    <w:left w:w="0" w:type="dxa"/>
                    <w:bottom w:w="0" w:type="dxa"/>
                    <w:right w:w="0" w:type="dxa"/>
                  </w:tcMar>
                  <w:vAlign w:val="center"/>
                </w:tcPr>
                <w:p w14:paraId="2C8D9FB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250.0</w:t>
                  </w:r>
                </w:p>
              </w:tc>
              <w:tc>
                <w:tcPr>
                  <w:tcW w:w="166" w:type="pct"/>
                  <w:tcBorders>
                    <w:tl2br w:val="nil"/>
                    <w:tr2bl w:val="nil"/>
                  </w:tcBorders>
                  <w:shd w:val="clear" w:color="auto" w:fill="auto"/>
                  <w:tcMar>
                    <w:top w:w="0" w:type="dxa"/>
                    <w:left w:w="0" w:type="dxa"/>
                    <w:bottom w:w="0" w:type="dxa"/>
                    <w:right w:w="0" w:type="dxa"/>
                  </w:tcMar>
                  <w:vAlign w:val="center"/>
                </w:tcPr>
                <w:p w14:paraId="1ADFC6C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C2FE0A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B51CA7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A680F8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4553D68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6D9B5F5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19B74B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97EED6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4C7258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58857D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192FC1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28123E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AC7C6F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4DBDE69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371DD2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3DF22F4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31</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BDC6611">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3604FFF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RTF助燃风机</w:t>
                  </w:r>
                </w:p>
              </w:tc>
              <w:tc>
                <w:tcPr>
                  <w:tcW w:w="264" w:type="pct"/>
                  <w:tcBorders>
                    <w:tl2br w:val="nil"/>
                    <w:tr2bl w:val="nil"/>
                  </w:tcBorders>
                  <w:shd w:val="clear" w:color="auto" w:fill="auto"/>
                  <w:tcMar>
                    <w:top w:w="0" w:type="dxa"/>
                    <w:left w:w="0" w:type="dxa"/>
                    <w:bottom w:w="0" w:type="dxa"/>
                    <w:right w:w="0" w:type="dxa"/>
                  </w:tcMar>
                  <w:vAlign w:val="center"/>
                </w:tcPr>
                <w:p w14:paraId="1399C66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B72E63F">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704D9F0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37.1</w:t>
                  </w:r>
                </w:p>
              </w:tc>
              <w:tc>
                <w:tcPr>
                  <w:tcW w:w="242" w:type="pct"/>
                  <w:tcBorders>
                    <w:tl2br w:val="nil"/>
                    <w:tr2bl w:val="nil"/>
                  </w:tcBorders>
                  <w:shd w:val="clear" w:color="auto" w:fill="auto"/>
                  <w:tcMar>
                    <w:top w:w="0" w:type="dxa"/>
                    <w:left w:w="0" w:type="dxa"/>
                    <w:bottom w:w="0" w:type="dxa"/>
                    <w:right w:w="0" w:type="dxa"/>
                  </w:tcMar>
                  <w:vAlign w:val="center"/>
                </w:tcPr>
                <w:p w14:paraId="03F1880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-57.9</w:t>
                  </w:r>
                </w:p>
              </w:tc>
              <w:tc>
                <w:tcPr>
                  <w:tcW w:w="120" w:type="pct"/>
                  <w:tcBorders>
                    <w:tl2br w:val="nil"/>
                    <w:tr2bl w:val="nil"/>
                  </w:tcBorders>
                  <w:shd w:val="clear" w:color="auto" w:fill="auto"/>
                  <w:tcMar>
                    <w:top w:w="0" w:type="dxa"/>
                    <w:left w:w="0" w:type="dxa"/>
                    <w:bottom w:w="0" w:type="dxa"/>
                    <w:right w:w="0" w:type="dxa"/>
                  </w:tcMar>
                  <w:vAlign w:val="center"/>
                </w:tcPr>
                <w:p w14:paraId="281FA76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767DA15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96.8</w:t>
                  </w:r>
                </w:p>
              </w:tc>
              <w:tc>
                <w:tcPr>
                  <w:tcW w:w="211" w:type="pct"/>
                  <w:tcBorders>
                    <w:tl2br w:val="nil"/>
                    <w:tr2bl w:val="nil"/>
                  </w:tcBorders>
                  <w:shd w:val="clear" w:color="auto" w:fill="auto"/>
                  <w:tcMar>
                    <w:top w:w="0" w:type="dxa"/>
                    <w:left w:w="0" w:type="dxa"/>
                    <w:bottom w:w="0" w:type="dxa"/>
                    <w:right w:w="0" w:type="dxa"/>
                  </w:tcMar>
                  <w:vAlign w:val="center"/>
                </w:tcPr>
                <w:p w14:paraId="3939E4B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196.2</w:t>
                  </w:r>
                </w:p>
              </w:tc>
              <w:tc>
                <w:tcPr>
                  <w:tcW w:w="211" w:type="pct"/>
                  <w:tcBorders>
                    <w:tl2br w:val="nil"/>
                    <w:tr2bl w:val="nil"/>
                  </w:tcBorders>
                  <w:shd w:val="clear" w:color="auto" w:fill="auto"/>
                  <w:tcMar>
                    <w:top w:w="0" w:type="dxa"/>
                    <w:left w:w="0" w:type="dxa"/>
                    <w:bottom w:w="0" w:type="dxa"/>
                    <w:right w:w="0" w:type="dxa"/>
                  </w:tcMar>
                  <w:vAlign w:val="center"/>
                </w:tcPr>
                <w:p w14:paraId="59F42B5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122.9</w:t>
                  </w:r>
                </w:p>
              </w:tc>
              <w:tc>
                <w:tcPr>
                  <w:tcW w:w="211" w:type="pct"/>
                  <w:tcBorders>
                    <w:tl2br w:val="nil"/>
                    <w:tr2bl w:val="nil"/>
                  </w:tcBorders>
                  <w:shd w:val="clear" w:color="auto" w:fill="auto"/>
                  <w:tcMar>
                    <w:top w:w="0" w:type="dxa"/>
                    <w:left w:w="0" w:type="dxa"/>
                    <w:bottom w:w="0" w:type="dxa"/>
                    <w:right w:w="0" w:type="dxa"/>
                  </w:tcMar>
                  <w:vAlign w:val="center"/>
                </w:tcPr>
                <w:p w14:paraId="0F91E5E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245.3</w:t>
                  </w:r>
                </w:p>
              </w:tc>
              <w:tc>
                <w:tcPr>
                  <w:tcW w:w="166" w:type="pct"/>
                  <w:tcBorders>
                    <w:tl2br w:val="nil"/>
                    <w:tr2bl w:val="nil"/>
                  </w:tcBorders>
                  <w:shd w:val="clear" w:color="auto" w:fill="auto"/>
                  <w:tcMar>
                    <w:top w:w="0" w:type="dxa"/>
                    <w:left w:w="0" w:type="dxa"/>
                    <w:bottom w:w="0" w:type="dxa"/>
                    <w:right w:w="0" w:type="dxa"/>
                  </w:tcMar>
                  <w:vAlign w:val="center"/>
                </w:tcPr>
                <w:p w14:paraId="7AFA70C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B7AD00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35FE96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67036C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7B1F1AB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7CA458A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230C2D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E73669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DE1A93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E7451D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97BF4D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3588BC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689A80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464F2C3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1A52DE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91FC60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32</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B81862F">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36147B8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RTF排烟风机</w:t>
                  </w:r>
                </w:p>
              </w:tc>
              <w:tc>
                <w:tcPr>
                  <w:tcW w:w="264" w:type="pct"/>
                  <w:tcBorders>
                    <w:tl2br w:val="nil"/>
                    <w:tr2bl w:val="nil"/>
                  </w:tcBorders>
                  <w:shd w:val="clear" w:color="auto" w:fill="auto"/>
                  <w:tcMar>
                    <w:top w:w="0" w:type="dxa"/>
                    <w:left w:w="0" w:type="dxa"/>
                    <w:bottom w:w="0" w:type="dxa"/>
                    <w:right w:w="0" w:type="dxa"/>
                  </w:tcMar>
                  <w:vAlign w:val="center"/>
                </w:tcPr>
                <w:p w14:paraId="653A109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A6F11F3">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142F21B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40.1</w:t>
                  </w:r>
                </w:p>
              </w:tc>
              <w:tc>
                <w:tcPr>
                  <w:tcW w:w="242" w:type="pct"/>
                  <w:tcBorders>
                    <w:tl2br w:val="nil"/>
                    <w:tr2bl w:val="nil"/>
                  </w:tcBorders>
                  <w:shd w:val="clear" w:color="auto" w:fill="auto"/>
                  <w:tcMar>
                    <w:top w:w="0" w:type="dxa"/>
                    <w:left w:w="0" w:type="dxa"/>
                    <w:bottom w:w="0" w:type="dxa"/>
                    <w:right w:w="0" w:type="dxa"/>
                  </w:tcMar>
                  <w:vAlign w:val="center"/>
                </w:tcPr>
                <w:p w14:paraId="5BEB6AE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-52.3</w:t>
                  </w:r>
                </w:p>
              </w:tc>
              <w:tc>
                <w:tcPr>
                  <w:tcW w:w="120" w:type="pct"/>
                  <w:tcBorders>
                    <w:tl2br w:val="nil"/>
                    <w:tr2bl w:val="nil"/>
                  </w:tcBorders>
                  <w:shd w:val="clear" w:color="auto" w:fill="auto"/>
                  <w:tcMar>
                    <w:top w:w="0" w:type="dxa"/>
                    <w:left w:w="0" w:type="dxa"/>
                    <w:bottom w:w="0" w:type="dxa"/>
                    <w:right w:w="0" w:type="dxa"/>
                  </w:tcMar>
                  <w:vAlign w:val="center"/>
                </w:tcPr>
                <w:p w14:paraId="061505A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2B221CF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96.1</w:t>
                  </w:r>
                </w:p>
              </w:tc>
              <w:tc>
                <w:tcPr>
                  <w:tcW w:w="211" w:type="pct"/>
                  <w:tcBorders>
                    <w:tl2br w:val="nil"/>
                    <w:tr2bl w:val="nil"/>
                  </w:tcBorders>
                  <w:shd w:val="clear" w:color="auto" w:fill="auto"/>
                  <w:tcMar>
                    <w:top w:w="0" w:type="dxa"/>
                    <w:left w:w="0" w:type="dxa"/>
                    <w:bottom w:w="0" w:type="dxa"/>
                    <w:right w:w="0" w:type="dxa"/>
                  </w:tcMar>
                  <w:vAlign w:val="center"/>
                </w:tcPr>
                <w:p w14:paraId="75D30C0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202.6</w:t>
                  </w:r>
                </w:p>
              </w:tc>
              <w:tc>
                <w:tcPr>
                  <w:tcW w:w="211" w:type="pct"/>
                  <w:tcBorders>
                    <w:tl2br w:val="nil"/>
                    <w:tr2bl w:val="nil"/>
                  </w:tcBorders>
                  <w:shd w:val="clear" w:color="auto" w:fill="auto"/>
                  <w:tcMar>
                    <w:top w:w="0" w:type="dxa"/>
                    <w:left w:w="0" w:type="dxa"/>
                    <w:bottom w:w="0" w:type="dxa"/>
                    <w:right w:w="0" w:type="dxa"/>
                  </w:tcMar>
                  <w:vAlign w:val="center"/>
                </w:tcPr>
                <w:p w14:paraId="0733BFA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129.2</w:t>
                  </w:r>
                </w:p>
              </w:tc>
              <w:tc>
                <w:tcPr>
                  <w:tcW w:w="211" w:type="pct"/>
                  <w:tcBorders>
                    <w:tl2br w:val="nil"/>
                    <w:tr2bl w:val="nil"/>
                  </w:tcBorders>
                  <w:shd w:val="clear" w:color="auto" w:fill="auto"/>
                  <w:tcMar>
                    <w:top w:w="0" w:type="dxa"/>
                    <w:left w:w="0" w:type="dxa"/>
                    <w:bottom w:w="0" w:type="dxa"/>
                    <w:right w:w="0" w:type="dxa"/>
                  </w:tcMar>
                  <w:vAlign w:val="center"/>
                </w:tcPr>
                <w:p w14:paraId="7AEF388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239.0</w:t>
                  </w:r>
                </w:p>
              </w:tc>
              <w:tc>
                <w:tcPr>
                  <w:tcW w:w="166" w:type="pct"/>
                  <w:tcBorders>
                    <w:tl2br w:val="nil"/>
                    <w:tr2bl w:val="nil"/>
                  </w:tcBorders>
                  <w:shd w:val="clear" w:color="auto" w:fill="auto"/>
                  <w:tcMar>
                    <w:top w:w="0" w:type="dxa"/>
                    <w:left w:w="0" w:type="dxa"/>
                    <w:bottom w:w="0" w:type="dxa"/>
                    <w:right w:w="0" w:type="dxa"/>
                  </w:tcMar>
                  <w:vAlign w:val="center"/>
                </w:tcPr>
                <w:p w14:paraId="4957FB2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74CF46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19BC69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E0A5D2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765B727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57DDCC1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F44122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BAB436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08A6E6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49F82F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8A5F04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6BED8E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FC14E5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512625C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47FF75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2EA8BA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33</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E46B026">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5B1145B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1#RCF冷却风机</w:t>
                  </w:r>
                </w:p>
              </w:tc>
              <w:tc>
                <w:tcPr>
                  <w:tcW w:w="264" w:type="pct"/>
                  <w:tcBorders>
                    <w:tl2br w:val="nil"/>
                    <w:tr2bl w:val="nil"/>
                  </w:tcBorders>
                  <w:shd w:val="clear" w:color="auto" w:fill="auto"/>
                  <w:tcMar>
                    <w:top w:w="0" w:type="dxa"/>
                    <w:left w:w="0" w:type="dxa"/>
                    <w:bottom w:w="0" w:type="dxa"/>
                    <w:right w:w="0" w:type="dxa"/>
                  </w:tcMar>
                  <w:vAlign w:val="center"/>
                </w:tcPr>
                <w:p w14:paraId="4A8500D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3B8CB57">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466B436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43.1</w:t>
                  </w:r>
                </w:p>
              </w:tc>
              <w:tc>
                <w:tcPr>
                  <w:tcW w:w="242" w:type="pct"/>
                  <w:tcBorders>
                    <w:tl2br w:val="nil"/>
                    <w:tr2bl w:val="nil"/>
                  </w:tcBorders>
                  <w:shd w:val="clear" w:color="auto" w:fill="auto"/>
                  <w:tcMar>
                    <w:top w:w="0" w:type="dxa"/>
                    <w:left w:w="0" w:type="dxa"/>
                    <w:bottom w:w="0" w:type="dxa"/>
                    <w:right w:w="0" w:type="dxa"/>
                  </w:tcMar>
                  <w:vAlign w:val="center"/>
                </w:tcPr>
                <w:p w14:paraId="71DD095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-47.6</w:t>
                  </w:r>
                </w:p>
              </w:tc>
              <w:tc>
                <w:tcPr>
                  <w:tcW w:w="120" w:type="pct"/>
                  <w:tcBorders>
                    <w:tl2br w:val="nil"/>
                    <w:tr2bl w:val="nil"/>
                  </w:tcBorders>
                  <w:shd w:val="clear" w:color="auto" w:fill="auto"/>
                  <w:tcMar>
                    <w:top w:w="0" w:type="dxa"/>
                    <w:left w:w="0" w:type="dxa"/>
                    <w:bottom w:w="0" w:type="dxa"/>
                    <w:right w:w="0" w:type="dxa"/>
                  </w:tcMar>
                  <w:vAlign w:val="center"/>
                </w:tcPr>
                <w:p w14:paraId="1E5AF70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446AFF6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95.0</w:t>
                  </w:r>
                </w:p>
              </w:tc>
              <w:tc>
                <w:tcPr>
                  <w:tcW w:w="211" w:type="pct"/>
                  <w:tcBorders>
                    <w:tl2br w:val="nil"/>
                    <w:tr2bl w:val="nil"/>
                  </w:tcBorders>
                  <w:shd w:val="clear" w:color="auto" w:fill="auto"/>
                  <w:tcMar>
                    <w:top w:w="0" w:type="dxa"/>
                    <w:left w:w="0" w:type="dxa"/>
                    <w:bottom w:w="0" w:type="dxa"/>
                    <w:right w:w="0" w:type="dxa"/>
                  </w:tcMar>
                  <w:vAlign w:val="center"/>
                </w:tcPr>
                <w:p w14:paraId="199ED40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208.0</w:t>
                  </w:r>
                </w:p>
              </w:tc>
              <w:tc>
                <w:tcPr>
                  <w:tcW w:w="211" w:type="pct"/>
                  <w:tcBorders>
                    <w:tl2br w:val="nil"/>
                    <w:tr2bl w:val="nil"/>
                  </w:tcBorders>
                  <w:shd w:val="clear" w:color="auto" w:fill="auto"/>
                  <w:tcMar>
                    <w:top w:w="0" w:type="dxa"/>
                    <w:left w:w="0" w:type="dxa"/>
                    <w:bottom w:w="0" w:type="dxa"/>
                    <w:right w:w="0" w:type="dxa"/>
                  </w:tcMar>
                  <w:vAlign w:val="center"/>
                </w:tcPr>
                <w:p w14:paraId="2115A75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134.8</w:t>
                  </w:r>
                </w:p>
              </w:tc>
              <w:tc>
                <w:tcPr>
                  <w:tcW w:w="211" w:type="pct"/>
                  <w:tcBorders>
                    <w:tl2br w:val="nil"/>
                    <w:tr2bl w:val="nil"/>
                  </w:tcBorders>
                  <w:shd w:val="clear" w:color="auto" w:fill="auto"/>
                  <w:tcMar>
                    <w:top w:w="0" w:type="dxa"/>
                    <w:left w:w="0" w:type="dxa"/>
                    <w:bottom w:w="0" w:type="dxa"/>
                    <w:right w:w="0" w:type="dxa"/>
                  </w:tcMar>
                  <w:vAlign w:val="center"/>
                </w:tcPr>
                <w:p w14:paraId="1FE7802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233.4</w:t>
                  </w:r>
                </w:p>
              </w:tc>
              <w:tc>
                <w:tcPr>
                  <w:tcW w:w="166" w:type="pct"/>
                  <w:tcBorders>
                    <w:tl2br w:val="nil"/>
                    <w:tr2bl w:val="nil"/>
                  </w:tcBorders>
                  <w:shd w:val="clear" w:color="auto" w:fill="auto"/>
                  <w:tcMar>
                    <w:top w:w="0" w:type="dxa"/>
                    <w:left w:w="0" w:type="dxa"/>
                    <w:bottom w:w="0" w:type="dxa"/>
                    <w:right w:w="0" w:type="dxa"/>
                  </w:tcMar>
                  <w:vAlign w:val="center"/>
                </w:tcPr>
                <w:p w14:paraId="0575108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1D9FBD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B7D4E4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CC9BCE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4744B59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227A3ED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B29FDD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5991E5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65E03B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F98538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906E23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AA4B33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E3BBD9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0F04F71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0C0B36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4DBB2BA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34</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D9EBEA7">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33C8CC3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2#RCF冷却风机</w:t>
                  </w:r>
                </w:p>
              </w:tc>
              <w:tc>
                <w:tcPr>
                  <w:tcW w:w="264" w:type="pct"/>
                  <w:tcBorders>
                    <w:tl2br w:val="nil"/>
                    <w:tr2bl w:val="nil"/>
                  </w:tcBorders>
                  <w:shd w:val="clear" w:color="auto" w:fill="auto"/>
                  <w:tcMar>
                    <w:top w:w="0" w:type="dxa"/>
                    <w:left w:w="0" w:type="dxa"/>
                    <w:bottom w:w="0" w:type="dxa"/>
                    <w:right w:w="0" w:type="dxa"/>
                  </w:tcMar>
                  <w:vAlign w:val="center"/>
                </w:tcPr>
                <w:p w14:paraId="14676DE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D66180B">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081A14A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36.9</w:t>
                  </w:r>
                </w:p>
              </w:tc>
              <w:tc>
                <w:tcPr>
                  <w:tcW w:w="242" w:type="pct"/>
                  <w:tcBorders>
                    <w:tl2br w:val="nil"/>
                    <w:tr2bl w:val="nil"/>
                  </w:tcBorders>
                  <w:shd w:val="clear" w:color="auto" w:fill="auto"/>
                  <w:tcMar>
                    <w:top w:w="0" w:type="dxa"/>
                    <w:left w:w="0" w:type="dxa"/>
                    <w:bottom w:w="0" w:type="dxa"/>
                    <w:right w:w="0" w:type="dxa"/>
                  </w:tcMar>
                  <w:vAlign w:val="center"/>
                </w:tcPr>
                <w:p w14:paraId="422D31A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-43.7</w:t>
                  </w:r>
                </w:p>
              </w:tc>
              <w:tc>
                <w:tcPr>
                  <w:tcW w:w="120" w:type="pct"/>
                  <w:tcBorders>
                    <w:tl2br w:val="nil"/>
                    <w:tr2bl w:val="nil"/>
                  </w:tcBorders>
                  <w:shd w:val="clear" w:color="auto" w:fill="auto"/>
                  <w:tcMar>
                    <w:top w:w="0" w:type="dxa"/>
                    <w:left w:w="0" w:type="dxa"/>
                    <w:bottom w:w="0" w:type="dxa"/>
                    <w:right w:w="0" w:type="dxa"/>
                  </w:tcMar>
                  <w:vAlign w:val="center"/>
                </w:tcPr>
                <w:p w14:paraId="0D5F330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4B3FD3E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102.2</w:t>
                  </w:r>
                </w:p>
              </w:tc>
              <w:tc>
                <w:tcPr>
                  <w:tcW w:w="211" w:type="pct"/>
                  <w:tcBorders>
                    <w:tl2br w:val="nil"/>
                    <w:tr2bl w:val="nil"/>
                  </w:tcBorders>
                  <w:shd w:val="clear" w:color="auto" w:fill="auto"/>
                  <w:tcMar>
                    <w:top w:w="0" w:type="dxa"/>
                    <w:left w:w="0" w:type="dxa"/>
                    <w:bottom w:w="0" w:type="dxa"/>
                    <w:right w:w="0" w:type="dxa"/>
                  </w:tcMar>
                  <w:vAlign w:val="center"/>
                </w:tcPr>
                <w:p w14:paraId="569674A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209.3</w:t>
                  </w:r>
                </w:p>
              </w:tc>
              <w:tc>
                <w:tcPr>
                  <w:tcW w:w="211" w:type="pct"/>
                  <w:tcBorders>
                    <w:tl2br w:val="nil"/>
                    <w:tr2bl w:val="nil"/>
                  </w:tcBorders>
                  <w:shd w:val="clear" w:color="auto" w:fill="auto"/>
                  <w:tcMar>
                    <w:top w:w="0" w:type="dxa"/>
                    <w:left w:w="0" w:type="dxa"/>
                    <w:bottom w:w="0" w:type="dxa"/>
                    <w:right w:w="0" w:type="dxa"/>
                  </w:tcMar>
                  <w:vAlign w:val="center"/>
                </w:tcPr>
                <w:p w14:paraId="64812BC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135.6</w:t>
                  </w:r>
                </w:p>
              </w:tc>
              <w:tc>
                <w:tcPr>
                  <w:tcW w:w="211" w:type="pct"/>
                  <w:tcBorders>
                    <w:tl2br w:val="nil"/>
                    <w:tr2bl w:val="nil"/>
                  </w:tcBorders>
                  <w:shd w:val="clear" w:color="auto" w:fill="auto"/>
                  <w:tcMar>
                    <w:top w:w="0" w:type="dxa"/>
                    <w:left w:w="0" w:type="dxa"/>
                    <w:bottom w:w="0" w:type="dxa"/>
                    <w:right w:w="0" w:type="dxa"/>
                  </w:tcMar>
                  <w:vAlign w:val="center"/>
                </w:tcPr>
                <w:p w14:paraId="114F968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232.5</w:t>
                  </w:r>
                </w:p>
              </w:tc>
              <w:tc>
                <w:tcPr>
                  <w:tcW w:w="166" w:type="pct"/>
                  <w:tcBorders>
                    <w:tl2br w:val="nil"/>
                    <w:tr2bl w:val="nil"/>
                  </w:tcBorders>
                  <w:shd w:val="clear" w:color="auto" w:fill="auto"/>
                  <w:tcMar>
                    <w:top w:w="0" w:type="dxa"/>
                    <w:left w:w="0" w:type="dxa"/>
                    <w:bottom w:w="0" w:type="dxa"/>
                    <w:right w:w="0" w:type="dxa"/>
                  </w:tcMar>
                  <w:vAlign w:val="center"/>
                </w:tcPr>
                <w:p w14:paraId="6A36007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EFC9A1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CC46F2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E3672B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0C53C31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5DFCFA0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42A450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77DC2D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79A66C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7D7169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556671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91E552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D2D30A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1C7330F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7A4DAC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018512C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E589E4F">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5DEE451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1#WSC风机</w:t>
                  </w:r>
                </w:p>
              </w:tc>
              <w:tc>
                <w:tcPr>
                  <w:tcW w:w="264" w:type="pct"/>
                  <w:tcBorders>
                    <w:tl2br w:val="nil"/>
                    <w:tr2bl w:val="nil"/>
                  </w:tcBorders>
                  <w:shd w:val="clear" w:color="auto" w:fill="auto"/>
                  <w:tcMar>
                    <w:top w:w="0" w:type="dxa"/>
                    <w:left w:w="0" w:type="dxa"/>
                    <w:bottom w:w="0" w:type="dxa"/>
                    <w:right w:w="0" w:type="dxa"/>
                  </w:tcMar>
                  <w:vAlign w:val="center"/>
                </w:tcPr>
                <w:p w14:paraId="1BA764F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4414EB5">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7B49AC6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38.2</w:t>
                  </w:r>
                </w:p>
              </w:tc>
              <w:tc>
                <w:tcPr>
                  <w:tcW w:w="242" w:type="pct"/>
                  <w:tcBorders>
                    <w:tl2br w:val="nil"/>
                    <w:tr2bl w:val="nil"/>
                  </w:tcBorders>
                  <w:shd w:val="clear" w:color="auto" w:fill="auto"/>
                  <w:tcMar>
                    <w:top w:w="0" w:type="dxa"/>
                    <w:left w:w="0" w:type="dxa"/>
                    <w:bottom w:w="0" w:type="dxa"/>
                    <w:right w:w="0" w:type="dxa"/>
                  </w:tcMar>
                  <w:vAlign w:val="center"/>
                </w:tcPr>
                <w:p w14:paraId="15EAB29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-39</w:t>
                  </w:r>
                </w:p>
              </w:tc>
              <w:tc>
                <w:tcPr>
                  <w:tcW w:w="120" w:type="pct"/>
                  <w:tcBorders>
                    <w:tl2br w:val="nil"/>
                    <w:tr2bl w:val="nil"/>
                  </w:tcBorders>
                  <w:shd w:val="clear" w:color="auto" w:fill="auto"/>
                  <w:tcMar>
                    <w:top w:w="0" w:type="dxa"/>
                    <w:left w:w="0" w:type="dxa"/>
                    <w:bottom w:w="0" w:type="dxa"/>
                    <w:right w:w="0" w:type="dxa"/>
                  </w:tcMar>
                  <w:vAlign w:val="center"/>
                </w:tcPr>
                <w:p w14:paraId="011DFFE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00C37F2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102.7</w:t>
                  </w:r>
                </w:p>
              </w:tc>
              <w:tc>
                <w:tcPr>
                  <w:tcW w:w="211" w:type="pct"/>
                  <w:tcBorders>
                    <w:tl2br w:val="nil"/>
                    <w:tr2bl w:val="nil"/>
                  </w:tcBorders>
                  <w:shd w:val="clear" w:color="auto" w:fill="auto"/>
                  <w:tcMar>
                    <w:top w:w="0" w:type="dxa"/>
                    <w:left w:w="0" w:type="dxa"/>
                    <w:bottom w:w="0" w:type="dxa"/>
                    <w:right w:w="0" w:type="dxa"/>
                  </w:tcMar>
                  <w:vAlign w:val="center"/>
                </w:tcPr>
                <w:p w14:paraId="6C12435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214.1</w:t>
                  </w:r>
                </w:p>
              </w:tc>
              <w:tc>
                <w:tcPr>
                  <w:tcW w:w="211" w:type="pct"/>
                  <w:tcBorders>
                    <w:tl2br w:val="nil"/>
                    <w:tr2bl w:val="nil"/>
                  </w:tcBorders>
                  <w:shd w:val="clear" w:color="auto" w:fill="auto"/>
                  <w:tcMar>
                    <w:top w:w="0" w:type="dxa"/>
                    <w:left w:w="0" w:type="dxa"/>
                    <w:bottom w:w="0" w:type="dxa"/>
                    <w:right w:w="0" w:type="dxa"/>
                  </w:tcMar>
                  <w:vAlign w:val="center"/>
                </w:tcPr>
                <w:p w14:paraId="08D0AF7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140.4</w:t>
                  </w:r>
                </w:p>
              </w:tc>
              <w:tc>
                <w:tcPr>
                  <w:tcW w:w="211" w:type="pct"/>
                  <w:tcBorders>
                    <w:tl2br w:val="nil"/>
                    <w:tr2bl w:val="nil"/>
                  </w:tcBorders>
                  <w:shd w:val="clear" w:color="auto" w:fill="auto"/>
                  <w:tcMar>
                    <w:top w:w="0" w:type="dxa"/>
                    <w:left w:w="0" w:type="dxa"/>
                    <w:bottom w:w="0" w:type="dxa"/>
                    <w:right w:w="0" w:type="dxa"/>
                  </w:tcMar>
                  <w:vAlign w:val="center"/>
                </w:tcPr>
                <w:p w14:paraId="4F84D2B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227.7</w:t>
                  </w:r>
                </w:p>
              </w:tc>
              <w:tc>
                <w:tcPr>
                  <w:tcW w:w="166" w:type="pct"/>
                  <w:tcBorders>
                    <w:tl2br w:val="nil"/>
                    <w:tr2bl w:val="nil"/>
                  </w:tcBorders>
                  <w:shd w:val="clear" w:color="auto" w:fill="auto"/>
                  <w:tcMar>
                    <w:top w:w="0" w:type="dxa"/>
                    <w:left w:w="0" w:type="dxa"/>
                    <w:bottom w:w="0" w:type="dxa"/>
                    <w:right w:w="0" w:type="dxa"/>
                  </w:tcMar>
                  <w:vAlign w:val="center"/>
                </w:tcPr>
                <w:p w14:paraId="54E01D3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E7FD7F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828D2C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21B0E2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7140C1C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7657BCD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9F823C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B9A847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98FB22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68F804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3D11D6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2C96E1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A0E214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7E8EBFF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6BD443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29E03A7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36</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79BB36E">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21577A6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擦拭风机</w:t>
                  </w:r>
                </w:p>
              </w:tc>
              <w:tc>
                <w:tcPr>
                  <w:tcW w:w="264" w:type="pct"/>
                  <w:tcBorders>
                    <w:tl2br w:val="nil"/>
                    <w:tr2bl w:val="nil"/>
                  </w:tcBorders>
                  <w:shd w:val="clear" w:color="auto" w:fill="auto"/>
                  <w:tcMar>
                    <w:top w:w="0" w:type="dxa"/>
                    <w:left w:w="0" w:type="dxa"/>
                    <w:bottom w:w="0" w:type="dxa"/>
                    <w:right w:w="0" w:type="dxa"/>
                  </w:tcMar>
                  <w:vAlign w:val="center"/>
                </w:tcPr>
                <w:p w14:paraId="6D1CE2A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8A8E062">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DF53DC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39.3</w:t>
                  </w:r>
                </w:p>
              </w:tc>
              <w:tc>
                <w:tcPr>
                  <w:tcW w:w="242" w:type="pct"/>
                  <w:tcBorders>
                    <w:tl2br w:val="nil"/>
                    <w:tr2bl w:val="nil"/>
                  </w:tcBorders>
                  <w:shd w:val="clear" w:color="auto" w:fill="auto"/>
                  <w:tcMar>
                    <w:top w:w="0" w:type="dxa"/>
                    <w:left w:w="0" w:type="dxa"/>
                    <w:bottom w:w="0" w:type="dxa"/>
                    <w:right w:w="0" w:type="dxa"/>
                  </w:tcMar>
                  <w:vAlign w:val="center"/>
                </w:tcPr>
                <w:p w14:paraId="53CA4D6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-36.4</w:t>
                  </w:r>
                </w:p>
              </w:tc>
              <w:tc>
                <w:tcPr>
                  <w:tcW w:w="120" w:type="pct"/>
                  <w:tcBorders>
                    <w:tl2br w:val="nil"/>
                    <w:tr2bl w:val="nil"/>
                  </w:tcBorders>
                  <w:shd w:val="clear" w:color="auto" w:fill="auto"/>
                  <w:tcMar>
                    <w:top w:w="0" w:type="dxa"/>
                    <w:left w:w="0" w:type="dxa"/>
                    <w:bottom w:w="0" w:type="dxa"/>
                    <w:right w:w="0" w:type="dxa"/>
                  </w:tcMar>
                  <w:vAlign w:val="center"/>
                </w:tcPr>
                <w:p w14:paraId="4255C51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70ED29F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102.7</w:t>
                  </w:r>
                </w:p>
              </w:tc>
              <w:tc>
                <w:tcPr>
                  <w:tcW w:w="211" w:type="pct"/>
                  <w:tcBorders>
                    <w:tl2br w:val="nil"/>
                    <w:tr2bl w:val="nil"/>
                  </w:tcBorders>
                  <w:shd w:val="clear" w:color="auto" w:fill="auto"/>
                  <w:tcMar>
                    <w:top w:w="0" w:type="dxa"/>
                    <w:left w:w="0" w:type="dxa"/>
                    <w:bottom w:w="0" w:type="dxa"/>
                    <w:right w:w="0" w:type="dxa"/>
                  </w:tcMar>
                  <w:vAlign w:val="center"/>
                </w:tcPr>
                <w:p w14:paraId="42CC4BE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216.9</w:t>
                  </w:r>
                </w:p>
              </w:tc>
              <w:tc>
                <w:tcPr>
                  <w:tcW w:w="211" w:type="pct"/>
                  <w:tcBorders>
                    <w:tl2br w:val="nil"/>
                    <w:tr2bl w:val="nil"/>
                  </w:tcBorders>
                  <w:shd w:val="clear" w:color="auto" w:fill="auto"/>
                  <w:tcMar>
                    <w:top w:w="0" w:type="dxa"/>
                    <w:left w:w="0" w:type="dxa"/>
                    <w:bottom w:w="0" w:type="dxa"/>
                    <w:right w:w="0" w:type="dxa"/>
                  </w:tcMar>
                  <w:vAlign w:val="center"/>
                </w:tcPr>
                <w:p w14:paraId="68CBD26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143.2</w:t>
                  </w:r>
                </w:p>
              </w:tc>
              <w:tc>
                <w:tcPr>
                  <w:tcW w:w="211" w:type="pct"/>
                  <w:tcBorders>
                    <w:tl2br w:val="nil"/>
                    <w:tr2bl w:val="nil"/>
                  </w:tcBorders>
                  <w:shd w:val="clear" w:color="auto" w:fill="auto"/>
                  <w:tcMar>
                    <w:top w:w="0" w:type="dxa"/>
                    <w:left w:w="0" w:type="dxa"/>
                    <w:bottom w:w="0" w:type="dxa"/>
                    <w:right w:w="0" w:type="dxa"/>
                  </w:tcMar>
                  <w:vAlign w:val="center"/>
                </w:tcPr>
                <w:p w14:paraId="6A06EDF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224.9</w:t>
                  </w:r>
                </w:p>
              </w:tc>
              <w:tc>
                <w:tcPr>
                  <w:tcW w:w="166" w:type="pct"/>
                  <w:tcBorders>
                    <w:tl2br w:val="nil"/>
                    <w:tr2bl w:val="nil"/>
                  </w:tcBorders>
                  <w:shd w:val="clear" w:color="auto" w:fill="auto"/>
                  <w:tcMar>
                    <w:top w:w="0" w:type="dxa"/>
                    <w:left w:w="0" w:type="dxa"/>
                    <w:bottom w:w="0" w:type="dxa"/>
                    <w:right w:w="0" w:type="dxa"/>
                  </w:tcMar>
                  <w:vAlign w:val="center"/>
                </w:tcPr>
                <w:p w14:paraId="5636F8F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8589F4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DFC71D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7584B4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2B15E13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361191C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765D9A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A2EBAC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B71DB5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1828F8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0E4F0E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870C11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8CEE00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723CB62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2860F8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2069C75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37</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22F24E2">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4F5D610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AJC冷却风机</w:t>
                  </w:r>
                </w:p>
              </w:tc>
              <w:tc>
                <w:tcPr>
                  <w:tcW w:w="264" w:type="pct"/>
                  <w:tcBorders>
                    <w:tl2br w:val="nil"/>
                    <w:tr2bl w:val="nil"/>
                  </w:tcBorders>
                  <w:shd w:val="clear" w:color="auto" w:fill="auto"/>
                  <w:tcMar>
                    <w:top w:w="0" w:type="dxa"/>
                    <w:left w:w="0" w:type="dxa"/>
                    <w:bottom w:w="0" w:type="dxa"/>
                    <w:right w:w="0" w:type="dxa"/>
                  </w:tcMar>
                  <w:vAlign w:val="center"/>
                </w:tcPr>
                <w:p w14:paraId="3A198CA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02D7245">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4B90B13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40.6</w:t>
                  </w:r>
                </w:p>
              </w:tc>
              <w:tc>
                <w:tcPr>
                  <w:tcW w:w="242" w:type="pct"/>
                  <w:tcBorders>
                    <w:tl2br w:val="nil"/>
                    <w:tr2bl w:val="nil"/>
                  </w:tcBorders>
                  <w:shd w:val="clear" w:color="auto" w:fill="auto"/>
                  <w:tcMar>
                    <w:top w:w="0" w:type="dxa"/>
                    <w:left w:w="0" w:type="dxa"/>
                    <w:bottom w:w="0" w:type="dxa"/>
                    <w:right w:w="0" w:type="dxa"/>
                  </w:tcMar>
                  <w:vAlign w:val="center"/>
                </w:tcPr>
                <w:p w14:paraId="19B649E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-34.7</w:t>
                  </w:r>
                </w:p>
              </w:tc>
              <w:tc>
                <w:tcPr>
                  <w:tcW w:w="120" w:type="pct"/>
                  <w:tcBorders>
                    <w:tl2br w:val="nil"/>
                    <w:tr2bl w:val="nil"/>
                  </w:tcBorders>
                  <w:shd w:val="clear" w:color="auto" w:fill="auto"/>
                  <w:tcMar>
                    <w:top w:w="0" w:type="dxa"/>
                    <w:left w:w="0" w:type="dxa"/>
                    <w:bottom w:w="0" w:type="dxa"/>
                    <w:right w:w="0" w:type="dxa"/>
                  </w:tcMar>
                  <w:vAlign w:val="center"/>
                </w:tcPr>
                <w:p w14:paraId="640711F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6F47FB1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102.1</w:t>
                  </w:r>
                </w:p>
              </w:tc>
              <w:tc>
                <w:tcPr>
                  <w:tcW w:w="211" w:type="pct"/>
                  <w:tcBorders>
                    <w:tl2br w:val="nil"/>
                    <w:tr2bl w:val="nil"/>
                  </w:tcBorders>
                  <w:shd w:val="clear" w:color="auto" w:fill="auto"/>
                  <w:tcMar>
                    <w:top w:w="0" w:type="dxa"/>
                    <w:left w:w="0" w:type="dxa"/>
                    <w:bottom w:w="0" w:type="dxa"/>
                    <w:right w:w="0" w:type="dxa"/>
                  </w:tcMar>
                  <w:vAlign w:val="center"/>
                </w:tcPr>
                <w:p w14:paraId="27C46CA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219.0</w:t>
                  </w:r>
                </w:p>
              </w:tc>
              <w:tc>
                <w:tcPr>
                  <w:tcW w:w="211" w:type="pct"/>
                  <w:tcBorders>
                    <w:tl2br w:val="nil"/>
                    <w:tr2bl w:val="nil"/>
                  </w:tcBorders>
                  <w:shd w:val="clear" w:color="auto" w:fill="auto"/>
                  <w:tcMar>
                    <w:top w:w="0" w:type="dxa"/>
                    <w:left w:w="0" w:type="dxa"/>
                    <w:bottom w:w="0" w:type="dxa"/>
                    <w:right w:w="0" w:type="dxa"/>
                  </w:tcMar>
                  <w:vAlign w:val="center"/>
                </w:tcPr>
                <w:p w14:paraId="7E8598E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145.3</w:t>
                  </w:r>
                </w:p>
              </w:tc>
              <w:tc>
                <w:tcPr>
                  <w:tcW w:w="211" w:type="pct"/>
                  <w:tcBorders>
                    <w:tl2br w:val="nil"/>
                    <w:tr2bl w:val="nil"/>
                  </w:tcBorders>
                  <w:shd w:val="clear" w:color="auto" w:fill="auto"/>
                  <w:tcMar>
                    <w:top w:w="0" w:type="dxa"/>
                    <w:left w:w="0" w:type="dxa"/>
                    <w:bottom w:w="0" w:type="dxa"/>
                    <w:right w:w="0" w:type="dxa"/>
                  </w:tcMar>
                  <w:vAlign w:val="center"/>
                </w:tcPr>
                <w:p w14:paraId="65A0704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222.8</w:t>
                  </w:r>
                </w:p>
              </w:tc>
              <w:tc>
                <w:tcPr>
                  <w:tcW w:w="166" w:type="pct"/>
                  <w:tcBorders>
                    <w:tl2br w:val="nil"/>
                    <w:tr2bl w:val="nil"/>
                  </w:tcBorders>
                  <w:shd w:val="clear" w:color="auto" w:fill="auto"/>
                  <w:tcMar>
                    <w:top w:w="0" w:type="dxa"/>
                    <w:left w:w="0" w:type="dxa"/>
                    <w:bottom w:w="0" w:type="dxa"/>
                    <w:right w:w="0" w:type="dxa"/>
                  </w:tcMar>
                  <w:vAlign w:val="center"/>
                </w:tcPr>
                <w:p w14:paraId="4934C57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7B6BFE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281B3D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4C4A3F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2EE4140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47AE53D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0FE016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E72514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22A135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9DF562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ADD6DA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A12B79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9437C1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55A0D81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3F2F86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5C6E91D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38</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EDCD390">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4196E76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AJC冷却风机</w:t>
                  </w:r>
                </w:p>
              </w:tc>
              <w:tc>
                <w:tcPr>
                  <w:tcW w:w="264" w:type="pct"/>
                  <w:tcBorders>
                    <w:tl2br w:val="nil"/>
                    <w:tr2bl w:val="nil"/>
                  </w:tcBorders>
                  <w:shd w:val="clear" w:color="auto" w:fill="auto"/>
                  <w:tcMar>
                    <w:top w:w="0" w:type="dxa"/>
                    <w:left w:w="0" w:type="dxa"/>
                    <w:bottom w:w="0" w:type="dxa"/>
                    <w:right w:w="0" w:type="dxa"/>
                  </w:tcMar>
                  <w:vAlign w:val="center"/>
                </w:tcPr>
                <w:p w14:paraId="488CD4F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8814B6E">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EE1622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42.1</w:t>
                  </w:r>
                </w:p>
              </w:tc>
              <w:tc>
                <w:tcPr>
                  <w:tcW w:w="242" w:type="pct"/>
                  <w:tcBorders>
                    <w:tl2br w:val="nil"/>
                    <w:tr2bl w:val="nil"/>
                  </w:tcBorders>
                  <w:shd w:val="clear" w:color="auto" w:fill="auto"/>
                  <w:tcMar>
                    <w:top w:w="0" w:type="dxa"/>
                    <w:left w:w="0" w:type="dxa"/>
                    <w:bottom w:w="0" w:type="dxa"/>
                    <w:right w:w="0" w:type="dxa"/>
                  </w:tcMar>
                  <w:vAlign w:val="center"/>
                </w:tcPr>
                <w:p w14:paraId="737D378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-35.1</w:t>
                  </w:r>
                </w:p>
              </w:tc>
              <w:tc>
                <w:tcPr>
                  <w:tcW w:w="120" w:type="pct"/>
                  <w:tcBorders>
                    <w:tl2br w:val="nil"/>
                    <w:tr2bl w:val="nil"/>
                  </w:tcBorders>
                  <w:shd w:val="clear" w:color="auto" w:fill="auto"/>
                  <w:tcMar>
                    <w:top w:w="0" w:type="dxa"/>
                    <w:left w:w="0" w:type="dxa"/>
                    <w:bottom w:w="0" w:type="dxa"/>
                    <w:right w:w="0" w:type="dxa"/>
                  </w:tcMar>
                  <w:vAlign w:val="center"/>
                </w:tcPr>
                <w:p w14:paraId="0DBBCA7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78DF115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100.6</w:t>
                  </w:r>
                </w:p>
              </w:tc>
              <w:tc>
                <w:tcPr>
                  <w:tcW w:w="211" w:type="pct"/>
                  <w:tcBorders>
                    <w:tl2br w:val="nil"/>
                    <w:tr2bl w:val="nil"/>
                  </w:tcBorders>
                  <w:shd w:val="clear" w:color="auto" w:fill="auto"/>
                  <w:tcMar>
                    <w:top w:w="0" w:type="dxa"/>
                    <w:left w:w="0" w:type="dxa"/>
                    <w:bottom w:w="0" w:type="dxa"/>
                    <w:right w:w="0" w:type="dxa"/>
                  </w:tcMar>
                  <w:vAlign w:val="center"/>
                </w:tcPr>
                <w:p w14:paraId="08DAEAD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219.2</w:t>
                  </w:r>
                </w:p>
              </w:tc>
              <w:tc>
                <w:tcPr>
                  <w:tcW w:w="211" w:type="pct"/>
                  <w:tcBorders>
                    <w:tl2br w:val="nil"/>
                    <w:tr2bl w:val="nil"/>
                  </w:tcBorders>
                  <w:shd w:val="clear" w:color="auto" w:fill="auto"/>
                  <w:tcMar>
                    <w:top w:w="0" w:type="dxa"/>
                    <w:left w:w="0" w:type="dxa"/>
                    <w:bottom w:w="0" w:type="dxa"/>
                    <w:right w:w="0" w:type="dxa"/>
                  </w:tcMar>
                  <w:vAlign w:val="center"/>
                </w:tcPr>
                <w:p w14:paraId="14798E7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145.6</w:t>
                  </w:r>
                </w:p>
              </w:tc>
              <w:tc>
                <w:tcPr>
                  <w:tcW w:w="211" w:type="pct"/>
                  <w:tcBorders>
                    <w:tl2br w:val="nil"/>
                    <w:tr2bl w:val="nil"/>
                  </w:tcBorders>
                  <w:shd w:val="clear" w:color="auto" w:fill="auto"/>
                  <w:tcMar>
                    <w:top w:w="0" w:type="dxa"/>
                    <w:left w:w="0" w:type="dxa"/>
                    <w:bottom w:w="0" w:type="dxa"/>
                    <w:right w:w="0" w:type="dxa"/>
                  </w:tcMar>
                  <w:vAlign w:val="center"/>
                </w:tcPr>
                <w:p w14:paraId="7831377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222.5</w:t>
                  </w:r>
                </w:p>
              </w:tc>
              <w:tc>
                <w:tcPr>
                  <w:tcW w:w="166" w:type="pct"/>
                  <w:tcBorders>
                    <w:tl2br w:val="nil"/>
                    <w:tr2bl w:val="nil"/>
                  </w:tcBorders>
                  <w:shd w:val="clear" w:color="auto" w:fill="auto"/>
                  <w:tcMar>
                    <w:top w:w="0" w:type="dxa"/>
                    <w:left w:w="0" w:type="dxa"/>
                    <w:bottom w:w="0" w:type="dxa"/>
                    <w:right w:w="0" w:type="dxa"/>
                  </w:tcMar>
                  <w:vAlign w:val="center"/>
                </w:tcPr>
                <w:p w14:paraId="02AC872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9119A3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EB9BDD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635407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7A7D35D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55858F6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575545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FD59D7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9252FF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6F0E56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F94092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3272DC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2EC0B4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2711F7A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0095F0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25E13ED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39</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C600915">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1140D86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热风干燥风机</w:t>
                  </w:r>
                </w:p>
              </w:tc>
              <w:tc>
                <w:tcPr>
                  <w:tcW w:w="264" w:type="pct"/>
                  <w:tcBorders>
                    <w:tl2br w:val="nil"/>
                    <w:tr2bl w:val="nil"/>
                  </w:tcBorders>
                  <w:shd w:val="clear" w:color="auto" w:fill="auto"/>
                  <w:tcMar>
                    <w:top w:w="0" w:type="dxa"/>
                    <w:left w:w="0" w:type="dxa"/>
                    <w:bottom w:w="0" w:type="dxa"/>
                    <w:right w:w="0" w:type="dxa"/>
                  </w:tcMar>
                  <w:vAlign w:val="center"/>
                </w:tcPr>
                <w:p w14:paraId="59207D4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E467963">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21CBA5A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42.1</w:t>
                  </w:r>
                </w:p>
              </w:tc>
              <w:tc>
                <w:tcPr>
                  <w:tcW w:w="242" w:type="pct"/>
                  <w:tcBorders>
                    <w:tl2br w:val="nil"/>
                    <w:tr2bl w:val="nil"/>
                  </w:tcBorders>
                  <w:shd w:val="clear" w:color="auto" w:fill="auto"/>
                  <w:tcMar>
                    <w:top w:w="0" w:type="dxa"/>
                    <w:left w:w="0" w:type="dxa"/>
                    <w:bottom w:w="0" w:type="dxa"/>
                    <w:right w:w="0" w:type="dxa"/>
                  </w:tcMar>
                  <w:vAlign w:val="center"/>
                </w:tcPr>
                <w:p w14:paraId="6B5FD2C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-30.6</w:t>
                  </w:r>
                </w:p>
              </w:tc>
              <w:tc>
                <w:tcPr>
                  <w:tcW w:w="120" w:type="pct"/>
                  <w:tcBorders>
                    <w:tl2br w:val="nil"/>
                    <w:tr2bl w:val="nil"/>
                  </w:tcBorders>
                  <w:shd w:val="clear" w:color="auto" w:fill="auto"/>
                  <w:tcMar>
                    <w:top w:w="0" w:type="dxa"/>
                    <w:left w:w="0" w:type="dxa"/>
                    <w:bottom w:w="0" w:type="dxa"/>
                    <w:right w:w="0" w:type="dxa"/>
                  </w:tcMar>
                  <w:vAlign w:val="center"/>
                </w:tcPr>
                <w:p w14:paraId="1807910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2BB6420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102.2</w:t>
                  </w:r>
                </w:p>
              </w:tc>
              <w:tc>
                <w:tcPr>
                  <w:tcW w:w="211" w:type="pct"/>
                  <w:tcBorders>
                    <w:tl2br w:val="nil"/>
                    <w:tr2bl w:val="nil"/>
                  </w:tcBorders>
                  <w:shd w:val="clear" w:color="auto" w:fill="auto"/>
                  <w:tcMar>
                    <w:top w:w="0" w:type="dxa"/>
                    <w:left w:w="0" w:type="dxa"/>
                    <w:bottom w:w="0" w:type="dxa"/>
                    <w:right w:w="0" w:type="dxa"/>
                  </w:tcMar>
                  <w:vAlign w:val="center"/>
                </w:tcPr>
                <w:p w14:paraId="72CC819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223.4</w:t>
                  </w:r>
                </w:p>
              </w:tc>
              <w:tc>
                <w:tcPr>
                  <w:tcW w:w="211" w:type="pct"/>
                  <w:tcBorders>
                    <w:tl2br w:val="nil"/>
                    <w:tr2bl w:val="nil"/>
                  </w:tcBorders>
                  <w:shd w:val="clear" w:color="auto" w:fill="auto"/>
                  <w:tcMar>
                    <w:top w:w="0" w:type="dxa"/>
                    <w:left w:w="0" w:type="dxa"/>
                    <w:bottom w:w="0" w:type="dxa"/>
                    <w:right w:w="0" w:type="dxa"/>
                  </w:tcMar>
                  <w:vAlign w:val="center"/>
                </w:tcPr>
                <w:p w14:paraId="55B6A1A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149.7</w:t>
                  </w:r>
                </w:p>
              </w:tc>
              <w:tc>
                <w:tcPr>
                  <w:tcW w:w="211" w:type="pct"/>
                  <w:tcBorders>
                    <w:tl2br w:val="nil"/>
                    <w:tr2bl w:val="nil"/>
                  </w:tcBorders>
                  <w:shd w:val="clear" w:color="auto" w:fill="auto"/>
                  <w:tcMar>
                    <w:top w:w="0" w:type="dxa"/>
                    <w:left w:w="0" w:type="dxa"/>
                    <w:bottom w:w="0" w:type="dxa"/>
                    <w:right w:w="0" w:type="dxa"/>
                  </w:tcMar>
                  <w:vAlign w:val="center"/>
                </w:tcPr>
                <w:p w14:paraId="0AD13A5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218.4</w:t>
                  </w:r>
                </w:p>
              </w:tc>
              <w:tc>
                <w:tcPr>
                  <w:tcW w:w="166" w:type="pct"/>
                  <w:tcBorders>
                    <w:tl2br w:val="nil"/>
                    <w:tr2bl w:val="nil"/>
                  </w:tcBorders>
                  <w:shd w:val="clear" w:color="auto" w:fill="auto"/>
                  <w:tcMar>
                    <w:top w:w="0" w:type="dxa"/>
                    <w:left w:w="0" w:type="dxa"/>
                    <w:bottom w:w="0" w:type="dxa"/>
                    <w:right w:w="0" w:type="dxa"/>
                  </w:tcMar>
                  <w:vAlign w:val="center"/>
                </w:tcPr>
                <w:p w14:paraId="2173630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DC782B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D3AB00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556C02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150E688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192F438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28260F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7A8CA2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5A92F1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8FC689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13525D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4DB08E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555F89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4A9E5E2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7D5EDA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458F1DA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79585D4">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71F57F2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丸料吹扫风机</w:t>
                  </w:r>
                </w:p>
              </w:tc>
              <w:tc>
                <w:tcPr>
                  <w:tcW w:w="264" w:type="pct"/>
                  <w:tcBorders>
                    <w:tl2br w:val="nil"/>
                    <w:tr2bl w:val="nil"/>
                  </w:tcBorders>
                  <w:shd w:val="clear" w:color="auto" w:fill="auto"/>
                  <w:tcMar>
                    <w:top w:w="0" w:type="dxa"/>
                    <w:left w:w="0" w:type="dxa"/>
                    <w:bottom w:w="0" w:type="dxa"/>
                    <w:right w:w="0" w:type="dxa"/>
                  </w:tcMar>
                  <w:vAlign w:val="center"/>
                </w:tcPr>
                <w:p w14:paraId="46DCF14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E618AFF">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67B5D1B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21.3</w:t>
                  </w:r>
                </w:p>
              </w:tc>
              <w:tc>
                <w:tcPr>
                  <w:tcW w:w="242" w:type="pct"/>
                  <w:tcBorders>
                    <w:tl2br w:val="nil"/>
                    <w:tr2bl w:val="nil"/>
                  </w:tcBorders>
                  <w:shd w:val="clear" w:color="auto" w:fill="auto"/>
                  <w:tcMar>
                    <w:top w:w="0" w:type="dxa"/>
                    <w:left w:w="0" w:type="dxa"/>
                    <w:bottom w:w="0" w:type="dxa"/>
                    <w:right w:w="0" w:type="dxa"/>
                  </w:tcMar>
                  <w:vAlign w:val="center"/>
                </w:tcPr>
                <w:p w14:paraId="6528B02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-147.1</w:t>
                  </w:r>
                </w:p>
              </w:tc>
              <w:tc>
                <w:tcPr>
                  <w:tcW w:w="120" w:type="pct"/>
                  <w:tcBorders>
                    <w:tl2br w:val="nil"/>
                    <w:tr2bl w:val="nil"/>
                  </w:tcBorders>
                  <w:shd w:val="clear" w:color="auto" w:fill="auto"/>
                  <w:tcMar>
                    <w:top w:w="0" w:type="dxa"/>
                    <w:left w:w="0" w:type="dxa"/>
                    <w:bottom w:w="0" w:type="dxa"/>
                    <w:right w:w="0" w:type="dxa"/>
                  </w:tcMar>
                  <w:vAlign w:val="center"/>
                </w:tcPr>
                <w:p w14:paraId="489BF8C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675D6A6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78.7</w:t>
                  </w:r>
                </w:p>
              </w:tc>
              <w:tc>
                <w:tcPr>
                  <w:tcW w:w="211" w:type="pct"/>
                  <w:tcBorders>
                    <w:tl2br w:val="nil"/>
                    <w:tr2bl w:val="nil"/>
                  </w:tcBorders>
                  <w:shd w:val="clear" w:color="auto" w:fill="auto"/>
                  <w:tcMar>
                    <w:top w:w="0" w:type="dxa"/>
                    <w:left w:w="0" w:type="dxa"/>
                    <w:bottom w:w="0" w:type="dxa"/>
                    <w:right w:w="0" w:type="dxa"/>
                  </w:tcMar>
                  <w:vAlign w:val="center"/>
                </w:tcPr>
                <w:p w14:paraId="52B44F1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107.8</w:t>
                  </w:r>
                </w:p>
              </w:tc>
              <w:tc>
                <w:tcPr>
                  <w:tcW w:w="211" w:type="pct"/>
                  <w:tcBorders>
                    <w:tl2br w:val="nil"/>
                    <w:tr2bl w:val="nil"/>
                  </w:tcBorders>
                  <w:shd w:val="clear" w:color="auto" w:fill="auto"/>
                  <w:tcMar>
                    <w:top w:w="0" w:type="dxa"/>
                    <w:left w:w="0" w:type="dxa"/>
                    <w:bottom w:w="0" w:type="dxa"/>
                    <w:right w:w="0" w:type="dxa"/>
                  </w:tcMar>
                  <w:vAlign w:val="center"/>
                </w:tcPr>
                <w:p w14:paraId="1FCDAC8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35.6</w:t>
                  </w:r>
                </w:p>
              </w:tc>
              <w:tc>
                <w:tcPr>
                  <w:tcW w:w="211" w:type="pct"/>
                  <w:tcBorders>
                    <w:tl2br w:val="nil"/>
                    <w:tr2bl w:val="nil"/>
                  </w:tcBorders>
                  <w:shd w:val="clear" w:color="auto" w:fill="auto"/>
                  <w:tcMar>
                    <w:top w:w="0" w:type="dxa"/>
                    <w:left w:w="0" w:type="dxa"/>
                    <w:bottom w:w="0" w:type="dxa"/>
                    <w:right w:w="0" w:type="dxa"/>
                  </w:tcMar>
                  <w:vAlign w:val="center"/>
                </w:tcPr>
                <w:p w14:paraId="3C9F821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332.9</w:t>
                  </w:r>
                </w:p>
              </w:tc>
              <w:tc>
                <w:tcPr>
                  <w:tcW w:w="166" w:type="pct"/>
                  <w:tcBorders>
                    <w:tl2br w:val="nil"/>
                    <w:tr2bl w:val="nil"/>
                  </w:tcBorders>
                  <w:shd w:val="clear" w:color="auto" w:fill="auto"/>
                  <w:tcMar>
                    <w:top w:w="0" w:type="dxa"/>
                    <w:left w:w="0" w:type="dxa"/>
                    <w:bottom w:w="0" w:type="dxa"/>
                    <w:right w:w="0" w:type="dxa"/>
                  </w:tcMar>
                  <w:vAlign w:val="center"/>
                </w:tcPr>
                <w:p w14:paraId="16A3791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D2DE63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7C7AE8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67.2</w:t>
                  </w:r>
                </w:p>
              </w:tc>
              <w:tc>
                <w:tcPr>
                  <w:tcW w:w="166" w:type="pct"/>
                  <w:tcBorders>
                    <w:tl2br w:val="nil"/>
                    <w:tr2bl w:val="nil"/>
                  </w:tcBorders>
                  <w:shd w:val="clear" w:color="auto" w:fill="auto"/>
                  <w:tcMar>
                    <w:top w:w="0" w:type="dxa"/>
                    <w:left w:w="0" w:type="dxa"/>
                    <w:bottom w:w="0" w:type="dxa"/>
                    <w:right w:w="0" w:type="dxa"/>
                  </w:tcMar>
                  <w:vAlign w:val="center"/>
                </w:tcPr>
                <w:p w14:paraId="5478803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7EEEB73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7158BAD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06B0A8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077341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463889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90B01E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D78E04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8EB4F3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46.2</w:t>
                  </w:r>
                </w:p>
              </w:tc>
              <w:tc>
                <w:tcPr>
                  <w:tcW w:w="166" w:type="pct"/>
                  <w:tcBorders>
                    <w:tl2br w:val="nil"/>
                    <w:tr2bl w:val="nil"/>
                  </w:tcBorders>
                  <w:shd w:val="clear" w:color="auto" w:fill="auto"/>
                  <w:tcMar>
                    <w:top w:w="0" w:type="dxa"/>
                    <w:left w:w="0" w:type="dxa"/>
                    <w:bottom w:w="0" w:type="dxa"/>
                    <w:right w:w="0" w:type="dxa"/>
                  </w:tcMar>
                  <w:vAlign w:val="center"/>
                </w:tcPr>
                <w:p w14:paraId="04327CC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6FFD710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1E0906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851757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BCCBE4D">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0782513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开卷机</w:t>
                  </w:r>
                </w:p>
              </w:tc>
              <w:tc>
                <w:tcPr>
                  <w:tcW w:w="264" w:type="pct"/>
                  <w:tcBorders>
                    <w:tl2br w:val="nil"/>
                    <w:tr2bl w:val="nil"/>
                  </w:tcBorders>
                  <w:shd w:val="clear" w:color="auto" w:fill="auto"/>
                  <w:tcMar>
                    <w:top w:w="0" w:type="dxa"/>
                    <w:left w:w="0" w:type="dxa"/>
                    <w:bottom w:w="0" w:type="dxa"/>
                    <w:right w:w="0" w:type="dxa"/>
                  </w:tcMar>
                  <w:vAlign w:val="center"/>
                </w:tcPr>
                <w:p w14:paraId="0BAA85C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B51F6DC">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3721655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44.7</w:t>
                  </w:r>
                </w:p>
              </w:tc>
              <w:tc>
                <w:tcPr>
                  <w:tcW w:w="242" w:type="pct"/>
                  <w:tcBorders>
                    <w:tl2br w:val="nil"/>
                    <w:tr2bl w:val="nil"/>
                  </w:tcBorders>
                  <w:shd w:val="clear" w:color="auto" w:fill="auto"/>
                  <w:tcMar>
                    <w:top w:w="0" w:type="dxa"/>
                    <w:left w:w="0" w:type="dxa"/>
                    <w:bottom w:w="0" w:type="dxa"/>
                    <w:right w:w="0" w:type="dxa"/>
                  </w:tcMar>
                  <w:vAlign w:val="center"/>
                </w:tcPr>
                <w:p w14:paraId="0A1C554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-26.5</w:t>
                  </w:r>
                </w:p>
              </w:tc>
              <w:tc>
                <w:tcPr>
                  <w:tcW w:w="120" w:type="pct"/>
                  <w:tcBorders>
                    <w:tl2br w:val="nil"/>
                    <w:tr2bl w:val="nil"/>
                  </w:tcBorders>
                  <w:shd w:val="clear" w:color="auto" w:fill="auto"/>
                  <w:tcMar>
                    <w:top w:w="0" w:type="dxa"/>
                    <w:left w:w="0" w:type="dxa"/>
                    <w:bottom w:w="0" w:type="dxa"/>
                    <w:right w:w="0" w:type="dxa"/>
                  </w:tcMar>
                  <w:vAlign w:val="center"/>
                </w:tcPr>
                <w:p w14:paraId="0DC7AE3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78A11EE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101.3</w:t>
                  </w:r>
                </w:p>
              </w:tc>
              <w:tc>
                <w:tcPr>
                  <w:tcW w:w="211" w:type="pct"/>
                  <w:tcBorders>
                    <w:tl2br w:val="nil"/>
                    <w:tr2bl w:val="nil"/>
                  </w:tcBorders>
                  <w:shd w:val="clear" w:color="auto" w:fill="auto"/>
                  <w:tcMar>
                    <w:top w:w="0" w:type="dxa"/>
                    <w:left w:w="0" w:type="dxa"/>
                    <w:bottom w:w="0" w:type="dxa"/>
                    <w:right w:w="0" w:type="dxa"/>
                  </w:tcMar>
                  <w:vAlign w:val="center"/>
                </w:tcPr>
                <w:p w14:paraId="37CEC7B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228.1</w:t>
                  </w:r>
                </w:p>
              </w:tc>
              <w:tc>
                <w:tcPr>
                  <w:tcW w:w="211" w:type="pct"/>
                  <w:tcBorders>
                    <w:tl2br w:val="nil"/>
                    <w:tr2bl w:val="nil"/>
                  </w:tcBorders>
                  <w:shd w:val="clear" w:color="auto" w:fill="auto"/>
                  <w:tcMar>
                    <w:top w:w="0" w:type="dxa"/>
                    <w:left w:w="0" w:type="dxa"/>
                    <w:bottom w:w="0" w:type="dxa"/>
                    <w:right w:w="0" w:type="dxa"/>
                  </w:tcMar>
                  <w:vAlign w:val="center"/>
                </w:tcPr>
                <w:p w14:paraId="46B2296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154.5</w:t>
                  </w:r>
                </w:p>
              </w:tc>
              <w:tc>
                <w:tcPr>
                  <w:tcW w:w="211" w:type="pct"/>
                  <w:tcBorders>
                    <w:tl2br w:val="nil"/>
                    <w:tr2bl w:val="nil"/>
                  </w:tcBorders>
                  <w:shd w:val="clear" w:color="auto" w:fill="auto"/>
                  <w:tcMar>
                    <w:top w:w="0" w:type="dxa"/>
                    <w:left w:w="0" w:type="dxa"/>
                    <w:bottom w:w="0" w:type="dxa"/>
                    <w:right w:w="0" w:type="dxa"/>
                  </w:tcMar>
                  <w:vAlign w:val="center"/>
                </w:tcPr>
                <w:p w14:paraId="530CB01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213.6</w:t>
                  </w:r>
                </w:p>
              </w:tc>
              <w:tc>
                <w:tcPr>
                  <w:tcW w:w="166" w:type="pct"/>
                  <w:tcBorders>
                    <w:tl2br w:val="nil"/>
                    <w:tr2bl w:val="nil"/>
                  </w:tcBorders>
                  <w:shd w:val="clear" w:color="auto" w:fill="auto"/>
                  <w:tcMar>
                    <w:top w:w="0" w:type="dxa"/>
                    <w:left w:w="0" w:type="dxa"/>
                    <w:bottom w:w="0" w:type="dxa"/>
                    <w:right w:w="0" w:type="dxa"/>
                  </w:tcMar>
                  <w:vAlign w:val="center"/>
                </w:tcPr>
                <w:p w14:paraId="036ADFB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65E3EAF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5E731E0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53F904D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223" w:type="pct"/>
                  <w:tcBorders>
                    <w:tl2br w:val="nil"/>
                    <w:tr2bl w:val="nil"/>
                  </w:tcBorders>
                  <w:shd w:val="clear" w:color="auto" w:fill="auto"/>
                  <w:tcMar>
                    <w:top w:w="0" w:type="dxa"/>
                    <w:left w:w="0" w:type="dxa"/>
                    <w:bottom w:w="0" w:type="dxa"/>
                    <w:right w:w="0" w:type="dxa"/>
                  </w:tcMar>
                  <w:vAlign w:val="center"/>
                </w:tcPr>
                <w:p w14:paraId="6114DD8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6F05033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9B8B19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511F2C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EB9231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67025D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5F361EF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161844E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16DA1E3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04" w:type="pct"/>
                  <w:tcBorders>
                    <w:tl2br w:val="nil"/>
                    <w:tr2bl w:val="nil"/>
                  </w:tcBorders>
                  <w:shd w:val="clear" w:color="auto" w:fill="auto"/>
                  <w:tcMar>
                    <w:top w:w="0" w:type="dxa"/>
                    <w:left w:w="0" w:type="dxa"/>
                    <w:bottom w:w="0" w:type="dxa"/>
                    <w:right w:w="0" w:type="dxa"/>
                  </w:tcMar>
                  <w:vAlign w:val="center"/>
                </w:tcPr>
                <w:p w14:paraId="7744BC0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71E1E1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5903507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42</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50E622D">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62E594D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卷取机</w:t>
                  </w:r>
                </w:p>
              </w:tc>
              <w:tc>
                <w:tcPr>
                  <w:tcW w:w="264" w:type="pct"/>
                  <w:tcBorders>
                    <w:tl2br w:val="nil"/>
                    <w:tr2bl w:val="nil"/>
                  </w:tcBorders>
                  <w:shd w:val="clear" w:color="auto" w:fill="auto"/>
                  <w:tcMar>
                    <w:top w:w="0" w:type="dxa"/>
                    <w:left w:w="0" w:type="dxa"/>
                    <w:bottom w:w="0" w:type="dxa"/>
                    <w:right w:w="0" w:type="dxa"/>
                  </w:tcMar>
                  <w:vAlign w:val="center"/>
                </w:tcPr>
                <w:p w14:paraId="5F4FE38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2BB899D">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66A3FD9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45.3</w:t>
                  </w:r>
                </w:p>
              </w:tc>
              <w:tc>
                <w:tcPr>
                  <w:tcW w:w="242" w:type="pct"/>
                  <w:tcBorders>
                    <w:tl2br w:val="nil"/>
                    <w:tr2bl w:val="nil"/>
                  </w:tcBorders>
                  <w:shd w:val="clear" w:color="auto" w:fill="auto"/>
                  <w:tcMar>
                    <w:top w:w="0" w:type="dxa"/>
                    <w:left w:w="0" w:type="dxa"/>
                    <w:bottom w:w="0" w:type="dxa"/>
                    <w:right w:w="0" w:type="dxa"/>
                  </w:tcMar>
                  <w:vAlign w:val="center"/>
                </w:tcPr>
                <w:p w14:paraId="781DE92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-26.8</w:t>
                  </w:r>
                </w:p>
              </w:tc>
              <w:tc>
                <w:tcPr>
                  <w:tcW w:w="120" w:type="pct"/>
                  <w:tcBorders>
                    <w:tl2br w:val="nil"/>
                    <w:tr2bl w:val="nil"/>
                  </w:tcBorders>
                  <w:shd w:val="clear" w:color="auto" w:fill="auto"/>
                  <w:tcMar>
                    <w:top w:w="0" w:type="dxa"/>
                    <w:left w:w="0" w:type="dxa"/>
                    <w:bottom w:w="0" w:type="dxa"/>
                    <w:right w:w="0" w:type="dxa"/>
                  </w:tcMar>
                  <w:vAlign w:val="center"/>
                </w:tcPr>
                <w:p w14:paraId="09EFD35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6E1316B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100.6</w:t>
                  </w:r>
                </w:p>
              </w:tc>
              <w:tc>
                <w:tcPr>
                  <w:tcW w:w="211" w:type="pct"/>
                  <w:tcBorders>
                    <w:tl2br w:val="nil"/>
                    <w:tr2bl w:val="nil"/>
                  </w:tcBorders>
                  <w:shd w:val="clear" w:color="auto" w:fill="auto"/>
                  <w:tcMar>
                    <w:top w:w="0" w:type="dxa"/>
                    <w:left w:w="0" w:type="dxa"/>
                    <w:bottom w:w="0" w:type="dxa"/>
                    <w:right w:w="0" w:type="dxa"/>
                  </w:tcMar>
                  <w:vAlign w:val="center"/>
                </w:tcPr>
                <w:p w14:paraId="6C8F987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228.1</w:t>
                  </w:r>
                </w:p>
              </w:tc>
              <w:tc>
                <w:tcPr>
                  <w:tcW w:w="211" w:type="pct"/>
                  <w:tcBorders>
                    <w:tl2br w:val="nil"/>
                    <w:tr2bl w:val="nil"/>
                  </w:tcBorders>
                  <w:shd w:val="clear" w:color="auto" w:fill="auto"/>
                  <w:tcMar>
                    <w:top w:w="0" w:type="dxa"/>
                    <w:left w:w="0" w:type="dxa"/>
                    <w:bottom w:w="0" w:type="dxa"/>
                    <w:right w:w="0" w:type="dxa"/>
                  </w:tcMar>
                  <w:vAlign w:val="center"/>
                </w:tcPr>
                <w:p w14:paraId="390EBFE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154.5</w:t>
                  </w:r>
                </w:p>
              </w:tc>
              <w:tc>
                <w:tcPr>
                  <w:tcW w:w="211" w:type="pct"/>
                  <w:tcBorders>
                    <w:tl2br w:val="nil"/>
                    <w:tr2bl w:val="nil"/>
                  </w:tcBorders>
                  <w:shd w:val="clear" w:color="auto" w:fill="auto"/>
                  <w:tcMar>
                    <w:top w:w="0" w:type="dxa"/>
                    <w:left w:w="0" w:type="dxa"/>
                    <w:bottom w:w="0" w:type="dxa"/>
                    <w:right w:w="0" w:type="dxa"/>
                  </w:tcMar>
                  <w:vAlign w:val="center"/>
                </w:tcPr>
                <w:p w14:paraId="087C317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213.6</w:t>
                  </w:r>
                </w:p>
              </w:tc>
              <w:tc>
                <w:tcPr>
                  <w:tcW w:w="166" w:type="pct"/>
                  <w:tcBorders>
                    <w:tl2br w:val="nil"/>
                    <w:tr2bl w:val="nil"/>
                  </w:tcBorders>
                  <w:shd w:val="clear" w:color="auto" w:fill="auto"/>
                  <w:tcMar>
                    <w:top w:w="0" w:type="dxa"/>
                    <w:left w:w="0" w:type="dxa"/>
                    <w:bottom w:w="0" w:type="dxa"/>
                    <w:right w:w="0" w:type="dxa"/>
                  </w:tcMar>
                  <w:vAlign w:val="center"/>
                </w:tcPr>
                <w:p w14:paraId="6708898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589CF66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3CC58D0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49FF8F2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223" w:type="pct"/>
                  <w:tcBorders>
                    <w:tl2br w:val="nil"/>
                    <w:tr2bl w:val="nil"/>
                  </w:tcBorders>
                  <w:shd w:val="clear" w:color="auto" w:fill="auto"/>
                  <w:tcMar>
                    <w:top w:w="0" w:type="dxa"/>
                    <w:left w:w="0" w:type="dxa"/>
                    <w:bottom w:w="0" w:type="dxa"/>
                    <w:right w:w="0" w:type="dxa"/>
                  </w:tcMar>
                  <w:vAlign w:val="center"/>
                </w:tcPr>
                <w:p w14:paraId="484168A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3F0A24F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0CC87C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2404C5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BAD300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DCB53C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6DC2F97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0D83A29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02FA9B8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04" w:type="pct"/>
                  <w:tcBorders>
                    <w:tl2br w:val="nil"/>
                    <w:tr2bl w:val="nil"/>
                  </w:tcBorders>
                  <w:shd w:val="clear" w:color="auto" w:fill="auto"/>
                  <w:tcMar>
                    <w:top w:w="0" w:type="dxa"/>
                    <w:left w:w="0" w:type="dxa"/>
                    <w:bottom w:w="0" w:type="dxa"/>
                    <w:right w:w="0" w:type="dxa"/>
                  </w:tcMar>
                  <w:vAlign w:val="center"/>
                </w:tcPr>
                <w:p w14:paraId="70F28F1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4B27C6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6A822D0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43</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FC64BB5">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3923A07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开卷机</w:t>
                  </w:r>
                </w:p>
              </w:tc>
              <w:tc>
                <w:tcPr>
                  <w:tcW w:w="264" w:type="pct"/>
                  <w:tcBorders>
                    <w:tl2br w:val="nil"/>
                    <w:tr2bl w:val="nil"/>
                  </w:tcBorders>
                  <w:shd w:val="clear" w:color="auto" w:fill="auto"/>
                  <w:tcMar>
                    <w:top w:w="0" w:type="dxa"/>
                    <w:left w:w="0" w:type="dxa"/>
                    <w:bottom w:w="0" w:type="dxa"/>
                    <w:right w:w="0" w:type="dxa"/>
                  </w:tcMar>
                  <w:vAlign w:val="center"/>
                </w:tcPr>
                <w:p w14:paraId="6694B1F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78EA163">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3E56F53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45.7</w:t>
                  </w:r>
                </w:p>
              </w:tc>
              <w:tc>
                <w:tcPr>
                  <w:tcW w:w="242" w:type="pct"/>
                  <w:tcBorders>
                    <w:tl2br w:val="nil"/>
                    <w:tr2bl w:val="nil"/>
                  </w:tcBorders>
                  <w:shd w:val="clear" w:color="auto" w:fill="auto"/>
                  <w:tcMar>
                    <w:top w:w="0" w:type="dxa"/>
                    <w:left w:w="0" w:type="dxa"/>
                    <w:bottom w:w="0" w:type="dxa"/>
                    <w:right w:w="0" w:type="dxa"/>
                  </w:tcMar>
                  <w:vAlign w:val="center"/>
                </w:tcPr>
                <w:p w14:paraId="26E37B4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-23.7</w:t>
                  </w:r>
                </w:p>
              </w:tc>
              <w:tc>
                <w:tcPr>
                  <w:tcW w:w="120" w:type="pct"/>
                  <w:tcBorders>
                    <w:tl2br w:val="nil"/>
                    <w:tr2bl w:val="nil"/>
                  </w:tcBorders>
                  <w:shd w:val="clear" w:color="auto" w:fill="auto"/>
                  <w:tcMar>
                    <w:top w:w="0" w:type="dxa"/>
                    <w:left w:w="0" w:type="dxa"/>
                    <w:bottom w:w="0" w:type="dxa"/>
                    <w:right w:w="0" w:type="dxa"/>
                  </w:tcMar>
                  <w:vAlign w:val="center"/>
                </w:tcPr>
                <w:p w14:paraId="58D4148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07BE48F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101.4</w:t>
                  </w:r>
                </w:p>
              </w:tc>
              <w:tc>
                <w:tcPr>
                  <w:tcW w:w="211" w:type="pct"/>
                  <w:tcBorders>
                    <w:tl2br w:val="nil"/>
                    <w:tr2bl w:val="nil"/>
                  </w:tcBorders>
                  <w:shd w:val="clear" w:color="auto" w:fill="auto"/>
                  <w:tcMar>
                    <w:top w:w="0" w:type="dxa"/>
                    <w:left w:w="0" w:type="dxa"/>
                    <w:bottom w:w="0" w:type="dxa"/>
                    <w:right w:w="0" w:type="dxa"/>
                  </w:tcMar>
                  <w:vAlign w:val="center"/>
                </w:tcPr>
                <w:p w14:paraId="796FB36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231.1</w:t>
                  </w:r>
                </w:p>
              </w:tc>
              <w:tc>
                <w:tcPr>
                  <w:tcW w:w="211" w:type="pct"/>
                  <w:tcBorders>
                    <w:tl2br w:val="nil"/>
                    <w:tr2bl w:val="nil"/>
                  </w:tcBorders>
                  <w:shd w:val="clear" w:color="auto" w:fill="auto"/>
                  <w:tcMar>
                    <w:top w:w="0" w:type="dxa"/>
                    <w:left w:w="0" w:type="dxa"/>
                    <w:bottom w:w="0" w:type="dxa"/>
                    <w:right w:w="0" w:type="dxa"/>
                  </w:tcMar>
                  <w:vAlign w:val="center"/>
                </w:tcPr>
                <w:p w14:paraId="1D44137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157.5</w:t>
                  </w:r>
                </w:p>
              </w:tc>
              <w:tc>
                <w:tcPr>
                  <w:tcW w:w="211" w:type="pct"/>
                  <w:tcBorders>
                    <w:tl2br w:val="nil"/>
                    <w:tr2bl w:val="nil"/>
                  </w:tcBorders>
                  <w:shd w:val="clear" w:color="auto" w:fill="auto"/>
                  <w:tcMar>
                    <w:top w:w="0" w:type="dxa"/>
                    <w:left w:w="0" w:type="dxa"/>
                    <w:bottom w:w="0" w:type="dxa"/>
                    <w:right w:w="0" w:type="dxa"/>
                  </w:tcMar>
                  <w:vAlign w:val="center"/>
                </w:tcPr>
                <w:p w14:paraId="75420BB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210.7</w:t>
                  </w:r>
                </w:p>
              </w:tc>
              <w:tc>
                <w:tcPr>
                  <w:tcW w:w="166" w:type="pct"/>
                  <w:tcBorders>
                    <w:tl2br w:val="nil"/>
                    <w:tr2bl w:val="nil"/>
                  </w:tcBorders>
                  <w:shd w:val="clear" w:color="auto" w:fill="auto"/>
                  <w:tcMar>
                    <w:top w:w="0" w:type="dxa"/>
                    <w:left w:w="0" w:type="dxa"/>
                    <w:bottom w:w="0" w:type="dxa"/>
                    <w:right w:w="0" w:type="dxa"/>
                  </w:tcMar>
                  <w:vAlign w:val="center"/>
                </w:tcPr>
                <w:p w14:paraId="52D0B9F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25B8636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070D330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15E0FC2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223" w:type="pct"/>
                  <w:tcBorders>
                    <w:tl2br w:val="nil"/>
                    <w:tr2bl w:val="nil"/>
                  </w:tcBorders>
                  <w:shd w:val="clear" w:color="auto" w:fill="auto"/>
                  <w:tcMar>
                    <w:top w:w="0" w:type="dxa"/>
                    <w:left w:w="0" w:type="dxa"/>
                    <w:bottom w:w="0" w:type="dxa"/>
                    <w:right w:w="0" w:type="dxa"/>
                  </w:tcMar>
                  <w:vAlign w:val="center"/>
                </w:tcPr>
                <w:p w14:paraId="287FCF4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162C1BC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1136BE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C7A998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327A31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EA2AE0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43DFF1C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3C061D1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7F7E648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04" w:type="pct"/>
                  <w:tcBorders>
                    <w:tl2br w:val="nil"/>
                    <w:tr2bl w:val="nil"/>
                  </w:tcBorders>
                  <w:shd w:val="clear" w:color="auto" w:fill="auto"/>
                  <w:tcMar>
                    <w:top w:w="0" w:type="dxa"/>
                    <w:left w:w="0" w:type="dxa"/>
                    <w:bottom w:w="0" w:type="dxa"/>
                    <w:right w:w="0" w:type="dxa"/>
                  </w:tcMar>
                  <w:vAlign w:val="center"/>
                </w:tcPr>
                <w:p w14:paraId="770228F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747FDE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46AA52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44</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D886F48">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3807C9E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风机</w:t>
                  </w:r>
                </w:p>
              </w:tc>
              <w:tc>
                <w:tcPr>
                  <w:tcW w:w="264" w:type="pct"/>
                  <w:tcBorders>
                    <w:tl2br w:val="nil"/>
                    <w:tr2bl w:val="nil"/>
                  </w:tcBorders>
                  <w:shd w:val="clear" w:color="auto" w:fill="auto"/>
                  <w:tcMar>
                    <w:top w:w="0" w:type="dxa"/>
                    <w:left w:w="0" w:type="dxa"/>
                    <w:bottom w:w="0" w:type="dxa"/>
                    <w:right w:w="0" w:type="dxa"/>
                  </w:tcMar>
                  <w:vAlign w:val="center"/>
                </w:tcPr>
                <w:p w14:paraId="3C990B9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FA8206D">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6741AF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w:t>
                  </w:r>
                </w:p>
              </w:tc>
              <w:tc>
                <w:tcPr>
                  <w:tcW w:w="242" w:type="pct"/>
                  <w:tcBorders>
                    <w:tl2br w:val="nil"/>
                    <w:tr2bl w:val="nil"/>
                  </w:tcBorders>
                  <w:shd w:val="clear" w:color="auto" w:fill="auto"/>
                  <w:tcMar>
                    <w:top w:w="0" w:type="dxa"/>
                    <w:left w:w="0" w:type="dxa"/>
                    <w:bottom w:w="0" w:type="dxa"/>
                    <w:right w:w="0" w:type="dxa"/>
                  </w:tcMar>
                  <w:vAlign w:val="center"/>
                </w:tcPr>
                <w:p w14:paraId="1781F5D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-23.2</w:t>
                  </w:r>
                </w:p>
              </w:tc>
              <w:tc>
                <w:tcPr>
                  <w:tcW w:w="120" w:type="pct"/>
                  <w:tcBorders>
                    <w:tl2br w:val="nil"/>
                    <w:tr2bl w:val="nil"/>
                  </w:tcBorders>
                  <w:shd w:val="clear" w:color="auto" w:fill="auto"/>
                  <w:tcMar>
                    <w:top w:w="0" w:type="dxa"/>
                    <w:left w:w="0" w:type="dxa"/>
                    <w:bottom w:w="0" w:type="dxa"/>
                    <w:right w:w="0" w:type="dxa"/>
                  </w:tcMar>
                  <w:vAlign w:val="center"/>
                </w:tcPr>
                <w:p w14:paraId="0C323F0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50F48C6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101.3</w:t>
                  </w:r>
                </w:p>
              </w:tc>
              <w:tc>
                <w:tcPr>
                  <w:tcW w:w="211" w:type="pct"/>
                  <w:tcBorders>
                    <w:tl2br w:val="nil"/>
                    <w:tr2bl w:val="nil"/>
                  </w:tcBorders>
                  <w:shd w:val="clear" w:color="auto" w:fill="auto"/>
                  <w:tcMar>
                    <w:top w:w="0" w:type="dxa"/>
                    <w:left w:w="0" w:type="dxa"/>
                    <w:bottom w:w="0" w:type="dxa"/>
                    <w:right w:w="0" w:type="dxa"/>
                  </w:tcMar>
                  <w:vAlign w:val="center"/>
                </w:tcPr>
                <w:p w14:paraId="5221AD2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231.7</w:t>
                  </w:r>
                </w:p>
              </w:tc>
              <w:tc>
                <w:tcPr>
                  <w:tcW w:w="211" w:type="pct"/>
                  <w:tcBorders>
                    <w:tl2br w:val="nil"/>
                    <w:tr2bl w:val="nil"/>
                  </w:tcBorders>
                  <w:shd w:val="clear" w:color="auto" w:fill="auto"/>
                  <w:tcMar>
                    <w:top w:w="0" w:type="dxa"/>
                    <w:left w:w="0" w:type="dxa"/>
                    <w:bottom w:w="0" w:type="dxa"/>
                    <w:right w:w="0" w:type="dxa"/>
                  </w:tcMar>
                  <w:vAlign w:val="center"/>
                </w:tcPr>
                <w:p w14:paraId="08F7583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158.0</w:t>
                  </w:r>
                </w:p>
              </w:tc>
              <w:tc>
                <w:tcPr>
                  <w:tcW w:w="211" w:type="pct"/>
                  <w:tcBorders>
                    <w:tl2br w:val="nil"/>
                    <w:tr2bl w:val="nil"/>
                  </w:tcBorders>
                  <w:shd w:val="clear" w:color="auto" w:fill="auto"/>
                  <w:tcMar>
                    <w:top w:w="0" w:type="dxa"/>
                    <w:left w:w="0" w:type="dxa"/>
                    <w:bottom w:w="0" w:type="dxa"/>
                    <w:right w:w="0" w:type="dxa"/>
                  </w:tcMar>
                  <w:vAlign w:val="center"/>
                </w:tcPr>
                <w:p w14:paraId="7533FB1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210.1</w:t>
                  </w:r>
                </w:p>
              </w:tc>
              <w:tc>
                <w:tcPr>
                  <w:tcW w:w="166" w:type="pct"/>
                  <w:tcBorders>
                    <w:tl2br w:val="nil"/>
                    <w:tr2bl w:val="nil"/>
                  </w:tcBorders>
                  <w:shd w:val="clear" w:color="auto" w:fill="auto"/>
                  <w:tcMar>
                    <w:top w:w="0" w:type="dxa"/>
                    <w:left w:w="0" w:type="dxa"/>
                    <w:bottom w:w="0" w:type="dxa"/>
                    <w:right w:w="0" w:type="dxa"/>
                  </w:tcMar>
                  <w:vAlign w:val="center"/>
                </w:tcPr>
                <w:p w14:paraId="6F92071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B1ECDC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49C739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918A26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5E0E85C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2B5451A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8CDE86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E0A2B1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1B5313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C9CEED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EC4EA2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92F22D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B2C4C5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6AFC505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5814CD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0D23F09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D691C95">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6ED26F6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矫直机</w:t>
                  </w:r>
                </w:p>
              </w:tc>
              <w:tc>
                <w:tcPr>
                  <w:tcW w:w="264" w:type="pct"/>
                  <w:tcBorders>
                    <w:tl2br w:val="nil"/>
                    <w:tr2bl w:val="nil"/>
                  </w:tcBorders>
                  <w:shd w:val="clear" w:color="auto" w:fill="auto"/>
                  <w:tcMar>
                    <w:top w:w="0" w:type="dxa"/>
                    <w:left w:w="0" w:type="dxa"/>
                    <w:bottom w:w="0" w:type="dxa"/>
                    <w:right w:w="0" w:type="dxa"/>
                  </w:tcMar>
                  <w:vAlign w:val="center"/>
                </w:tcPr>
                <w:p w14:paraId="598B28F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E29686E">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419E41B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46.7</w:t>
                  </w:r>
                </w:p>
              </w:tc>
              <w:tc>
                <w:tcPr>
                  <w:tcW w:w="242" w:type="pct"/>
                  <w:tcBorders>
                    <w:tl2br w:val="nil"/>
                    <w:tr2bl w:val="nil"/>
                  </w:tcBorders>
                  <w:shd w:val="clear" w:color="auto" w:fill="auto"/>
                  <w:tcMar>
                    <w:top w:w="0" w:type="dxa"/>
                    <w:left w:w="0" w:type="dxa"/>
                    <w:bottom w:w="0" w:type="dxa"/>
                    <w:right w:w="0" w:type="dxa"/>
                  </w:tcMar>
                  <w:vAlign w:val="center"/>
                </w:tcPr>
                <w:p w14:paraId="1D513CE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-22.2</w:t>
                  </w:r>
                </w:p>
              </w:tc>
              <w:tc>
                <w:tcPr>
                  <w:tcW w:w="120" w:type="pct"/>
                  <w:tcBorders>
                    <w:tl2br w:val="nil"/>
                    <w:tr2bl w:val="nil"/>
                  </w:tcBorders>
                  <w:shd w:val="clear" w:color="auto" w:fill="auto"/>
                  <w:tcMar>
                    <w:top w:w="0" w:type="dxa"/>
                    <w:left w:w="0" w:type="dxa"/>
                    <w:bottom w:w="0" w:type="dxa"/>
                    <w:right w:w="0" w:type="dxa"/>
                  </w:tcMar>
                  <w:vAlign w:val="center"/>
                </w:tcPr>
                <w:p w14:paraId="53F72DF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04A52D0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101.0</w:t>
                  </w:r>
                </w:p>
              </w:tc>
              <w:tc>
                <w:tcPr>
                  <w:tcW w:w="211" w:type="pct"/>
                  <w:tcBorders>
                    <w:tl2br w:val="nil"/>
                    <w:tr2bl w:val="nil"/>
                  </w:tcBorders>
                  <w:shd w:val="clear" w:color="auto" w:fill="auto"/>
                  <w:tcMar>
                    <w:top w:w="0" w:type="dxa"/>
                    <w:left w:w="0" w:type="dxa"/>
                    <w:bottom w:w="0" w:type="dxa"/>
                    <w:right w:w="0" w:type="dxa"/>
                  </w:tcMar>
                  <w:vAlign w:val="center"/>
                </w:tcPr>
                <w:p w14:paraId="3E62D1B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232.9</w:t>
                  </w:r>
                </w:p>
              </w:tc>
              <w:tc>
                <w:tcPr>
                  <w:tcW w:w="211" w:type="pct"/>
                  <w:tcBorders>
                    <w:tl2br w:val="nil"/>
                    <w:tr2bl w:val="nil"/>
                  </w:tcBorders>
                  <w:shd w:val="clear" w:color="auto" w:fill="auto"/>
                  <w:tcMar>
                    <w:top w:w="0" w:type="dxa"/>
                    <w:left w:w="0" w:type="dxa"/>
                    <w:bottom w:w="0" w:type="dxa"/>
                    <w:right w:w="0" w:type="dxa"/>
                  </w:tcMar>
                  <w:vAlign w:val="center"/>
                </w:tcPr>
                <w:p w14:paraId="5F74FF1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159.2</w:t>
                  </w:r>
                </w:p>
              </w:tc>
              <w:tc>
                <w:tcPr>
                  <w:tcW w:w="211" w:type="pct"/>
                  <w:tcBorders>
                    <w:tl2br w:val="nil"/>
                    <w:tr2bl w:val="nil"/>
                  </w:tcBorders>
                  <w:shd w:val="clear" w:color="auto" w:fill="auto"/>
                  <w:tcMar>
                    <w:top w:w="0" w:type="dxa"/>
                    <w:left w:w="0" w:type="dxa"/>
                    <w:bottom w:w="0" w:type="dxa"/>
                    <w:right w:w="0" w:type="dxa"/>
                  </w:tcMar>
                  <w:vAlign w:val="center"/>
                </w:tcPr>
                <w:p w14:paraId="05EA933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208.9</w:t>
                  </w:r>
                </w:p>
              </w:tc>
              <w:tc>
                <w:tcPr>
                  <w:tcW w:w="166" w:type="pct"/>
                  <w:tcBorders>
                    <w:tl2br w:val="nil"/>
                    <w:tr2bl w:val="nil"/>
                  </w:tcBorders>
                  <w:shd w:val="clear" w:color="auto" w:fill="auto"/>
                  <w:tcMar>
                    <w:top w:w="0" w:type="dxa"/>
                    <w:left w:w="0" w:type="dxa"/>
                    <w:bottom w:w="0" w:type="dxa"/>
                    <w:right w:w="0" w:type="dxa"/>
                  </w:tcMar>
                  <w:vAlign w:val="center"/>
                </w:tcPr>
                <w:p w14:paraId="0D27230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0AC4FED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3FDFC88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4592FEA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223" w:type="pct"/>
                  <w:tcBorders>
                    <w:tl2br w:val="nil"/>
                    <w:tr2bl w:val="nil"/>
                  </w:tcBorders>
                  <w:shd w:val="clear" w:color="auto" w:fill="auto"/>
                  <w:tcMar>
                    <w:top w:w="0" w:type="dxa"/>
                    <w:left w:w="0" w:type="dxa"/>
                    <w:bottom w:w="0" w:type="dxa"/>
                    <w:right w:w="0" w:type="dxa"/>
                  </w:tcMar>
                  <w:vAlign w:val="center"/>
                </w:tcPr>
                <w:p w14:paraId="674BAAF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0211B75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FE760F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0A07A0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985521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E908AD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0529A45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66E3261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7E0EE36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04" w:type="pct"/>
                  <w:tcBorders>
                    <w:tl2br w:val="nil"/>
                    <w:tr2bl w:val="nil"/>
                  </w:tcBorders>
                  <w:shd w:val="clear" w:color="auto" w:fill="auto"/>
                  <w:tcMar>
                    <w:top w:w="0" w:type="dxa"/>
                    <w:left w:w="0" w:type="dxa"/>
                    <w:bottom w:w="0" w:type="dxa"/>
                    <w:right w:w="0" w:type="dxa"/>
                  </w:tcMar>
                  <w:vAlign w:val="center"/>
                </w:tcPr>
                <w:p w14:paraId="48D2BEF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449A28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48B1151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2808E9E">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3A7F07D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机前卷取机</w:t>
                  </w:r>
                </w:p>
              </w:tc>
              <w:tc>
                <w:tcPr>
                  <w:tcW w:w="264" w:type="pct"/>
                  <w:tcBorders>
                    <w:tl2br w:val="nil"/>
                    <w:tr2bl w:val="nil"/>
                  </w:tcBorders>
                  <w:shd w:val="clear" w:color="auto" w:fill="auto"/>
                  <w:tcMar>
                    <w:top w:w="0" w:type="dxa"/>
                    <w:left w:w="0" w:type="dxa"/>
                    <w:bottom w:w="0" w:type="dxa"/>
                    <w:right w:w="0" w:type="dxa"/>
                  </w:tcMar>
                  <w:vAlign w:val="center"/>
                </w:tcPr>
                <w:p w14:paraId="6E2D47C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C413776">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5A43CF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47.1</w:t>
                  </w:r>
                </w:p>
              </w:tc>
              <w:tc>
                <w:tcPr>
                  <w:tcW w:w="242" w:type="pct"/>
                  <w:tcBorders>
                    <w:tl2br w:val="nil"/>
                    <w:tr2bl w:val="nil"/>
                  </w:tcBorders>
                  <w:shd w:val="clear" w:color="auto" w:fill="auto"/>
                  <w:tcMar>
                    <w:top w:w="0" w:type="dxa"/>
                    <w:left w:w="0" w:type="dxa"/>
                    <w:bottom w:w="0" w:type="dxa"/>
                    <w:right w:w="0" w:type="dxa"/>
                  </w:tcMar>
                  <w:vAlign w:val="center"/>
                </w:tcPr>
                <w:p w14:paraId="4FF24C6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-22.3</w:t>
                  </w:r>
                </w:p>
              </w:tc>
              <w:tc>
                <w:tcPr>
                  <w:tcW w:w="120" w:type="pct"/>
                  <w:tcBorders>
                    <w:tl2br w:val="nil"/>
                    <w:tr2bl w:val="nil"/>
                  </w:tcBorders>
                  <w:shd w:val="clear" w:color="auto" w:fill="auto"/>
                  <w:tcMar>
                    <w:top w:w="0" w:type="dxa"/>
                    <w:left w:w="0" w:type="dxa"/>
                    <w:bottom w:w="0" w:type="dxa"/>
                    <w:right w:w="0" w:type="dxa"/>
                  </w:tcMar>
                  <w:vAlign w:val="center"/>
                </w:tcPr>
                <w:p w14:paraId="298CAF7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6A15E6B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100.6</w:t>
                  </w:r>
                </w:p>
              </w:tc>
              <w:tc>
                <w:tcPr>
                  <w:tcW w:w="211" w:type="pct"/>
                  <w:tcBorders>
                    <w:tl2br w:val="nil"/>
                    <w:tr2bl w:val="nil"/>
                  </w:tcBorders>
                  <w:shd w:val="clear" w:color="auto" w:fill="auto"/>
                  <w:tcMar>
                    <w:top w:w="0" w:type="dxa"/>
                    <w:left w:w="0" w:type="dxa"/>
                    <w:bottom w:w="0" w:type="dxa"/>
                    <w:right w:w="0" w:type="dxa"/>
                  </w:tcMar>
                  <w:vAlign w:val="center"/>
                </w:tcPr>
                <w:p w14:paraId="213AB73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232.9</w:t>
                  </w:r>
                </w:p>
              </w:tc>
              <w:tc>
                <w:tcPr>
                  <w:tcW w:w="211" w:type="pct"/>
                  <w:tcBorders>
                    <w:tl2br w:val="nil"/>
                    <w:tr2bl w:val="nil"/>
                  </w:tcBorders>
                  <w:shd w:val="clear" w:color="auto" w:fill="auto"/>
                  <w:tcMar>
                    <w:top w:w="0" w:type="dxa"/>
                    <w:left w:w="0" w:type="dxa"/>
                    <w:bottom w:w="0" w:type="dxa"/>
                    <w:right w:w="0" w:type="dxa"/>
                  </w:tcMar>
                  <w:vAlign w:val="center"/>
                </w:tcPr>
                <w:p w14:paraId="44DEE32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159.3</w:t>
                  </w:r>
                </w:p>
              </w:tc>
              <w:tc>
                <w:tcPr>
                  <w:tcW w:w="211" w:type="pct"/>
                  <w:tcBorders>
                    <w:tl2br w:val="nil"/>
                    <w:tr2bl w:val="nil"/>
                  </w:tcBorders>
                  <w:shd w:val="clear" w:color="auto" w:fill="auto"/>
                  <w:tcMar>
                    <w:top w:w="0" w:type="dxa"/>
                    <w:left w:w="0" w:type="dxa"/>
                    <w:bottom w:w="0" w:type="dxa"/>
                    <w:right w:w="0" w:type="dxa"/>
                  </w:tcMar>
                  <w:vAlign w:val="center"/>
                </w:tcPr>
                <w:p w14:paraId="0DCFD23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208.8</w:t>
                  </w:r>
                </w:p>
              </w:tc>
              <w:tc>
                <w:tcPr>
                  <w:tcW w:w="166" w:type="pct"/>
                  <w:tcBorders>
                    <w:tl2br w:val="nil"/>
                    <w:tr2bl w:val="nil"/>
                  </w:tcBorders>
                  <w:shd w:val="clear" w:color="auto" w:fill="auto"/>
                  <w:tcMar>
                    <w:top w:w="0" w:type="dxa"/>
                    <w:left w:w="0" w:type="dxa"/>
                    <w:bottom w:w="0" w:type="dxa"/>
                    <w:right w:w="0" w:type="dxa"/>
                  </w:tcMar>
                  <w:vAlign w:val="center"/>
                </w:tcPr>
                <w:p w14:paraId="314AEC4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5024A28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27ACF35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19106D9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223" w:type="pct"/>
                  <w:tcBorders>
                    <w:tl2br w:val="nil"/>
                    <w:tr2bl w:val="nil"/>
                  </w:tcBorders>
                  <w:shd w:val="clear" w:color="auto" w:fill="auto"/>
                  <w:tcMar>
                    <w:top w:w="0" w:type="dxa"/>
                    <w:left w:w="0" w:type="dxa"/>
                    <w:bottom w:w="0" w:type="dxa"/>
                    <w:right w:w="0" w:type="dxa"/>
                  </w:tcMar>
                  <w:vAlign w:val="center"/>
                </w:tcPr>
                <w:p w14:paraId="1341133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714A164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C3588B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E70001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D245D3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C85A80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63589E6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4B9FBE5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5843997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04" w:type="pct"/>
                  <w:tcBorders>
                    <w:tl2br w:val="nil"/>
                    <w:tr2bl w:val="nil"/>
                  </w:tcBorders>
                  <w:shd w:val="clear" w:color="auto" w:fill="auto"/>
                  <w:tcMar>
                    <w:top w:w="0" w:type="dxa"/>
                    <w:left w:w="0" w:type="dxa"/>
                    <w:bottom w:w="0" w:type="dxa"/>
                    <w:right w:w="0" w:type="dxa"/>
                  </w:tcMar>
                  <w:vAlign w:val="center"/>
                </w:tcPr>
                <w:p w14:paraId="7BB4B5B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1C0842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905B11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47</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A472569">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0D478B1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风机,4台（按点声源组预测）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42E25BF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90（等效后：96.0)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125EB32">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01F116F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47.2</w:t>
                  </w:r>
                </w:p>
              </w:tc>
              <w:tc>
                <w:tcPr>
                  <w:tcW w:w="242" w:type="pct"/>
                  <w:tcBorders>
                    <w:tl2br w:val="nil"/>
                    <w:tr2bl w:val="nil"/>
                  </w:tcBorders>
                  <w:shd w:val="clear" w:color="auto" w:fill="auto"/>
                  <w:tcMar>
                    <w:top w:w="0" w:type="dxa"/>
                    <w:left w:w="0" w:type="dxa"/>
                    <w:bottom w:w="0" w:type="dxa"/>
                    <w:right w:w="0" w:type="dxa"/>
                  </w:tcMar>
                  <w:vAlign w:val="center"/>
                </w:tcPr>
                <w:p w14:paraId="0BA1F37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-22.1</w:t>
                  </w:r>
                </w:p>
              </w:tc>
              <w:tc>
                <w:tcPr>
                  <w:tcW w:w="120" w:type="pct"/>
                  <w:tcBorders>
                    <w:tl2br w:val="nil"/>
                    <w:tr2bl w:val="nil"/>
                  </w:tcBorders>
                  <w:shd w:val="clear" w:color="auto" w:fill="auto"/>
                  <w:tcMar>
                    <w:top w:w="0" w:type="dxa"/>
                    <w:left w:w="0" w:type="dxa"/>
                    <w:bottom w:w="0" w:type="dxa"/>
                    <w:right w:w="0" w:type="dxa"/>
                  </w:tcMar>
                  <w:vAlign w:val="center"/>
                </w:tcPr>
                <w:p w14:paraId="3F2DF1E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0BE21AA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100.6</w:t>
                  </w:r>
                </w:p>
              </w:tc>
              <w:tc>
                <w:tcPr>
                  <w:tcW w:w="211" w:type="pct"/>
                  <w:tcBorders>
                    <w:tl2br w:val="nil"/>
                    <w:tr2bl w:val="nil"/>
                  </w:tcBorders>
                  <w:shd w:val="clear" w:color="auto" w:fill="auto"/>
                  <w:tcMar>
                    <w:top w:w="0" w:type="dxa"/>
                    <w:left w:w="0" w:type="dxa"/>
                    <w:bottom w:w="0" w:type="dxa"/>
                    <w:right w:w="0" w:type="dxa"/>
                  </w:tcMar>
                  <w:vAlign w:val="center"/>
                </w:tcPr>
                <w:p w14:paraId="7BB3CB7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233.2</w:t>
                  </w:r>
                </w:p>
              </w:tc>
              <w:tc>
                <w:tcPr>
                  <w:tcW w:w="211" w:type="pct"/>
                  <w:tcBorders>
                    <w:tl2br w:val="nil"/>
                    <w:tr2bl w:val="nil"/>
                  </w:tcBorders>
                  <w:shd w:val="clear" w:color="auto" w:fill="auto"/>
                  <w:tcMar>
                    <w:top w:w="0" w:type="dxa"/>
                    <w:left w:w="0" w:type="dxa"/>
                    <w:bottom w:w="0" w:type="dxa"/>
                    <w:right w:w="0" w:type="dxa"/>
                  </w:tcMar>
                  <w:vAlign w:val="center"/>
                </w:tcPr>
                <w:p w14:paraId="76F8D29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159.5</w:t>
                  </w:r>
                </w:p>
              </w:tc>
              <w:tc>
                <w:tcPr>
                  <w:tcW w:w="211" w:type="pct"/>
                  <w:tcBorders>
                    <w:tl2br w:val="nil"/>
                    <w:tr2bl w:val="nil"/>
                  </w:tcBorders>
                  <w:shd w:val="clear" w:color="auto" w:fill="auto"/>
                  <w:tcMar>
                    <w:top w:w="0" w:type="dxa"/>
                    <w:left w:w="0" w:type="dxa"/>
                    <w:bottom w:w="0" w:type="dxa"/>
                    <w:right w:w="0" w:type="dxa"/>
                  </w:tcMar>
                  <w:vAlign w:val="center"/>
                </w:tcPr>
                <w:p w14:paraId="2B9436D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208.6</w:t>
                  </w:r>
                </w:p>
              </w:tc>
              <w:tc>
                <w:tcPr>
                  <w:tcW w:w="166" w:type="pct"/>
                  <w:tcBorders>
                    <w:tl2br w:val="nil"/>
                    <w:tr2bl w:val="nil"/>
                  </w:tcBorders>
                  <w:shd w:val="clear" w:color="auto" w:fill="auto"/>
                  <w:tcMar>
                    <w:top w:w="0" w:type="dxa"/>
                    <w:left w:w="0" w:type="dxa"/>
                    <w:bottom w:w="0" w:type="dxa"/>
                    <w:right w:w="0" w:type="dxa"/>
                  </w:tcMar>
                  <w:vAlign w:val="center"/>
                </w:tcPr>
                <w:p w14:paraId="4CA77DC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1FF61FA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00C546F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692681F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223" w:type="pct"/>
                  <w:tcBorders>
                    <w:tl2br w:val="nil"/>
                    <w:tr2bl w:val="nil"/>
                  </w:tcBorders>
                  <w:shd w:val="clear" w:color="auto" w:fill="auto"/>
                  <w:tcMar>
                    <w:top w:w="0" w:type="dxa"/>
                    <w:left w:w="0" w:type="dxa"/>
                    <w:bottom w:w="0" w:type="dxa"/>
                    <w:right w:w="0" w:type="dxa"/>
                  </w:tcMar>
                  <w:vAlign w:val="center"/>
                </w:tcPr>
                <w:p w14:paraId="32FEC35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39A9742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448CE8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4362CF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D503AF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5F4264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26309E3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08B45FE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78853A2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04" w:type="pct"/>
                  <w:tcBorders>
                    <w:tl2br w:val="nil"/>
                    <w:tr2bl w:val="nil"/>
                  </w:tcBorders>
                  <w:shd w:val="clear" w:color="auto" w:fill="auto"/>
                  <w:tcMar>
                    <w:top w:w="0" w:type="dxa"/>
                    <w:left w:w="0" w:type="dxa"/>
                    <w:bottom w:w="0" w:type="dxa"/>
                    <w:right w:w="0" w:type="dxa"/>
                  </w:tcMar>
                  <w:vAlign w:val="center"/>
                </w:tcPr>
                <w:p w14:paraId="3AFBB38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119D3F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391E3F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48</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BE46127">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106BBB8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二十辊轧机</w:t>
                  </w:r>
                </w:p>
              </w:tc>
              <w:tc>
                <w:tcPr>
                  <w:tcW w:w="264" w:type="pct"/>
                  <w:tcBorders>
                    <w:tl2br w:val="nil"/>
                    <w:tr2bl w:val="nil"/>
                  </w:tcBorders>
                  <w:shd w:val="clear" w:color="auto" w:fill="auto"/>
                  <w:tcMar>
                    <w:top w:w="0" w:type="dxa"/>
                    <w:left w:w="0" w:type="dxa"/>
                    <w:bottom w:w="0" w:type="dxa"/>
                    <w:right w:w="0" w:type="dxa"/>
                  </w:tcMar>
                  <w:vAlign w:val="center"/>
                </w:tcPr>
                <w:p w14:paraId="70D70D2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3749724">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123ED90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49.2</w:t>
                  </w:r>
                </w:p>
              </w:tc>
              <w:tc>
                <w:tcPr>
                  <w:tcW w:w="242" w:type="pct"/>
                  <w:tcBorders>
                    <w:tl2br w:val="nil"/>
                    <w:tr2bl w:val="nil"/>
                  </w:tcBorders>
                  <w:shd w:val="clear" w:color="auto" w:fill="auto"/>
                  <w:tcMar>
                    <w:top w:w="0" w:type="dxa"/>
                    <w:left w:w="0" w:type="dxa"/>
                    <w:bottom w:w="0" w:type="dxa"/>
                    <w:right w:w="0" w:type="dxa"/>
                  </w:tcMar>
                  <w:vAlign w:val="center"/>
                </w:tcPr>
                <w:p w14:paraId="2A7474E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-17.9</w:t>
                  </w:r>
                </w:p>
              </w:tc>
              <w:tc>
                <w:tcPr>
                  <w:tcW w:w="120" w:type="pct"/>
                  <w:tcBorders>
                    <w:tl2br w:val="nil"/>
                    <w:tr2bl w:val="nil"/>
                  </w:tcBorders>
                  <w:shd w:val="clear" w:color="auto" w:fill="auto"/>
                  <w:tcMar>
                    <w:top w:w="0" w:type="dxa"/>
                    <w:left w:w="0" w:type="dxa"/>
                    <w:bottom w:w="0" w:type="dxa"/>
                    <w:right w:w="0" w:type="dxa"/>
                  </w:tcMar>
                  <w:vAlign w:val="center"/>
                </w:tcPr>
                <w:p w14:paraId="4735696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c>
                <w:tcPr>
                  <w:tcW w:w="211" w:type="pct"/>
                  <w:tcBorders>
                    <w:tl2br w:val="nil"/>
                    <w:tr2bl w:val="nil"/>
                  </w:tcBorders>
                  <w:shd w:val="clear" w:color="auto" w:fill="auto"/>
                  <w:tcMar>
                    <w:top w:w="0" w:type="dxa"/>
                    <w:left w:w="0" w:type="dxa"/>
                    <w:bottom w:w="0" w:type="dxa"/>
                    <w:right w:w="0" w:type="dxa"/>
                  </w:tcMar>
                  <w:vAlign w:val="center"/>
                </w:tcPr>
                <w:p w14:paraId="7CFA586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100.3</w:t>
                  </w:r>
                </w:p>
              </w:tc>
              <w:tc>
                <w:tcPr>
                  <w:tcW w:w="211" w:type="pct"/>
                  <w:tcBorders>
                    <w:tl2br w:val="nil"/>
                    <w:tr2bl w:val="nil"/>
                  </w:tcBorders>
                  <w:shd w:val="clear" w:color="auto" w:fill="auto"/>
                  <w:tcMar>
                    <w:top w:w="0" w:type="dxa"/>
                    <w:left w:w="0" w:type="dxa"/>
                    <w:bottom w:w="0" w:type="dxa"/>
                    <w:right w:w="0" w:type="dxa"/>
                  </w:tcMar>
                  <w:vAlign w:val="center"/>
                </w:tcPr>
                <w:p w14:paraId="79C2EAA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237.8</w:t>
                  </w:r>
                </w:p>
              </w:tc>
              <w:tc>
                <w:tcPr>
                  <w:tcW w:w="211" w:type="pct"/>
                  <w:tcBorders>
                    <w:tl2br w:val="nil"/>
                    <w:tr2bl w:val="nil"/>
                  </w:tcBorders>
                  <w:shd w:val="clear" w:color="auto" w:fill="auto"/>
                  <w:tcMar>
                    <w:top w:w="0" w:type="dxa"/>
                    <w:left w:w="0" w:type="dxa"/>
                    <w:bottom w:w="0" w:type="dxa"/>
                    <w:right w:w="0" w:type="dxa"/>
                  </w:tcMar>
                  <w:vAlign w:val="center"/>
                </w:tcPr>
                <w:p w14:paraId="212CB3C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164.2</w:t>
                  </w:r>
                </w:p>
              </w:tc>
              <w:tc>
                <w:tcPr>
                  <w:tcW w:w="211" w:type="pct"/>
                  <w:tcBorders>
                    <w:tl2br w:val="nil"/>
                    <w:tr2bl w:val="nil"/>
                  </w:tcBorders>
                  <w:shd w:val="clear" w:color="auto" w:fill="auto"/>
                  <w:tcMar>
                    <w:top w:w="0" w:type="dxa"/>
                    <w:left w:w="0" w:type="dxa"/>
                    <w:bottom w:w="0" w:type="dxa"/>
                    <w:right w:w="0" w:type="dxa"/>
                  </w:tcMar>
                  <w:vAlign w:val="center"/>
                </w:tcPr>
                <w:p w14:paraId="2ED9D4A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203.9</w:t>
                  </w:r>
                </w:p>
              </w:tc>
              <w:tc>
                <w:tcPr>
                  <w:tcW w:w="166" w:type="pct"/>
                  <w:tcBorders>
                    <w:tl2br w:val="nil"/>
                    <w:tr2bl w:val="nil"/>
                  </w:tcBorders>
                  <w:shd w:val="clear" w:color="auto" w:fill="auto"/>
                  <w:tcMar>
                    <w:top w:w="0" w:type="dxa"/>
                    <w:left w:w="0" w:type="dxa"/>
                    <w:bottom w:w="0" w:type="dxa"/>
                    <w:right w:w="0" w:type="dxa"/>
                  </w:tcMar>
                  <w:vAlign w:val="center"/>
                </w:tcPr>
                <w:p w14:paraId="7148812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6D62EA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4D2EC4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18252E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0C05E5B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48B4BE5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1CFFA3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F4C39A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390889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631D9E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D11A02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50364F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5C3A39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384C884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3A063D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55784C2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49</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5B5AFB3">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7605FE4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风机,4台（按点声源组预测）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6B71E50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90（等效后：96.0)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29EE753">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0B06BE6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51.5</w:t>
                  </w:r>
                </w:p>
              </w:tc>
              <w:tc>
                <w:tcPr>
                  <w:tcW w:w="242" w:type="pct"/>
                  <w:tcBorders>
                    <w:tl2br w:val="nil"/>
                    <w:tr2bl w:val="nil"/>
                  </w:tcBorders>
                  <w:shd w:val="clear" w:color="auto" w:fill="auto"/>
                  <w:tcMar>
                    <w:top w:w="0" w:type="dxa"/>
                    <w:left w:w="0" w:type="dxa"/>
                    <w:bottom w:w="0" w:type="dxa"/>
                    <w:right w:w="0" w:type="dxa"/>
                  </w:tcMar>
                  <w:vAlign w:val="center"/>
                </w:tcPr>
                <w:p w14:paraId="5D7EFC9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-12.8</w:t>
                  </w:r>
                </w:p>
              </w:tc>
              <w:tc>
                <w:tcPr>
                  <w:tcW w:w="120" w:type="pct"/>
                  <w:tcBorders>
                    <w:tl2br w:val="nil"/>
                    <w:tr2bl w:val="nil"/>
                  </w:tcBorders>
                  <w:shd w:val="clear" w:color="auto" w:fill="auto"/>
                  <w:tcMar>
                    <w:top w:w="0" w:type="dxa"/>
                    <w:left w:w="0" w:type="dxa"/>
                    <w:bottom w:w="0" w:type="dxa"/>
                    <w:right w:w="0" w:type="dxa"/>
                  </w:tcMar>
                  <w:vAlign w:val="center"/>
                </w:tcPr>
                <w:p w14:paraId="7E05AED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20F1FC5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100.0</w:t>
                  </w:r>
                </w:p>
              </w:tc>
              <w:tc>
                <w:tcPr>
                  <w:tcW w:w="211" w:type="pct"/>
                  <w:tcBorders>
                    <w:tl2br w:val="nil"/>
                    <w:tr2bl w:val="nil"/>
                  </w:tcBorders>
                  <w:shd w:val="clear" w:color="auto" w:fill="auto"/>
                  <w:tcMar>
                    <w:top w:w="0" w:type="dxa"/>
                    <w:left w:w="0" w:type="dxa"/>
                    <w:bottom w:w="0" w:type="dxa"/>
                    <w:right w:w="0" w:type="dxa"/>
                  </w:tcMar>
                  <w:vAlign w:val="center"/>
                </w:tcPr>
                <w:p w14:paraId="37DE20F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243.4</w:t>
                  </w:r>
                </w:p>
              </w:tc>
              <w:tc>
                <w:tcPr>
                  <w:tcW w:w="211" w:type="pct"/>
                  <w:tcBorders>
                    <w:tl2br w:val="nil"/>
                    <w:tr2bl w:val="nil"/>
                  </w:tcBorders>
                  <w:shd w:val="clear" w:color="auto" w:fill="auto"/>
                  <w:tcMar>
                    <w:top w:w="0" w:type="dxa"/>
                    <w:left w:w="0" w:type="dxa"/>
                    <w:bottom w:w="0" w:type="dxa"/>
                    <w:right w:w="0" w:type="dxa"/>
                  </w:tcMar>
                  <w:vAlign w:val="center"/>
                </w:tcPr>
                <w:p w14:paraId="6200832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169.8</w:t>
                  </w:r>
                </w:p>
              </w:tc>
              <w:tc>
                <w:tcPr>
                  <w:tcW w:w="211" w:type="pct"/>
                  <w:tcBorders>
                    <w:tl2br w:val="nil"/>
                    <w:tr2bl w:val="nil"/>
                  </w:tcBorders>
                  <w:shd w:val="clear" w:color="auto" w:fill="auto"/>
                  <w:tcMar>
                    <w:top w:w="0" w:type="dxa"/>
                    <w:left w:w="0" w:type="dxa"/>
                    <w:bottom w:w="0" w:type="dxa"/>
                    <w:right w:w="0" w:type="dxa"/>
                  </w:tcMar>
                  <w:vAlign w:val="center"/>
                </w:tcPr>
                <w:p w14:paraId="61C266D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198.3</w:t>
                  </w:r>
                </w:p>
              </w:tc>
              <w:tc>
                <w:tcPr>
                  <w:tcW w:w="166" w:type="pct"/>
                  <w:tcBorders>
                    <w:tl2br w:val="nil"/>
                    <w:tr2bl w:val="nil"/>
                  </w:tcBorders>
                  <w:shd w:val="clear" w:color="auto" w:fill="auto"/>
                  <w:tcMar>
                    <w:top w:w="0" w:type="dxa"/>
                    <w:left w:w="0" w:type="dxa"/>
                    <w:bottom w:w="0" w:type="dxa"/>
                    <w:right w:w="0" w:type="dxa"/>
                  </w:tcMar>
                  <w:vAlign w:val="center"/>
                </w:tcPr>
                <w:p w14:paraId="649DD1B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56A089F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1995A16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2DA5AA9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223" w:type="pct"/>
                  <w:tcBorders>
                    <w:tl2br w:val="nil"/>
                    <w:tr2bl w:val="nil"/>
                  </w:tcBorders>
                  <w:shd w:val="clear" w:color="auto" w:fill="auto"/>
                  <w:tcMar>
                    <w:top w:w="0" w:type="dxa"/>
                    <w:left w:w="0" w:type="dxa"/>
                    <w:bottom w:w="0" w:type="dxa"/>
                    <w:right w:w="0" w:type="dxa"/>
                  </w:tcMar>
                  <w:vAlign w:val="center"/>
                </w:tcPr>
                <w:p w14:paraId="64399C7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46CCF5F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626D77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1EFB5A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E05FDA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454E20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70A060C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1AF585A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07C252C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04" w:type="pct"/>
                  <w:tcBorders>
                    <w:tl2br w:val="nil"/>
                    <w:tr2bl w:val="nil"/>
                  </w:tcBorders>
                  <w:shd w:val="clear" w:color="auto" w:fill="auto"/>
                  <w:tcMar>
                    <w:top w:w="0" w:type="dxa"/>
                    <w:left w:w="0" w:type="dxa"/>
                    <w:bottom w:w="0" w:type="dxa"/>
                    <w:right w:w="0" w:type="dxa"/>
                  </w:tcMar>
                  <w:vAlign w:val="center"/>
                </w:tcPr>
                <w:p w14:paraId="753C5B8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6FE026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3CB018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04B1A0C">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7449515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机后卷取机</w:t>
                  </w:r>
                </w:p>
              </w:tc>
              <w:tc>
                <w:tcPr>
                  <w:tcW w:w="264" w:type="pct"/>
                  <w:tcBorders>
                    <w:tl2br w:val="nil"/>
                    <w:tr2bl w:val="nil"/>
                  </w:tcBorders>
                  <w:shd w:val="clear" w:color="auto" w:fill="auto"/>
                  <w:tcMar>
                    <w:top w:w="0" w:type="dxa"/>
                    <w:left w:w="0" w:type="dxa"/>
                    <w:bottom w:w="0" w:type="dxa"/>
                    <w:right w:w="0" w:type="dxa"/>
                  </w:tcMar>
                  <w:vAlign w:val="center"/>
                </w:tcPr>
                <w:p w14:paraId="25430F2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403D381">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14BFFAB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53.1</w:t>
                  </w:r>
                </w:p>
              </w:tc>
              <w:tc>
                <w:tcPr>
                  <w:tcW w:w="242" w:type="pct"/>
                  <w:tcBorders>
                    <w:tl2br w:val="nil"/>
                    <w:tr2bl w:val="nil"/>
                  </w:tcBorders>
                  <w:shd w:val="clear" w:color="auto" w:fill="auto"/>
                  <w:tcMar>
                    <w:top w:w="0" w:type="dxa"/>
                    <w:left w:w="0" w:type="dxa"/>
                    <w:bottom w:w="0" w:type="dxa"/>
                    <w:right w:w="0" w:type="dxa"/>
                  </w:tcMar>
                  <w:vAlign w:val="center"/>
                </w:tcPr>
                <w:p w14:paraId="7DB2490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-7.9</w:t>
                  </w:r>
                </w:p>
              </w:tc>
              <w:tc>
                <w:tcPr>
                  <w:tcW w:w="120" w:type="pct"/>
                  <w:tcBorders>
                    <w:tl2br w:val="nil"/>
                    <w:tr2bl w:val="nil"/>
                  </w:tcBorders>
                  <w:shd w:val="clear" w:color="auto" w:fill="auto"/>
                  <w:tcMar>
                    <w:top w:w="0" w:type="dxa"/>
                    <w:left w:w="0" w:type="dxa"/>
                    <w:bottom w:w="0" w:type="dxa"/>
                    <w:right w:w="0" w:type="dxa"/>
                  </w:tcMar>
                  <w:vAlign w:val="center"/>
                </w:tcPr>
                <w:p w14:paraId="3FC4C0D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7A648AE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100.3</w:t>
                  </w:r>
                </w:p>
              </w:tc>
              <w:tc>
                <w:tcPr>
                  <w:tcW w:w="211" w:type="pct"/>
                  <w:tcBorders>
                    <w:tl2br w:val="nil"/>
                    <w:tr2bl w:val="nil"/>
                  </w:tcBorders>
                  <w:shd w:val="clear" w:color="auto" w:fill="auto"/>
                  <w:tcMar>
                    <w:top w:w="0" w:type="dxa"/>
                    <w:left w:w="0" w:type="dxa"/>
                    <w:bottom w:w="0" w:type="dxa"/>
                    <w:right w:w="0" w:type="dxa"/>
                  </w:tcMar>
                  <w:vAlign w:val="center"/>
                </w:tcPr>
                <w:p w14:paraId="6A3FFEF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248.5</w:t>
                  </w:r>
                </w:p>
              </w:tc>
              <w:tc>
                <w:tcPr>
                  <w:tcW w:w="211" w:type="pct"/>
                  <w:tcBorders>
                    <w:tl2br w:val="nil"/>
                    <w:tr2bl w:val="nil"/>
                  </w:tcBorders>
                  <w:shd w:val="clear" w:color="auto" w:fill="auto"/>
                  <w:tcMar>
                    <w:top w:w="0" w:type="dxa"/>
                    <w:left w:w="0" w:type="dxa"/>
                    <w:bottom w:w="0" w:type="dxa"/>
                    <w:right w:w="0" w:type="dxa"/>
                  </w:tcMar>
                  <w:vAlign w:val="center"/>
                </w:tcPr>
                <w:p w14:paraId="61C8A10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174.9</w:t>
                  </w:r>
                </w:p>
              </w:tc>
              <w:tc>
                <w:tcPr>
                  <w:tcW w:w="211" w:type="pct"/>
                  <w:tcBorders>
                    <w:tl2br w:val="nil"/>
                    <w:tr2bl w:val="nil"/>
                  </w:tcBorders>
                  <w:shd w:val="clear" w:color="auto" w:fill="auto"/>
                  <w:tcMar>
                    <w:top w:w="0" w:type="dxa"/>
                    <w:left w:w="0" w:type="dxa"/>
                    <w:bottom w:w="0" w:type="dxa"/>
                    <w:right w:w="0" w:type="dxa"/>
                  </w:tcMar>
                  <w:vAlign w:val="center"/>
                </w:tcPr>
                <w:p w14:paraId="4BB1B5D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193.2</w:t>
                  </w:r>
                </w:p>
              </w:tc>
              <w:tc>
                <w:tcPr>
                  <w:tcW w:w="166" w:type="pct"/>
                  <w:tcBorders>
                    <w:tl2br w:val="nil"/>
                    <w:tr2bl w:val="nil"/>
                  </w:tcBorders>
                  <w:shd w:val="clear" w:color="auto" w:fill="auto"/>
                  <w:tcMar>
                    <w:top w:w="0" w:type="dxa"/>
                    <w:left w:w="0" w:type="dxa"/>
                    <w:bottom w:w="0" w:type="dxa"/>
                    <w:right w:w="0" w:type="dxa"/>
                  </w:tcMar>
                  <w:vAlign w:val="center"/>
                </w:tcPr>
                <w:p w14:paraId="0F630D7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3C95C1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F12060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2762BF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1523071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4BDFB60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D77C93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1DBA1A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87BFAA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F1CBC3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FE357C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1C673F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D7231D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6359BE3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3FA504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BF5BDD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51</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CE4D496">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061EA26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风机,4台（按点声源组预测）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43E8AD8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90（等效后：96.0)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CFFD5E1">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107B47C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53.3</w:t>
                  </w:r>
                </w:p>
              </w:tc>
              <w:tc>
                <w:tcPr>
                  <w:tcW w:w="242" w:type="pct"/>
                  <w:tcBorders>
                    <w:tl2br w:val="nil"/>
                    <w:tr2bl w:val="nil"/>
                  </w:tcBorders>
                  <w:shd w:val="clear" w:color="auto" w:fill="auto"/>
                  <w:tcMar>
                    <w:top w:w="0" w:type="dxa"/>
                    <w:left w:w="0" w:type="dxa"/>
                    <w:bottom w:w="0" w:type="dxa"/>
                    <w:right w:w="0" w:type="dxa"/>
                  </w:tcMar>
                  <w:vAlign w:val="center"/>
                </w:tcPr>
                <w:p w14:paraId="6720078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-4.8</w:t>
                  </w:r>
                </w:p>
              </w:tc>
              <w:tc>
                <w:tcPr>
                  <w:tcW w:w="120" w:type="pct"/>
                  <w:tcBorders>
                    <w:tl2br w:val="nil"/>
                    <w:tr2bl w:val="nil"/>
                  </w:tcBorders>
                  <w:shd w:val="clear" w:color="auto" w:fill="auto"/>
                  <w:tcMar>
                    <w:top w:w="0" w:type="dxa"/>
                    <w:left w:w="0" w:type="dxa"/>
                    <w:bottom w:w="0" w:type="dxa"/>
                    <w:right w:w="0" w:type="dxa"/>
                  </w:tcMar>
                  <w:vAlign w:val="center"/>
                </w:tcPr>
                <w:p w14:paraId="0691CD7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419EC15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101.3</w:t>
                  </w:r>
                </w:p>
              </w:tc>
              <w:tc>
                <w:tcPr>
                  <w:tcW w:w="211" w:type="pct"/>
                  <w:tcBorders>
                    <w:tl2br w:val="nil"/>
                    <w:tr2bl w:val="nil"/>
                  </w:tcBorders>
                  <w:shd w:val="clear" w:color="auto" w:fill="auto"/>
                  <w:tcMar>
                    <w:top w:w="0" w:type="dxa"/>
                    <w:left w:w="0" w:type="dxa"/>
                    <w:bottom w:w="0" w:type="dxa"/>
                    <w:right w:w="0" w:type="dxa"/>
                  </w:tcMar>
                  <w:vAlign w:val="center"/>
                </w:tcPr>
                <w:p w14:paraId="2456D9C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251.5</w:t>
                  </w:r>
                </w:p>
              </w:tc>
              <w:tc>
                <w:tcPr>
                  <w:tcW w:w="211" w:type="pct"/>
                  <w:tcBorders>
                    <w:tl2br w:val="nil"/>
                    <w:tr2bl w:val="nil"/>
                  </w:tcBorders>
                  <w:shd w:val="clear" w:color="auto" w:fill="auto"/>
                  <w:tcMar>
                    <w:top w:w="0" w:type="dxa"/>
                    <w:left w:w="0" w:type="dxa"/>
                    <w:bottom w:w="0" w:type="dxa"/>
                    <w:right w:w="0" w:type="dxa"/>
                  </w:tcMar>
                  <w:vAlign w:val="center"/>
                </w:tcPr>
                <w:p w14:paraId="3AAB157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177.8</w:t>
                  </w:r>
                </w:p>
              </w:tc>
              <w:tc>
                <w:tcPr>
                  <w:tcW w:w="211" w:type="pct"/>
                  <w:tcBorders>
                    <w:tl2br w:val="nil"/>
                    <w:tr2bl w:val="nil"/>
                  </w:tcBorders>
                  <w:shd w:val="clear" w:color="auto" w:fill="auto"/>
                  <w:tcMar>
                    <w:top w:w="0" w:type="dxa"/>
                    <w:left w:w="0" w:type="dxa"/>
                    <w:bottom w:w="0" w:type="dxa"/>
                    <w:right w:w="0" w:type="dxa"/>
                  </w:tcMar>
                  <w:vAlign w:val="center"/>
                </w:tcPr>
                <w:p w14:paraId="51174BD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190.3</w:t>
                  </w:r>
                </w:p>
              </w:tc>
              <w:tc>
                <w:tcPr>
                  <w:tcW w:w="166" w:type="pct"/>
                  <w:tcBorders>
                    <w:tl2br w:val="nil"/>
                    <w:tr2bl w:val="nil"/>
                  </w:tcBorders>
                  <w:shd w:val="clear" w:color="auto" w:fill="auto"/>
                  <w:tcMar>
                    <w:top w:w="0" w:type="dxa"/>
                    <w:left w:w="0" w:type="dxa"/>
                    <w:bottom w:w="0" w:type="dxa"/>
                    <w:right w:w="0" w:type="dxa"/>
                  </w:tcMar>
                  <w:vAlign w:val="center"/>
                </w:tcPr>
                <w:p w14:paraId="45E1A6B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12A38DF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6A32149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4E16B92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223" w:type="pct"/>
                  <w:tcBorders>
                    <w:tl2br w:val="nil"/>
                    <w:tr2bl w:val="nil"/>
                  </w:tcBorders>
                  <w:shd w:val="clear" w:color="auto" w:fill="auto"/>
                  <w:tcMar>
                    <w:top w:w="0" w:type="dxa"/>
                    <w:left w:w="0" w:type="dxa"/>
                    <w:bottom w:w="0" w:type="dxa"/>
                    <w:right w:w="0" w:type="dxa"/>
                  </w:tcMar>
                  <w:vAlign w:val="center"/>
                </w:tcPr>
                <w:p w14:paraId="581DED8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3F381A0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BAA491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F764FB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D7F44D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B15636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79119DF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58672B4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495945D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04" w:type="pct"/>
                  <w:tcBorders>
                    <w:tl2br w:val="nil"/>
                    <w:tr2bl w:val="nil"/>
                  </w:tcBorders>
                  <w:shd w:val="clear" w:color="auto" w:fill="auto"/>
                  <w:tcMar>
                    <w:top w:w="0" w:type="dxa"/>
                    <w:left w:w="0" w:type="dxa"/>
                    <w:bottom w:w="0" w:type="dxa"/>
                    <w:right w:w="0" w:type="dxa"/>
                  </w:tcMar>
                  <w:vAlign w:val="center"/>
                </w:tcPr>
                <w:p w14:paraId="42690EF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52F7C7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39A2BF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FD8E4CB">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29382D2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稀油站主泵</w:t>
                  </w:r>
                </w:p>
              </w:tc>
              <w:tc>
                <w:tcPr>
                  <w:tcW w:w="264" w:type="pct"/>
                  <w:tcBorders>
                    <w:tl2br w:val="nil"/>
                    <w:tr2bl w:val="nil"/>
                  </w:tcBorders>
                  <w:shd w:val="clear" w:color="auto" w:fill="auto"/>
                  <w:tcMar>
                    <w:top w:w="0" w:type="dxa"/>
                    <w:left w:w="0" w:type="dxa"/>
                    <w:bottom w:w="0" w:type="dxa"/>
                    <w:right w:w="0" w:type="dxa"/>
                  </w:tcMar>
                  <w:vAlign w:val="center"/>
                </w:tcPr>
                <w:p w14:paraId="694BF2E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33C6F39">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7C3E106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56</w:t>
                  </w:r>
                </w:p>
              </w:tc>
              <w:tc>
                <w:tcPr>
                  <w:tcW w:w="242" w:type="pct"/>
                  <w:tcBorders>
                    <w:tl2br w:val="nil"/>
                    <w:tr2bl w:val="nil"/>
                  </w:tcBorders>
                  <w:shd w:val="clear" w:color="auto" w:fill="auto"/>
                  <w:tcMar>
                    <w:top w:w="0" w:type="dxa"/>
                    <w:left w:w="0" w:type="dxa"/>
                    <w:bottom w:w="0" w:type="dxa"/>
                    <w:right w:w="0" w:type="dxa"/>
                  </w:tcMar>
                  <w:vAlign w:val="center"/>
                </w:tcPr>
                <w:p w14:paraId="39251C4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-5.3</w:t>
                  </w:r>
                </w:p>
              </w:tc>
              <w:tc>
                <w:tcPr>
                  <w:tcW w:w="120" w:type="pct"/>
                  <w:tcBorders>
                    <w:tl2br w:val="nil"/>
                    <w:tr2bl w:val="nil"/>
                  </w:tcBorders>
                  <w:shd w:val="clear" w:color="auto" w:fill="auto"/>
                  <w:tcMar>
                    <w:top w:w="0" w:type="dxa"/>
                    <w:left w:w="0" w:type="dxa"/>
                    <w:bottom w:w="0" w:type="dxa"/>
                    <w:right w:w="0" w:type="dxa"/>
                  </w:tcMar>
                  <w:vAlign w:val="center"/>
                </w:tcPr>
                <w:p w14:paraId="7AB898A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10ECEF6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98.6</w:t>
                  </w:r>
                </w:p>
              </w:tc>
              <w:tc>
                <w:tcPr>
                  <w:tcW w:w="211" w:type="pct"/>
                  <w:tcBorders>
                    <w:tl2br w:val="nil"/>
                    <w:tr2bl w:val="nil"/>
                  </w:tcBorders>
                  <w:shd w:val="clear" w:color="auto" w:fill="auto"/>
                  <w:tcMar>
                    <w:top w:w="0" w:type="dxa"/>
                    <w:left w:w="0" w:type="dxa"/>
                    <w:bottom w:w="0" w:type="dxa"/>
                    <w:right w:w="0" w:type="dxa"/>
                  </w:tcMar>
                  <w:vAlign w:val="center"/>
                </w:tcPr>
                <w:p w14:paraId="22E5C3C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252.1</w:t>
                  </w:r>
                </w:p>
              </w:tc>
              <w:tc>
                <w:tcPr>
                  <w:tcW w:w="211" w:type="pct"/>
                  <w:tcBorders>
                    <w:tl2br w:val="nil"/>
                    <w:tr2bl w:val="nil"/>
                  </w:tcBorders>
                  <w:shd w:val="clear" w:color="auto" w:fill="auto"/>
                  <w:tcMar>
                    <w:top w:w="0" w:type="dxa"/>
                    <w:left w:w="0" w:type="dxa"/>
                    <w:bottom w:w="0" w:type="dxa"/>
                    <w:right w:w="0" w:type="dxa"/>
                  </w:tcMar>
                  <w:vAlign w:val="center"/>
                </w:tcPr>
                <w:p w14:paraId="2FFB2C9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178.5</w:t>
                  </w:r>
                </w:p>
              </w:tc>
              <w:tc>
                <w:tcPr>
                  <w:tcW w:w="211" w:type="pct"/>
                  <w:tcBorders>
                    <w:tl2br w:val="nil"/>
                    <w:tr2bl w:val="nil"/>
                  </w:tcBorders>
                  <w:shd w:val="clear" w:color="auto" w:fill="auto"/>
                  <w:tcMar>
                    <w:top w:w="0" w:type="dxa"/>
                    <w:left w:w="0" w:type="dxa"/>
                    <w:bottom w:w="0" w:type="dxa"/>
                    <w:right w:w="0" w:type="dxa"/>
                  </w:tcMar>
                  <w:vAlign w:val="center"/>
                </w:tcPr>
                <w:p w14:paraId="4CC3B77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189.6</w:t>
                  </w:r>
                </w:p>
              </w:tc>
              <w:tc>
                <w:tcPr>
                  <w:tcW w:w="166" w:type="pct"/>
                  <w:tcBorders>
                    <w:tl2br w:val="nil"/>
                    <w:tr2bl w:val="nil"/>
                  </w:tcBorders>
                  <w:shd w:val="clear" w:color="auto" w:fill="auto"/>
                  <w:tcMar>
                    <w:top w:w="0" w:type="dxa"/>
                    <w:left w:w="0" w:type="dxa"/>
                    <w:bottom w:w="0" w:type="dxa"/>
                    <w:right w:w="0" w:type="dxa"/>
                  </w:tcMar>
                  <w:vAlign w:val="center"/>
                </w:tcPr>
                <w:p w14:paraId="63121F6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1AA4ED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463B46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C2D30B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5604DF5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1E15C70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9B91C6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275675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2632EA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5DD943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9D5374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FF202F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30A617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222B21B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2D5A79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41BA8E7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53</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7E9FCEA">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59A125A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稀油站 主泵</w:t>
                  </w:r>
                </w:p>
              </w:tc>
              <w:tc>
                <w:tcPr>
                  <w:tcW w:w="264" w:type="pct"/>
                  <w:tcBorders>
                    <w:tl2br w:val="nil"/>
                    <w:tr2bl w:val="nil"/>
                  </w:tcBorders>
                  <w:shd w:val="clear" w:color="auto" w:fill="auto"/>
                  <w:tcMar>
                    <w:top w:w="0" w:type="dxa"/>
                    <w:left w:w="0" w:type="dxa"/>
                    <w:bottom w:w="0" w:type="dxa"/>
                    <w:right w:w="0" w:type="dxa"/>
                  </w:tcMar>
                  <w:vAlign w:val="center"/>
                </w:tcPr>
                <w:p w14:paraId="18EE93D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640B511">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98786F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56.4</w:t>
                  </w:r>
                </w:p>
              </w:tc>
              <w:tc>
                <w:tcPr>
                  <w:tcW w:w="242" w:type="pct"/>
                  <w:tcBorders>
                    <w:tl2br w:val="nil"/>
                    <w:tr2bl w:val="nil"/>
                  </w:tcBorders>
                  <w:shd w:val="clear" w:color="auto" w:fill="auto"/>
                  <w:tcMar>
                    <w:top w:w="0" w:type="dxa"/>
                    <w:left w:w="0" w:type="dxa"/>
                    <w:bottom w:w="0" w:type="dxa"/>
                    <w:right w:w="0" w:type="dxa"/>
                  </w:tcMar>
                  <w:vAlign w:val="center"/>
                </w:tcPr>
                <w:p w14:paraId="5FD03E1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-5.3</w:t>
                  </w:r>
                </w:p>
              </w:tc>
              <w:tc>
                <w:tcPr>
                  <w:tcW w:w="120" w:type="pct"/>
                  <w:tcBorders>
                    <w:tl2br w:val="nil"/>
                    <w:tr2bl w:val="nil"/>
                  </w:tcBorders>
                  <w:shd w:val="clear" w:color="auto" w:fill="auto"/>
                  <w:tcMar>
                    <w:top w:w="0" w:type="dxa"/>
                    <w:left w:w="0" w:type="dxa"/>
                    <w:bottom w:w="0" w:type="dxa"/>
                    <w:right w:w="0" w:type="dxa"/>
                  </w:tcMar>
                  <w:vAlign w:val="center"/>
                </w:tcPr>
                <w:p w14:paraId="53DB01E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5F146B4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98.2</w:t>
                  </w:r>
                </w:p>
              </w:tc>
              <w:tc>
                <w:tcPr>
                  <w:tcW w:w="211" w:type="pct"/>
                  <w:tcBorders>
                    <w:tl2br w:val="nil"/>
                    <w:tr2bl w:val="nil"/>
                  </w:tcBorders>
                  <w:shd w:val="clear" w:color="auto" w:fill="auto"/>
                  <w:tcMar>
                    <w:top w:w="0" w:type="dxa"/>
                    <w:left w:w="0" w:type="dxa"/>
                    <w:bottom w:w="0" w:type="dxa"/>
                    <w:right w:w="0" w:type="dxa"/>
                  </w:tcMar>
                  <w:vAlign w:val="center"/>
                </w:tcPr>
                <w:p w14:paraId="6B561FA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252.2</w:t>
                  </w:r>
                </w:p>
              </w:tc>
              <w:tc>
                <w:tcPr>
                  <w:tcW w:w="211" w:type="pct"/>
                  <w:tcBorders>
                    <w:tl2br w:val="nil"/>
                    <w:tr2bl w:val="nil"/>
                  </w:tcBorders>
                  <w:shd w:val="clear" w:color="auto" w:fill="auto"/>
                  <w:tcMar>
                    <w:top w:w="0" w:type="dxa"/>
                    <w:left w:w="0" w:type="dxa"/>
                    <w:bottom w:w="0" w:type="dxa"/>
                    <w:right w:w="0" w:type="dxa"/>
                  </w:tcMar>
                  <w:vAlign w:val="center"/>
                </w:tcPr>
                <w:p w14:paraId="0C75CC5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178.7</w:t>
                  </w:r>
                </w:p>
              </w:tc>
              <w:tc>
                <w:tcPr>
                  <w:tcW w:w="211" w:type="pct"/>
                  <w:tcBorders>
                    <w:tl2br w:val="nil"/>
                    <w:tr2bl w:val="nil"/>
                  </w:tcBorders>
                  <w:shd w:val="clear" w:color="auto" w:fill="auto"/>
                  <w:tcMar>
                    <w:top w:w="0" w:type="dxa"/>
                    <w:left w:w="0" w:type="dxa"/>
                    <w:bottom w:w="0" w:type="dxa"/>
                    <w:right w:w="0" w:type="dxa"/>
                  </w:tcMar>
                  <w:vAlign w:val="center"/>
                </w:tcPr>
                <w:p w14:paraId="66A8798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189.5</w:t>
                  </w:r>
                </w:p>
              </w:tc>
              <w:tc>
                <w:tcPr>
                  <w:tcW w:w="166" w:type="pct"/>
                  <w:tcBorders>
                    <w:tl2br w:val="nil"/>
                    <w:tr2bl w:val="nil"/>
                  </w:tcBorders>
                  <w:shd w:val="clear" w:color="auto" w:fill="auto"/>
                  <w:tcMar>
                    <w:top w:w="0" w:type="dxa"/>
                    <w:left w:w="0" w:type="dxa"/>
                    <w:bottom w:w="0" w:type="dxa"/>
                    <w:right w:w="0" w:type="dxa"/>
                  </w:tcMar>
                  <w:vAlign w:val="center"/>
                </w:tcPr>
                <w:p w14:paraId="76E8362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2132B0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A5243D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4D3CC1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75B4D26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66789FF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1380B2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766702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2E38B5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F143B1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53FC08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413985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DBD415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5CAEAF5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36E9EC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495B4A9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54</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5D68E7C">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2098DFB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工艺润滑系统泵,4台（按点声源组预测）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6E07057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90（等效后：96.0)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AE93428">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6706698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56.8</w:t>
                  </w:r>
                </w:p>
              </w:tc>
              <w:tc>
                <w:tcPr>
                  <w:tcW w:w="242" w:type="pct"/>
                  <w:tcBorders>
                    <w:tl2br w:val="nil"/>
                    <w:tr2bl w:val="nil"/>
                  </w:tcBorders>
                  <w:shd w:val="clear" w:color="auto" w:fill="auto"/>
                  <w:tcMar>
                    <w:top w:w="0" w:type="dxa"/>
                    <w:left w:w="0" w:type="dxa"/>
                    <w:bottom w:w="0" w:type="dxa"/>
                    <w:right w:w="0" w:type="dxa"/>
                  </w:tcMar>
                  <w:vAlign w:val="center"/>
                </w:tcPr>
                <w:p w14:paraId="3A1DA8A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-4.3</w:t>
                  </w:r>
                </w:p>
              </w:tc>
              <w:tc>
                <w:tcPr>
                  <w:tcW w:w="120" w:type="pct"/>
                  <w:tcBorders>
                    <w:tl2br w:val="nil"/>
                    <w:tr2bl w:val="nil"/>
                  </w:tcBorders>
                  <w:shd w:val="clear" w:color="auto" w:fill="auto"/>
                  <w:tcMar>
                    <w:top w:w="0" w:type="dxa"/>
                    <w:left w:w="0" w:type="dxa"/>
                    <w:bottom w:w="0" w:type="dxa"/>
                    <w:right w:w="0" w:type="dxa"/>
                  </w:tcMar>
                  <w:vAlign w:val="center"/>
                </w:tcPr>
                <w:p w14:paraId="4AC8F6B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7F1E2B7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98.2</w:t>
                  </w:r>
                </w:p>
              </w:tc>
              <w:tc>
                <w:tcPr>
                  <w:tcW w:w="211" w:type="pct"/>
                  <w:tcBorders>
                    <w:tl2br w:val="nil"/>
                    <w:tr2bl w:val="nil"/>
                  </w:tcBorders>
                  <w:shd w:val="clear" w:color="auto" w:fill="auto"/>
                  <w:tcMar>
                    <w:top w:w="0" w:type="dxa"/>
                    <w:left w:w="0" w:type="dxa"/>
                    <w:bottom w:w="0" w:type="dxa"/>
                    <w:right w:w="0" w:type="dxa"/>
                  </w:tcMar>
                  <w:vAlign w:val="center"/>
                </w:tcPr>
                <w:p w14:paraId="3D50C27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253.3</w:t>
                  </w:r>
                </w:p>
              </w:tc>
              <w:tc>
                <w:tcPr>
                  <w:tcW w:w="211" w:type="pct"/>
                  <w:tcBorders>
                    <w:tl2br w:val="nil"/>
                    <w:tr2bl w:val="nil"/>
                  </w:tcBorders>
                  <w:shd w:val="clear" w:color="auto" w:fill="auto"/>
                  <w:tcMar>
                    <w:top w:w="0" w:type="dxa"/>
                    <w:left w:w="0" w:type="dxa"/>
                    <w:bottom w:w="0" w:type="dxa"/>
                    <w:right w:w="0" w:type="dxa"/>
                  </w:tcMar>
                  <w:vAlign w:val="center"/>
                </w:tcPr>
                <w:p w14:paraId="7E25FA6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179.7</w:t>
                  </w:r>
                </w:p>
              </w:tc>
              <w:tc>
                <w:tcPr>
                  <w:tcW w:w="211" w:type="pct"/>
                  <w:tcBorders>
                    <w:tl2br w:val="nil"/>
                    <w:tr2bl w:val="nil"/>
                  </w:tcBorders>
                  <w:shd w:val="clear" w:color="auto" w:fill="auto"/>
                  <w:tcMar>
                    <w:top w:w="0" w:type="dxa"/>
                    <w:left w:w="0" w:type="dxa"/>
                    <w:bottom w:w="0" w:type="dxa"/>
                    <w:right w:w="0" w:type="dxa"/>
                  </w:tcMar>
                  <w:vAlign w:val="center"/>
                </w:tcPr>
                <w:p w14:paraId="0E52B9E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188.4</w:t>
                  </w:r>
                </w:p>
              </w:tc>
              <w:tc>
                <w:tcPr>
                  <w:tcW w:w="166" w:type="pct"/>
                  <w:tcBorders>
                    <w:tl2br w:val="nil"/>
                    <w:tr2bl w:val="nil"/>
                  </w:tcBorders>
                  <w:shd w:val="clear" w:color="auto" w:fill="auto"/>
                  <w:tcMar>
                    <w:top w:w="0" w:type="dxa"/>
                    <w:left w:w="0" w:type="dxa"/>
                    <w:bottom w:w="0" w:type="dxa"/>
                    <w:right w:w="0" w:type="dxa"/>
                  </w:tcMar>
                  <w:vAlign w:val="center"/>
                </w:tcPr>
                <w:p w14:paraId="46E1212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46D8964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2BECA63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4206CB6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223" w:type="pct"/>
                  <w:tcBorders>
                    <w:tl2br w:val="nil"/>
                    <w:tr2bl w:val="nil"/>
                  </w:tcBorders>
                  <w:shd w:val="clear" w:color="auto" w:fill="auto"/>
                  <w:tcMar>
                    <w:top w:w="0" w:type="dxa"/>
                    <w:left w:w="0" w:type="dxa"/>
                    <w:bottom w:w="0" w:type="dxa"/>
                    <w:right w:w="0" w:type="dxa"/>
                  </w:tcMar>
                  <w:vAlign w:val="center"/>
                </w:tcPr>
                <w:p w14:paraId="5081A03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1B0B6EA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56521A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BBD5B7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38ED87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0C9C00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3A33041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010F2C0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5AC789A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04" w:type="pct"/>
                  <w:tcBorders>
                    <w:tl2br w:val="nil"/>
                    <w:tr2bl w:val="nil"/>
                  </w:tcBorders>
                  <w:shd w:val="clear" w:color="auto" w:fill="auto"/>
                  <w:tcMar>
                    <w:top w:w="0" w:type="dxa"/>
                    <w:left w:w="0" w:type="dxa"/>
                    <w:bottom w:w="0" w:type="dxa"/>
                    <w:right w:w="0" w:type="dxa"/>
                  </w:tcMar>
                  <w:vAlign w:val="center"/>
                </w:tcPr>
                <w:p w14:paraId="30361CA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1680C7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4A652BF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D54524E">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3DC64F2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加油泵</w:t>
                  </w:r>
                </w:p>
              </w:tc>
              <w:tc>
                <w:tcPr>
                  <w:tcW w:w="264" w:type="pct"/>
                  <w:tcBorders>
                    <w:tl2br w:val="nil"/>
                    <w:tr2bl w:val="nil"/>
                  </w:tcBorders>
                  <w:shd w:val="clear" w:color="auto" w:fill="auto"/>
                  <w:tcMar>
                    <w:top w:w="0" w:type="dxa"/>
                    <w:left w:w="0" w:type="dxa"/>
                    <w:bottom w:w="0" w:type="dxa"/>
                    <w:right w:w="0" w:type="dxa"/>
                  </w:tcMar>
                  <w:vAlign w:val="center"/>
                </w:tcPr>
                <w:p w14:paraId="66D0016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A0D5ABD">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7BA0F8B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54.2</w:t>
                  </w:r>
                </w:p>
              </w:tc>
              <w:tc>
                <w:tcPr>
                  <w:tcW w:w="242" w:type="pct"/>
                  <w:tcBorders>
                    <w:tl2br w:val="nil"/>
                    <w:tr2bl w:val="nil"/>
                  </w:tcBorders>
                  <w:shd w:val="clear" w:color="auto" w:fill="auto"/>
                  <w:tcMar>
                    <w:top w:w="0" w:type="dxa"/>
                    <w:left w:w="0" w:type="dxa"/>
                    <w:bottom w:w="0" w:type="dxa"/>
                    <w:right w:w="0" w:type="dxa"/>
                  </w:tcMar>
                  <w:vAlign w:val="center"/>
                </w:tcPr>
                <w:p w14:paraId="584CD2C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-2.5</w:t>
                  </w:r>
                </w:p>
              </w:tc>
              <w:tc>
                <w:tcPr>
                  <w:tcW w:w="120" w:type="pct"/>
                  <w:tcBorders>
                    <w:tl2br w:val="nil"/>
                    <w:tr2bl w:val="nil"/>
                  </w:tcBorders>
                  <w:shd w:val="clear" w:color="auto" w:fill="auto"/>
                  <w:tcMar>
                    <w:top w:w="0" w:type="dxa"/>
                    <w:left w:w="0" w:type="dxa"/>
                    <w:bottom w:w="0" w:type="dxa"/>
                    <w:right w:w="0" w:type="dxa"/>
                  </w:tcMar>
                  <w:vAlign w:val="center"/>
                </w:tcPr>
                <w:p w14:paraId="7EDCD9D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4D043DA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101.3</w:t>
                  </w:r>
                </w:p>
              </w:tc>
              <w:tc>
                <w:tcPr>
                  <w:tcW w:w="211" w:type="pct"/>
                  <w:tcBorders>
                    <w:tl2br w:val="nil"/>
                    <w:tr2bl w:val="nil"/>
                  </w:tcBorders>
                  <w:shd w:val="clear" w:color="auto" w:fill="auto"/>
                  <w:tcMar>
                    <w:top w:w="0" w:type="dxa"/>
                    <w:left w:w="0" w:type="dxa"/>
                    <w:bottom w:w="0" w:type="dxa"/>
                    <w:right w:w="0" w:type="dxa"/>
                  </w:tcMar>
                  <w:vAlign w:val="center"/>
                </w:tcPr>
                <w:p w14:paraId="31E73A4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254.0</w:t>
                  </w:r>
                </w:p>
              </w:tc>
              <w:tc>
                <w:tcPr>
                  <w:tcW w:w="211" w:type="pct"/>
                  <w:tcBorders>
                    <w:tl2br w:val="nil"/>
                    <w:tr2bl w:val="nil"/>
                  </w:tcBorders>
                  <w:shd w:val="clear" w:color="auto" w:fill="auto"/>
                  <w:tcMar>
                    <w:top w:w="0" w:type="dxa"/>
                    <w:left w:w="0" w:type="dxa"/>
                    <w:bottom w:w="0" w:type="dxa"/>
                    <w:right w:w="0" w:type="dxa"/>
                  </w:tcMar>
                  <w:vAlign w:val="center"/>
                </w:tcPr>
                <w:p w14:paraId="028FA9E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180.2</w:t>
                  </w:r>
                </w:p>
              </w:tc>
              <w:tc>
                <w:tcPr>
                  <w:tcW w:w="211" w:type="pct"/>
                  <w:tcBorders>
                    <w:tl2br w:val="nil"/>
                    <w:tr2bl w:val="nil"/>
                  </w:tcBorders>
                  <w:shd w:val="clear" w:color="auto" w:fill="auto"/>
                  <w:tcMar>
                    <w:top w:w="0" w:type="dxa"/>
                    <w:left w:w="0" w:type="dxa"/>
                    <w:bottom w:w="0" w:type="dxa"/>
                    <w:right w:w="0" w:type="dxa"/>
                  </w:tcMar>
                  <w:vAlign w:val="center"/>
                </w:tcPr>
                <w:p w14:paraId="4890822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187.8</w:t>
                  </w:r>
                </w:p>
              </w:tc>
              <w:tc>
                <w:tcPr>
                  <w:tcW w:w="166" w:type="pct"/>
                  <w:tcBorders>
                    <w:tl2br w:val="nil"/>
                    <w:tr2bl w:val="nil"/>
                  </w:tcBorders>
                  <w:shd w:val="clear" w:color="auto" w:fill="auto"/>
                  <w:tcMar>
                    <w:top w:w="0" w:type="dxa"/>
                    <w:left w:w="0" w:type="dxa"/>
                    <w:bottom w:w="0" w:type="dxa"/>
                    <w:right w:w="0" w:type="dxa"/>
                  </w:tcMar>
                  <w:vAlign w:val="center"/>
                </w:tcPr>
                <w:p w14:paraId="367B60A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644203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3F78B1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FAD41E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38ED206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2B3370C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F632A5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C397FA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647C07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1EEE7D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BAFC96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74DADD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B59A12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6246063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4C478C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35AB918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56</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6D40C80">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1843AF6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排污泵</w:t>
                  </w:r>
                </w:p>
              </w:tc>
              <w:tc>
                <w:tcPr>
                  <w:tcW w:w="264" w:type="pct"/>
                  <w:tcBorders>
                    <w:tl2br w:val="nil"/>
                    <w:tr2bl w:val="nil"/>
                  </w:tcBorders>
                  <w:shd w:val="clear" w:color="auto" w:fill="auto"/>
                  <w:tcMar>
                    <w:top w:w="0" w:type="dxa"/>
                    <w:left w:w="0" w:type="dxa"/>
                    <w:bottom w:w="0" w:type="dxa"/>
                    <w:right w:w="0" w:type="dxa"/>
                  </w:tcMar>
                  <w:vAlign w:val="center"/>
                </w:tcPr>
                <w:p w14:paraId="7F7AC03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E00945C">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62ECC12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55.1</w:t>
                  </w:r>
                </w:p>
              </w:tc>
              <w:tc>
                <w:tcPr>
                  <w:tcW w:w="242" w:type="pct"/>
                  <w:tcBorders>
                    <w:tl2br w:val="nil"/>
                    <w:tr2bl w:val="nil"/>
                  </w:tcBorders>
                  <w:shd w:val="clear" w:color="auto" w:fill="auto"/>
                  <w:tcMar>
                    <w:top w:w="0" w:type="dxa"/>
                    <w:left w:w="0" w:type="dxa"/>
                    <w:bottom w:w="0" w:type="dxa"/>
                    <w:right w:w="0" w:type="dxa"/>
                  </w:tcMar>
                  <w:vAlign w:val="center"/>
                </w:tcPr>
                <w:p w14:paraId="5C47839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w:t>
                  </w:r>
                </w:p>
              </w:tc>
              <w:tc>
                <w:tcPr>
                  <w:tcW w:w="120" w:type="pct"/>
                  <w:tcBorders>
                    <w:tl2br w:val="nil"/>
                    <w:tr2bl w:val="nil"/>
                  </w:tcBorders>
                  <w:shd w:val="clear" w:color="auto" w:fill="auto"/>
                  <w:tcMar>
                    <w:top w:w="0" w:type="dxa"/>
                    <w:left w:w="0" w:type="dxa"/>
                    <w:bottom w:w="0" w:type="dxa"/>
                    <w:right w:w="0" w:type="dxa"/>
                  </w:tcMar>
                  <w:vAlign w:val="center"/>
                </w:tcPr>
                <w:p w14:paraId="1D7D6EC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5C0E9C9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100.8</w:t>
                  </w:r>
                </w:p>
              </w:tc>
              <w:tc>
                <w:tcPr>
                  <w:tcW w:w="211" w:type="pct"/>
                  <w:tcBorders>
                    <w:tl2br w:val="nil"/>
                    <w:tr2bl w:val="nil"/>
                  </w:tcBorders>
                  <w:shd w:val="clear" w:color="auto" w:fill="auto"/>
                  <w:tcMar>
                    <w:top w:w="0" w:type="dxa"/>
                    <w:left w:w="0" w:type="dxa"/>
                    <w:bottom w:w="0" w:type="dxa"/>
                    <w:right w:w="0" w:type="dxa"/>
                  </w:tcMar>
                  <w:vAlign w:val="center"/>
                </w:tcPr>
                <w:p w14:paraId="0D890A1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255.1</w:t>
                  </w:r>
                </w:p>
              </w:tc>
              <w:tc>
                <w:tcPr>
                  <w:tcW w:w="211" w:type="pct"/>
                  <w:tcBorders>
                    <w:tl2br w:val="nil"/>
                    <w:tr2bl w:val="nil"/>
                  </w:tcBorders>
                  <w:shd w:val="clear" w:color="auto" w:fill="auto"/>
                  <w:tcMar>
                    <w:top w:w="0" w:type="dxa"/>
                    <w:left w:w="0" w:type="dxa"/>
                    <w:bottom w:w="0" w:type="dxa"/>
                    <w:right w:w="0" w:type="dxa"/>
                  </w:tcMar>
                  <w:vAlign w:val="center"/>
                </w:tcPr>
                <w:p w14:paraId="0005232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181.4</w:t>
                  </w:r>
                </w:p>
              </w:tc>
              <w:tc>
                <w:tcPr>
                  <w:tcW w:w="211" w:type="pct"/>
                  <w:tcBorders>
                    <w:tl2br w:val="nil"/>
                    <w:tr2bl w:val="nil"/>
                  </w:tcBorders>
                  <w:shd w:val="clear" w:color="auto" w:fill="auto"/>
                  <w:tcMar>
                    <w:top w:w="0" w:type="dxa"/>
                    <w:left w:w="0" w:type="dxa"/>
                    <w:bottom w:w="0" w:type="dxa"/>
                    <w:right w:w="0" w:type="dxa"/>
                  </w:tcMar>
                  <w:vAlign w:val="center"/>
                </w:tcPr>
                <w:p w14:paraId="152FAE6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186.7</w:t>
                  </w:r>
                </w:p>
              </w:tc>
              <w:tc>
                <w:tcPr>
                  <w:tcW w:w="166" w:type="pct"/>
                  <w:tcBorders>
                    <w:tl2br w:val="nil"/>
                    <w:tr2bl w:val="nil"/>
                  </w:tcBorders>
                  <w:shd w:val="clear" w:color="auto" w:fill="auto"/>
                  <w:tcMar>
                    <w:top w:w="0" w:type="dxa"/>
                    <w:left w:w="0" w:type="dxa"/>
                    <w:bottom w:w="0" w:type="dxa"/>
                    <w:right w:w="0" w:type="dxa"/>
                  </w:tcMar>
                  <w:vAlign w:val="center"/>
                </w:tcPr>
                <w:p w14:paraId="4095FCC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09CFB3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8D5667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A4C48F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3E906EE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139ADAB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FAA4A6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005317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0476FD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A279B2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7CDCB1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9CC0EA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B5FC46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0C2DF2F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4A1465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2181267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57</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FBA4800">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3127838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排污泵</w:t>
                  </w:r>
                </w:p>
              </w:tc>
              <w:tc>
                <w:tcPr>
                  <w:tcW w:w="264" w:type="pct"/>
                  <w:tcBorders>
                    <w:tl2br w:val="nil"/>
                    <w:tr2bl w:val="nil"/>
                  </w:tcBorders>
                  <w:shd w:val="clear" w:color="auto" w:fill="auto"/>
                  <w:tcMar>
                    <w:top w:w="0" w:type="dxa"/>
                    <w:left w:w="0" w:type="dxa"/>
                    <w:bottom w:w="0" w:type="dxa"/>
                    <w:right w:w="0" w:type="dxa"/>
                  </w:tcMar>
                  <w:vAlign w:val="center"/>
                </w:tcPr>
                <w:p w14:paraId="364660D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91D75C3">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60F8953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55.6</w:t>
                  </w:r>
                </w:p>
              </w:tc>
              <w:tc>
                <w:tcPr>
                  <w:tcW w:w="242" w:type="pct"/>
                  <w:tcBorders>
                    <w:tl2br w:val="nil"/>
                    <w:tr2bl w:val="nil"/>
                  </w:tcBorders>
                  <w:shd w:val="clear" w:color="auto" w:fill="auto"/>
                  <w:tcMar>
                    <w:top w:w="0" w:type="dxa"/>
                    <w:left w:w="0" w:type="dxa"/>
                    <w:bottom w:w="0" w:type="dxa"/>
                    <w:right w:w="0" w:type="dxa"/>
                  </w:tcMar>
                  <w:vAlign w:val="center"/>
                </w:tcPr>
                <w:p w14:paraId="51F3569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w:t>
                  </w:r>
                </w:p>
              </w:tc>
              <w:tc>
                <w:tcPr>
                  <w:tcW w:w="120" w:type="pct"/>
                  <w:tcBorders>
                    <w:tl2br w:val="nil"/>
                    <w:tr2bl w:val="nil"/>
                  </w:tcBorders>
                  <w:shd w:val="clear" w:color="auto" w:fill="auto"/>
                  <w:tcMar>
                    <w:top w:w="0" w:type="dxa"/>
                    <w:left w:w="0" w:type="dxa"/>
                    <w:bottom w:w="0" w:type="dxa"/>
                    <w:right w:w="0" w:type="dxa"/>
                  </w:tcMar>
                  <w:vAlign w:val="center"/>
                </w:tcPr>
                <w:p w14:paraId="01FA8A8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31FC271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100.2</w:t>
                  </w:r>
                </w:p>
              </w:tc>
              <w:tc>
                <w:tcPr>
                  <w:tcW w:w="211" w:type="pct"/>
                  <w:tcBorders>
                    <w:tl2br w:val="nil"/>
                    <w:tr2bl w:val="nil"/>
                  </w:tcBorders>
                  <w:shd w:val="clear" w:color="auto" w:fill="auto"/>
                  <w:tcMar>
                    <w:top w:w="0" w:type="dxa"/>
                    <w:left w:w="0" w:type="dxa"/>
                    <w:bottom w:w="0" w:type="dxa"/>
                    <w:right w:w="0" w:type="dxa"/>
                  </w:tcMar>
                  <w:vAlign w:val="center"/>
                </w:tcPr>
                <w:p w14:paraId="4934308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255.0</w:t>
                  </w:r>
                </w:p>
              </w:tc>
              <w:tc>
                <w:tcPr>
                  <w:tcW w:w="211" w:type="pct"/>
                  <w:tcBorders>
                    <w:tl2br w:val="nil"/>
                    <w:tr2bl w:val="nil"/>
                  </w:tcBorders>
                  <w:shd w:val="clear" w:color="auto" w:fill="auto"/>
                  <w:tcMar>
                    <w:top w:w="0" w:type="dxa"/>
                    <w:left w:w="0" w:type="dxa"/>
                    <w:bottom w:w="0" w:type="dxa"/>
                    <w:right w:w="0" w:type="dxa"/>
                  </w:tcMar>
                  <w:vAlign w:val="center"/>
                </w:tcPr>
                <w:p w14:paraId="701DE92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181.3</w:t>
                  </w:r>
                </w:p>
              </w:tc>
              <w:tc>
                <w:tcPr>
                  <w:tcW w:w="211" w:type="pct"/>
                  <w:tcBorders>
                    <w:tl2br w:val="nil"/>
                    <w:tr2bl w:val="nil"/>
                  </w:tcBorders>
                  <w:shd w:val="clear" w:color="auto" w:fill="auto"/>
                  <w:tcMar>
                    <w:top w:w="0" w:type="dxa"/>
                    <w:left w:w="0" w:type="dxa"/>
                    <w:bottom w:w="0" w:type="dxa"/>
                    <w:right w:w="0" w:type="dxa"/>
                  </w:tcMar>
                  <w:vAlign w:val="center"/>
                </w:tcPr>
                <w:p w14:paraId="0CBCC1E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186.8</w:t>
                  </w:r>
                </w:p>
              </w:tc>
              <w:tc>
                <w:tcPr>
                  <w:tcW w:w="166" w:type="pct"/>
                  <w:tcBorders>
                    <w:tl2br w:val="nil"/>
                    <w:tr2bl w:val="nil"/>
                  </w:tcBorders>
                  <w:shd w:val="clear" w:color="auto" w:fill="auto"/>
                  <w:tcMar>
                    <w:top w:w="0" w:type="dxa"/>
                    <w:left w:w="0" w:type="dxa"/>
                    <w:bottom w:w="0" w:type="dxa"/>
                    <w:right w:w="0" w:type="dxa"/>
                  </w:tcMar>
                  <w:vAlign w:val="center"/>
                </w:tcPr>
                <w:p w14:paraId="659FC74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E581FB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752E4E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495BD1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504AD8B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500F45A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4C6ACB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B783FA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594125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9190CA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81EA79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5830D4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930C96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67193DE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377F58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463A408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58</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917AC1E">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3B3457B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烟雾排放装置泵,4台（按点声源组预测）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35740CE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90（等效后：96.0)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B14652A">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6B87E1A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56.9</w:t>
                  </w:r>
                </w:p>
              </w:tc>
              <w:tc>
                <w:tcPr>
                  <w:tcW w:w="242" w:type="pct"/>
                  <w:tcBorders>
                    <w:tl2br w:val="nil"/>
                    <w:tr2bl w:val="nil"/>
                  </w:tcBorders>
                  <w:shd w:val="clear" w:color="auto" w:fill="auto"/>
                  <w:tcMar>
                    <w:top w:w="0" w:type="dxa"/>
                    <w:left w:w="0" w:type="dxa"/>
                    <w:bottom w:w="0" w:type="dxa"/>
                    <w:right w:w="0" w:type="dxa"/>
                  </w:tcMar>
                  <w:vAlign w:val="center"/>
                </w:tcPr>
                <w:p w14:paraId="63545EC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-2.3</w:t>
                  </w:r>
                </w:p>
              </w:tc>
              <w:tc>
                <w:tcPr>
                  <w:tcW w:w="120" w:type="pct"/>
                  <w:tcBorders>
                    <w:tl2br w:val="nil"/>
                    <w:tr2bl w:val="nil"/>
                  </w:tcBorders>
                  <w:shd w:val="clear" w:color="auto" w:fill="auto"/>
                  <w:tcMar>
                    <w:top w:w="0" w:type="dxa"/>
                    <w:left w:w="0" w:type="dxa"/>
                    <w:bottom w:w="0" w:type="dxa"/>
                    <w:right w:w="0" w:type="dxa"/>
                  </w:tcMar>
                  <w:vAlign w:val="center"/>
                </w:tcPr>
                <w:p w14:paraId="40295D3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0065048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98.9</w:t>
                  </w:r>
                </w:p>
              </w:tc>
              <w:tc>
                <w:tcPr>
                  <w:tcW w:w="211" w:type="pct"/>
                  <w:tcBorders>
                    <w:tl2br w:val="nil"/>
                    <w:tr2bl w:val="nil"/>
                  </w:tcBorders>
                  <w:shd w:val="clear" w:color="auto" w:fill="auto"/>
                  <w:tcMar>
                    <w:top w:w="0" w:type="dxa"/>
                    <w:left w:w="0" w:type="dxa"/>
                    <w:bottom w:w="0" w:type="dxa"/>
                    <w:right w:w="0" w:type="dxa"/>
                  </w:tcMar>
                  <w:vAlign w:val="center"/>
                </w:tcPr>
                <w:p w14:paraId="3CE89FD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255.2</w:t>
                  </w:r>
                </w:p>
              </w:tc>
              <w:tc>
                <w:tcPr>
                  <w:tcW w:w="211" w:type="pct"/>
                  <w:tcBorders>
                    <w:tl2br w:val="nil"/>
                    <w:tr2bl w:val="nil"/>
                  </w:tcBorders>
                  <w:shd w:val="clear" w:color="auto" w:fill="auto"/>
                  <w:tcMar>
                    <w:top w:w="0" w:type="dxa"/>
                    <w:left w:w="0" w:type="dxa"/>
                    <w:bottom w:w="0" w:type="dxa"/>
                    <w:right w:w="0" w:type="dxa"/>
                  </w:tcMar>
                  <w:vAlign w:val="center"/>
                </w:tcPr>
                <w:p w14:paraId="06965F2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181.6</w:t>
                  </w:r>
                </w:p>
              </w:tc>
              <w:tc>
                <w:tcPr>
                  <w:tcW w:w="211" w:type="pct"/>
                  <w:tcBorders>
                    <w:tl2br w:val="nil"/>
                    <w:tr2bl w:val="nil"/>
                  </w:tcBorders>
                  <w:shd w:val="clear" w:color="auto" w:fill="auto"/>
                  <w:tcMar>
                    <w:top w:w="0" w:type="dxa"/>
                    <w:left w:w="0" w:type="dxa"/>
                    <w:bottom w:w="0" w:type="dxa"/>
                    <w:right w:w="0" w:type="dxa"/>
                  </w:tcMar>
                  <w:vAlign w:val="center"/>
                </w:tcPr>
                <w:p w14:paraId="20CCCA4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186.5</w:t>
                  </w:r>
                </w:p>
              </w:tc>
              <w:tc>
                <w:tcPr>
                  <w:tcW w:w="166" w:type="pct"/>
                  <w:tcBorders>
                    <w:tl2br w:val="nil"/>
                    <w:tr2bl w:val="nil"/>
                  </w:tcBorders>
                  <w:shd w:val="clear" w:color="auto" w:fill="auto"/>
                  <w:tcMar>
                    <w:top w:w="0" w:type="dxa"/>
                    <w:left w:w="0" w:type="dxa"/>
                    <w:bottom w:w="0" w:type="dxa"/>
                    <w:right w:w="0" w:type="dxa"/>
                  </w:tcMar>
                  <w:vAlign w:val="center"/>
                </w:tcPr>
                <w:p w14:paraId="5937E8C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319E434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7502ED0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2B16992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223" w:type="pct"/>
                  <w:tcBorders>
                    <w:tl2br w:val="nil"/>
                    <w:tr2bl w:val="nil"/>
                  </w:tcBorders>
                  <w:shd w:val="clear" w:color="auto" w:fill="auto"/>
                  <w:tcMar>
                    <w:top w:w="0" w:type="dxa"/>
                    <w:left w:w="0" w:type="dxa"/>
                    <w:bottom w:w="0" w:type="dxa"/>
                    <w:right w:w="0" w:type="dxa"/>
                  </w:tcMar>
                  <w:vAlign w:val="center"/>
                </w:tcPr>
                <w:p w14:paraId="40985FE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5460C6D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D70BA4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C5DABA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A27DEE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33D5A6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6E39AE2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0985E7A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58647E1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04" w:type="pct"/>
                  <w:tcBorders>
                    <w:tl2br w:val="nil"/>
                    <w:tr2bl w:val="nil"/>
                  </w:tcBorders>
                  <w:shd w:val="clear" w:color="auto" w:fill="auto"/>
                  <w:tcMar>
                    <w:top w:w="0" w:type="dxa"/>
                    <w:left w:w="0" w:type="dxa"/>
                    <w:bottom w:w="0" w:type="dxa"/>
                    <w:right w:w="0" w:type="dxa"/>
                  </w:tcMar>
                  <w:vAlign w:val="center"/>
                </w:tcPr>
                <w:p w14:paraId="398FD1E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0934B4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409C15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59</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4622233">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46F748E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高压液压站泵,3台（按点声源组预测）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6CA8E1C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90（等效后：94.8)</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D169D28">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7DF6E2D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56.9</w:t>
                  </w:r>
                </w:p>
              </w:tc>
              <w:tc>
                <w:tcPr>
                  <w:tcW w:w="242" w:type="pct"/>
                  <w:tcBorders>
                    <w:tl2br w:val="nil"/>
                    <w:tr2bl w:val="nil"/>
                  </w:tcBorders>
                  <w:shd w:val="clear" w:color="auto" w:fill="auto"/>
                  <w:tcMar>
                    <w:top w:w="0" w:type="dxa"/>
                    <w:left w:w="0" w:type="dxa"/>
                    <w:bottom w:w="0" w:type="dxa"/>
                    <w:right w:w="0" w:type="dxa"/>
                  </w:tcMar>
                  <w:vAlign w:val="center"/>
                </w:tcPr>
                <w:p w14:paraId="03B2137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120" w:type="pct"/>
                  <w:tcBorders>
                    <w:tl2br w:val="nil"/>
                    <w:tr2bl w:val="nil"/>
                  </w:tcBorders>
                  <w:shd w:val="clear" w:color="auto" w:fill="auto"/>
                  <w:tcMar>
                    <w:top w:w="0" w:type="dxa"/>
                    <w:left w:w="0" w:type="dxa"/>
                    <w:bottom w:w="0" w:type="dxa"/>
                    <w:right w:w="0" w:type="dxa"/>
                  </w:tcMar>
                  <w:vAlign w:val="center"/>
                </w:tcPr>
                <w:p w14:paraId="58D4BCB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3911E06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99.3</w:t>
                  </w:r>
                </w:p>
              </w:tc>
              <w:tc>
                <w:tcPr>
                  <w:tcW w:w="211" w:type="pct"/>
                  <w:tcBorders>
                    <w:tl2br w:val="nil"/>
                    <w:tr2bl w:val="nil"/>
                  </w:tcBorders>
                  <w:shd w:val="clear" w:color="auto" w:fill="auto"/>
                  <w:tcMar>
                    <w:top w:w="0" w:type="dxa"/>
                    <w:left w:w="0" w:type="dxa"/>
                    <w:bottom w:w="0" w:type="dxa"/>
                    <w:right w:w="0" w:type="dxa"/>
                  </w:tcMar>
                  <w:vAlign w:val="center"/>
                </w:tcPr>
                <w:p w14:paraId="7ADCD8B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256.2</w:t>
                  </w:r>
                </w:p>
              </w:tc>
              <w:tc>
                <w:tcPr>
                  <w:tcW w:w="211" w:type="pct"/>
                  <w:tcBorders>
                    <w:tl2br w:val="nil"/>
                    <w:tr2bl w:val="nil"/>
                  </w:tcBorders>
                  <w:shd w:val="clear" w:color="auto" w:fill="auto"/>
                  <w:tcMar>
                    <w:top w:w="0" w:type="dxa"/>
                    <w:left w:w="0" w:type="dxa"/>
                    <w:bottom w:w="0" w:type="dxa"/>
                    <w:right w:w="0" w:type="dxa"/>
                  </w:tcMar>
                  <w:vAlign w:val="center"/>
                </w:tcPr>
                <w:p w14:paraId="46B08C0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182.6</w:t>
                  </w:r>
                </w:p>
              </w:tc>
              <w:tc>
                <w:tcPr>
                  <w:tcW w:w="211" w:type="pct"/>
                  <w:tcBorders>
                    <w:tl2br w:val="nil"/>
                    <w:tr2bl w:val="nil"/>
                  </w:tcBorders>
                  <w:shd w:val="clear" w:color="auto" w:fill="auto"/>
                  <w:tcMar>
                    <w:top w:w="0" w:type="dxa"/>
                    <w:left w:w="0" w:type="dxa"/>
                    <w:bottom w:w="0" w:type="dxa"/>
                    <w:right w:w="0" w:type="dxa"/>
                  </w:tcMar>
                  <w:vAlign w:val="center"/>
                </w:tcPr>
                <w:p w14:paraId="554FCF8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185.5</w:t>
                  </w:r>
                </w:p>
              </w:tc>
              <w:tc>
                <w:tcPr>
                  <w:tcW w:w="166" w:type="pct"/>
                  <w:tcBorders>
                    <w:tl2br w:val="nil"/>
                    <w:tr2bl w:val="nil"/>
                  </w:tcBorders>
                  <w:shd w:val="clear" w:color="auto" w:fill="auto"/>
                  <w:tcMar>
                    <w:top w:w="0" w:type="dxa"/>
                    <w:left w:w="0" w:type="dxa"/>
                    <w:bottom w:w="0" w:type="dxa"/>
                    <w:right w:w="0" w:type="dxa"/>
                  </w:tcMar>
                  <w:vAlign w:val="center"/>
                </w:tcPr>
                <w:p w14:paraId="5B390FB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71.9</w:t>
                  </w:r>
                </w:p>
              </w:tc>
              <w:tc>
                <w:tcPr>
                  <w:tcW w:w="166" w:type="pct"/>
                  <w:tcBorders>
                    <w:tl2br w:val="nil"/>
                    <w:tr2bl w:val="nil"/>
                  </w:tcBorders>
                  <w:shd w:val="clear" w:color="auto" w:fill="auto"/>
                  <w:tcMar>
                    <w:top w:w="0" w:type="dxa"/>
                    <w:left w:w="0" w:type="dxa"/>
                    <w:bottom w:w="0" w:type="dxa"/>
                    <w:right w:w="0" w:type="dxa"/>
                  </w:tcMar>
                  <w:vAlign w:val="center"/>
                </w:tcPr>
                <w:p w14:paraId="2B59AD7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71.9</w:t>
                  </w:r>
                </w:p>
              </w:tc>
              <w:tc>
                <w:tcPr>
                  <w:tcW w:w="166" w:type="pct"/>
                  <w:tcBorders>
                    <w:tl2br w:val="nil"/>
                    <w:tr2bl w:val="nil"/>
                  </w:tcBorders>
                  <w:shd w:val="clear" w:color="auto" w:fill="auto"/>
                  <w:tcMar>
                    <w:top w:w="0" w:type="dxa"/>
                    <w:left w:w="0" w:type="dxa"/>
                    <w:bottom w:w="0" w:type="dxa"/>
                    <w:right w:w="0" w:type="dxa"/>
                  </w:tcMar>
                  <w:vAlign w:val="center"/>
                </w:tcPr>
                <w:p w14:paraId="19447A2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71.9</w:t>
                  </w:r>
                </w:p>
              </w:tc>
              <w:tc>
                <w:tcPr>
                  <w:tcW w:w="166" w:type="pct"/>
                  <w:tcBorders>
                    <w:tl2br w:val="nil"/>
                    <w:tr2bl w:val="nil"/>
                  </w:tcBorders>
                  <w:shd w:val="clear" w:color="auto" w:fill="auto"/>
                  <w:tcMar>
                    <w:top w:w="0" w:type="dxa"/>
                    <w:left w:w="0" w:type="dxa"/>
                    <w:bottom w:w="0" w:type="dxa"/>
                    <w:right w:w="0" w:type="dxa"/>
                  </w:tcMar>
                  <w:vAlign w:val="center"/>
                </w:tcPr>
                <w:p w14:paraId="2533EA1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71.9</w:t>
                  </w:r>
                </w:p>
              </w:tc>
              <w:tc>
                <w:tcPr>
                  <w:tcW w:w="223" w:type="pct"/>
                  <w:tcBorders>
                    <w:tl2br w:val="nil"/>
                    <w:tr2bl w:val="nil"/>
                  </w:tcBorders>
                  <w:shd w:val="clear" w:color="auto" w:fill="auto"/>
                  <w:tcMar>
                    <w:top w:w="0" w:type="dxa"/>
                    <w:left w:w="0" w:type="dxa"/>
                    <w:bottom w:w="0" w:type="dxa"/>
                    <w:right w:w="0" w:type="dxa"/>
                  </w:tcMar>
                  <w:vAlign w:val="center"/>
                </w:tcPr>
                <w:p w14:paraId="26708C2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7CD3ABF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4C33F6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7F6997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C66DBB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C7B2F2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50.9</w:t>
                  </w:r>
                </w:p>
              </w:tc>
              <w:tc>
                <w:tcPr>
                  <w:tcW w:w="166" w:type="pct"/>
                  <w:tcBorders>
                    <w:tl2br w:val="nil"/>
                    <w:tr2bl w:val="nil"/>
                  </w:tcBorders>
                  <w:shd w:val="clear" w:color="auto" w:fill="auto"/>
                  <w:tcMar>
                    <w:top w:w="0" w:type="dxa"/>
                    <w:left w:w="0" w:type="dxa"/>
                    <w:bottom w:w="0" w:type="dxa"/>
                    <w:right w:w="0" w:type="dxa"/>
                  </w:tcMar>
                  <w:vAlign w:val="center"/>
                </w:tcPr>
                <w:p w14:paraId="5F48F77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50.9</w:t>
                  </w:r>
                </w:p>
              </w:tc>
              <w:tc>
                <w:tcPr>
                  <w:tcW w:w="166" w:type="pct"/>
                  <w:tcBorders>
                    <w:tl2br w:val="nil"/>
                    <w:tr2bl w:val="nil"/>
                  </w:tcBorders>
                  <w:shd w:val="clear" w:color="auto" w:fill="auto"/>
                  <w:tcMar>
                    <w:top w:w="0" w:type="dxa"/>
                    <w:left w:w="0" w:type="dxa"/>
                    <w:bottom w:w="0" w:type="dxa"/>
                    <w:right w:w="0" w:type="dxa"/>
                  </w:tcMar>
                  <w:vAlign w:val="center"/>
                </w:tcPr>
                <w:p w14:paraId="2E33A4A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50.9</w:t>
                  </w:r>
                </w:p>
              </w:tc>
              <w:tc>
                <w:tcPr>
                  <w:tcW w:w="166" w:type="pct"/>
                  <w:tcBorders>
                    <w:tl2br w:val="nil"/>
                    <w:tr2bl w:val="nil"/>
                  </w:tcBorders>
                  <w:shd w:val="clear" w:color="auto" w:fill="auto"/>
                  <w:tcMar>
                    <w:top w:w="0" w:type="dxa"/>
                    <w:left w:w="0" w:type="dxa"/>
                    <w:bottom w:w="0" w:type="dxa"/>
                    <w:right w:w="0" w:type="dxa"/>
                  </w:tcMar>
                  <w:vAlign w:val="center"/>
                </w:tcPr>
                <w:p w14:paraId="4C13DE1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50.9</w:t>
                  </w:r>
                </w:p>
              </w:tc>
              <w:tc>
                <w:tcPr>
                  <w:tcW w:w="104" w:type="pct"/>
                  <w:tcBorders>
                    <w:tl2br w:val="nil"/>
                    <w:tr2bl w:val="nil"/>
                  </w:tcBorders>
                  <w:shd w:val="clear" w:color="auto" w:fill="auto"/>
                  <w:tcMar>
                    <w:top w:w="0" w:type="dxa"/>
                    <w:left w:w="0" w:type="dxa"/>
                    <w:bottom w:w="0" w:type="dxa"/>
                    <w:right w:w="0" w:type="dxa"/>
                  </w:tcMar>
                  <w:vAlign w:val="center"/>
                </w:tcPr>
                <w:p w14:paraId="3BCF767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5512E8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2965023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D00006F">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6113C92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低压液压站泵,4台（按点声源组预测）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6BC1B3D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90（等效后：96.0)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D701D6D">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4598813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56.9</w:t>
                  </w:r>
                </w:p>
              </w:tc>
              <w:tc>
                <w:tcPr>
                  <w:tcW w:w="242" w:type="pct"/>
                  <w:tcBorders>
                    <w:tl2br w:val="nil"/>
                    <w:tr2bl w:val="nil"/>
                  </w:tcBorders>
                  <w:shd w:val="clear" w:color="auto" w:fill="auto"/>
                  <w:tcMar>
                    <w:top w:w="0" w:type="dxa"/>
                    <w:left w:w="0" w:type="dxa"/>
                    <w:bottom w:w="0" w:type="dxa"/>
                    <w:right w:w="0" w:type="dxa"/>
                  </w:tcMar>
                  <w:vAlign w:val="center"/>
                </w:tcPr>
                <w:p w14:paraId="01D5445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-0.3</w:t>
                  </w:r>
                </w:p>
              </w:tc>
              <w:tc>
                <w:tcPr>
                  <w:tcW w:w="120" w:type="pct"/>
                  <w:tcBorders>
                    <w:tl2br w:val="nil"/>
                    <w:tr2bl w:val="nil"/>
                  </w:tcBorders>
                  <w:shd w:val="clear" w:color="auto" w:fill="auto"/>
                  <w:tcMar>
                    <w:top w:w="0" w:type="dxa"/>
                    <w:left w:w="0" w:type="dxa"/>
                    <w:bottom w:w="0" w:type="dxa"/>
                    <w:right w:w="0" w:type="dxa"/>
                  </w:tcMar>
                  <w:vAlign w:val="center"/>
                </w:tcPr>
                <w:p w14:paraId="74E6279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3E712C3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99.6</w:t>
                  </w:r>
                </w:p>
              </w:tc>
              <w:tc>
                <w:tcPr>
                  <w:tcW w:w="211" w:type="pct"/>
                  <w:tcBorders>
                    <w:tl2br w:val="nil"/>
                    <w:tr2bl w:val="nil"/>
                  </w:tcBorders>
                  <w:shd w:val="clear" w:color="auto" w:fill="auto"/>
                  <w:tcMar>
                    <w:top w:w="0" w:type="dxa"/>
                    <w:left w:w="0" w:type="dxa"/>
                    <w:bottom w:w="0" w:type="dxa"/>
                    <w:right w:w="0" w:type="dxa"/>
                  </w:tcMar>
                  <w:vAlign w:val="center"/>
                </w:tcPr>
                <w:p w14:paraId="0967ADD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257.0</w:t>
                  </w:r>
                </w:p>
              </w:tc>
              <w:tc>
                <w:tcPr>
                  <w:tcW w:w="211" w:type="pct"/>
                  <w:tcBorders>
                    <w:tl2br w:val="nil"/>
                    <w:tr2bl w:val="nil"/>
                  </w:tcBorders>
                  <w:shd w:val="clear" w:color="auto" w:fill="auto"/>
                  <w:tcMar>
                    <w:top w:w="0" w:type="dxa"/>
                    <w:left w:w="0" w:type="dxa"/>
                    <w:bottom w:w="0" w:type="dxa"/>
                    <w:right w:w="0" w:type="dxa"/>
                  </w:tcMar>
                  <w:vAlign w:val="center"/>
                </w:tcPr>
                <w:p w14:paraId="1C7CD51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183.4</w:t>
                  </w:r>
                </w:p>
              </w:tc>
              <w:tc>
                <w:tcPr>
                  <w:tcW w:w="211" w:type="pct"/>
                  <w:tcBorders>
                    <w:tl2br w:val="nil"/>
                    <w:tr2bl w:val="nil"/>
                  </w:tcBorders>
                  <w:shd w:val="clear" w:color="auto" w:fill="auto"/>
                  <w:tcMar>
                    <w:top w:w="0" w:type="dxa"/>
                    <w:left w:w="0" w:type="dxa"/>
                    <w:bottom w:w="0" w:type="dxa"/>
                    <w:right w:w="0" w:type="dxa"/>
                  </w:tcMar>
                  <w:vAlign w:val="center"/>
                </w:tcPr>
                <w:p w14:paraId="11571CB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184.7</w:t>
                  </w:r>
                </w:p>
              </w:tc>
              <w:tc>
                <w:tcPr>
                  <w:tcW w:w="166" w:type="pct"/>
                  <w:tcBorders>
                    <w:tl2br w:val="nil"/>
                    <w:tr2bl w:val="nil"/>
                  </w:tcBorders>
                  <w:shd w:val="clear" w:color="auto" w:fill="auto"/>
                  <w:tcMar>
                    <w:top w:w="0" w:type="dxa"/>
                    <w:left w:w="0" w:type="dxa"/>
                    <w:bottom w:w="0" w:type="dxa"/>
                    <w:right w:w="0" w:type="dxa"/>
                  </w:tcMar>
                  <w:vAlign w:val="center"/>
                </w:tcPr>
                <w:p w14:paraId="522172E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79E283B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76B66E3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1D1A3C7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223" w:type="pct"/>
                  <w:tcBorders>
                    <w:tl2br w:val="nil"/>
                    <w:tr2bl w:val="nil"/>
                  </w:tcBorders>
                  <w:shd w:val="clear" w:color="auto" w:fill="auto"/>
                  <w:tcMar>
                    <w:top w:w="0" w:type="dxa"/>
                    <w:left w:w="0" w:type="dxa"/>
                    <w:bottom w:w="0" w:type="dxa"/>
                    <w:right w:w="0" w:type="dxa"/>
                  </w:tcMar>
                  <w:vAlign w:val="center"/>
                </w:tcPr>
                <w:p w14:paraId="1E16792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0D69B29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D1A700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F762D5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3A4E6F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9B8A4F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0FEE737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07695ED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248B9BE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04" w:type="pct"/>
                  <w:tcBorders>
                    <w:tl2br w:val="nil"/>
                    <w:tr2bl w:val="nil"/>
                  </w:tcBorders>
                  <w:shd w:val="clear" w:color="auto" w:fill="auto"/>
                  <w:tcMar>
                    <w:top w:w="0" w:type="dxa"/>
                    <w:left w:w="0" w:type="dxa"/>
                    <w:bottom w:w="0" w:type="dxa"/>
                    <w:right w:w="0" w:type="dxa"/>
                  </w:tcMar>
                  <w:vAlign w:val="center"/>
                </w:tcPr>
                <w:p w14:paraId="3A6A13A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080ACE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5DE73C8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61</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C527427">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512D715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开卷机</w:t>
                  </w:r>
                </w:p>
              </w:tc>
              <w:tc>
                <w:tcPr>
                  <w:tcW w:w="264" w:type="pct"/>
                  <w:tcBorders>
                    <w:tl2br w:val="nil"/>
                    <w:tr2bl w:val="nil"/>
                  </w:tcBorders>
                  <w:shd w:val="clear" w:color="auto" w:fill="auto"/>
                  <w:tcMar>
                    <w:top w:w="0" w:type="dxa"/>
                    <w:left w:w="0" w:type="dxa"/>
                    <w:bottom w:w="0" w:type="dxa"/>
                    <w:right w:w="0" w:type="dxa"/>
                  </w:tcMar>
                  <w:vAlign w:val="center"/>
                </w:tcPr>
                <w:p w14:paraId="2BE302C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773E872">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20CAA72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57.1</w:t>
                  </w:r>
                </w:p>
              </w:tc>
              <w:tc>
                <w:tcPr>
                  <w:tcW w:w="242" w:type="pct"/>
                  <w:tcBorders>
                    <w:tl2br w:val="nil"/>
                    <w:tr2bl w:val="nil"/>
                  </w:tcBorders>
                  <w:shd w:val="clear" w:color="auto" w:fill="auto"/>
                  <w:tcMar>
                    <w:top w:w="0" w:type="dxa"/>
                    <w:left w:w="0" w:type="dxa"/>
                    <w:bottom w:w="0" w:type="dxa"/>
                    <w:right w:w="0" w:type="dxa"/>
                  </w:tcMar>
                  <w:vAlign w:val="center"/>
                </w:tcPr>
                <w:p w14:paraId="6104FEB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3.1</w:t>
                  </w:r>
                </w:p>
              </w:tc>
              <w:tc>
                <w:tcPr>
                  <w:tcW w:w="120" w:type="pct"/>
                  <w:tcBorders>
                    <w:tl2br w:val="nil"/>
                    <w:tr2bl w:val="nil"/>
                  </w:tcBorders>
                  <w:shd w:val="clear" w:color="auto" w:fill="auto"/>
                  <w:tcMar>
                    <w:top w:w="0" w:type="dxa"/>
                    <w:left w:w="0" w:type="dxa"/>
                    <w:bottom w:w="0" w:type="dxa"/>
                    <w:right w:w="0" w:type="dxa"/>
                  </w:tcMar>
                  <w:vAlign w:val="center"/>
                </w:tcPr>
                <w:p w14:paraId="775B9B6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284D398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100.7</w:t>
                  </w:r>
                </w:p>
              </w:tc>
              <w:tc>
                <w:tcPr>
                  <w:tcW w:w="211" w:type="pct"/>
                  <w:tcBorders>
                    <w:tl2br w:val="nil"/>
                    <w:tr2bl w:val="nil"/>
                  </w:tcBorders>
                  <w:shd w:val="clear" w:color="auto" w:fill="auto"/>
                  <w:tcMar>
                    <w:top w:w="0" w:type="dxa"/>
                    <w:left w:w="0" w:type="dxa"/>
                    <w:bottom w:w="0" w:type="dxa"/>
                    <w:right w:w="0" w:type="dxa"/>
                  </w:tcMar>
                  <w:vAlign w:val="center"/>
                </w:tcPr>
                <w:p w14:paraId="002F35B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260.2</w:t>
                  </w:r>
                </w:p>
              </w:tc>
              <w:tc>
                <w:tcPr>
                  <w:tcW w:w="211" w:type="pct"/>
                  <w:tcBorders>
                    <w:tl2br w:val="nil"/>
                    <w:tr2bl w:val="nil"/>
                  </w:tcBorders>
                  <w:shd w:val="clear" w:color="auto" w:fill="auto"/>
                  <w:tcMar>
                    <w:top w:w="0" w:type="dxa"/>
                    <w:left w:w="0" w:type="dxa"/>
                    <w:bottom w:w="0" w:type="dxa"/>
                    <w:right w:w="0" w:type="dxa"/>
                  </w:tcMar>
                  <w:vAlign w:val="center"/>
                </w:tcPr>
                <w:p w14:paraId="009CB79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186.5</w:t>
                  </w:r>
                </w:p>
              </w:tc>
              <w:tc>
                <w:tcPr>
                  <w:tcW w:w="211" w:type="pct"/>
                  <w:tcBorders>
                    <w:tl2br w:val="nil"/>
                    <w:tr2bl w:val="nil"/>
                  </w:tcBorders>
                  <w:shd w:val="clear" w:color="auto" w:fill="auto"/>
                  <w:tcMar>
                    <w:top w:w="0" w:type="dxa"/>
                    <w:left w:w="0" w:type="dxa"/>
                    <w:bottom w:w="0" w:type="dxa"/>
                    <w:right w:w="0" w:type="dxa"/>
                  </w:tcMar>
                  <w:vAlign w:val="center"/>
                </w:tcPr>
                <w:p w14:paraId="50579DC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181.5</w:t>
                  </w:r>
                </w:p>
              </w:tc>
              <w:tc>
                <w:tcPr>
                  <w:tcW w:w="166" w:type="pct"/>
                  <w:tcBorders>
                    <w:tl2br w:val="nil"/>
                    <w:tr2bl w:val="nil"/>
                  </w:tcBorders>
                  <w:shd w:val="clear" w:color="auto" w:fill="auto"/>
                  <w:tcMar>
                    <w:top w:w="0" w:type="dxa"/>
                    <w:left w:w="0" w:type="dxa"/>
                    <w:bottom w:w="0" w:type="dxa"/>
                    <w:right w:w="0" w:type="dxa"/>
                  </w:tcMar>
                  <w:vAlign w:val="center"/>
                </w:tcPr>
                <w:p w14:paraId="102B9A2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59DA409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405ACDD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77C1E5E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223" w:type="pct"/>
                  <w:tcBorders>
                    <w:tl2br w:val="nil"/>
                    <w:tr2bl w:val="nil"/>
                  </w:tcBorders>
                  <w:shd w:val="clear" w:color="auto" w:fill="auto"/>
                  <w:tcMar>
                    <w:top w:w="0" w:type="dxa"/>
                    <w:left w:w="0" w:type="dxa"/>
                    <w:bottom w:w="0" w:type="dxa"/>
                    <w:right w:w="0" w:type="dxa"/>
                  </w:tcMar>
                  <w:vAlign w:val="center"/>
                </w:tcPr>
                <w:p w14:paraId="71CBAB8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58731A6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44CBBC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677452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A8DC88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904193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0A39BB8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11EF218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54EF44F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04" w:type="pct"/>
                  <w:tcBorders>
                    <w:tl2br w:val="nil"/>
                    <w:tr2bl w:val="nil"/>
                  </w:tcBorders>
                  <w:shd w:val="clear" w:color="auto" w:fill="auto"/>
                  <w:tcMar>
                    <w:top w:w="0" w:type="dxa"/>
                    <w:left w:w="0" w:type="dxa"/>
                    <w:bottom w:w="0" w:type="dxa"/>
                    <w:right w:w="0" w:type="dxa"/>
                  </w:tcMar>
                  <w:vAlign w:val="center"/>
                </w:tcPr>
                <w:p w14:paraId="3CAA7F8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4CDDF0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50FFF3F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3E25EB3">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00C41E1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开卷机</w:t>
                  </w:r>
                </w:p>
              </w:tc>
              <w:tc>
                <w:tcPr>
                  <w:tcW w:w="264" w:type="pct"/>
                  <w:tcBorders>
                    <w:tl2br w:val="nil"/>
                    <w:tr2bl w:val="nil"/>
                  </w:tcBorders>
                  <w:shd w:val="clear" w:color="auto" w:fill="auto"/>
                  <w:tcMar>
                    <w:top w:w="0" w:type="dxa"/>
                    <w:left w:w="0" w:type="dxa"/>
                    <w:bottom w:w="0" w:type="dxa"/>
                    <w:right w:w="0" w:type="dxa"/>
                  </w:tcMar>
                  <w:vAlign w:val="center"/>
                </w:tcPr>
                <w:p w14:paraId="68C3C7C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32845B3">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75585F1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57.9</w:t>
                  </w:r>
                </w:p>
              </w:tc>
              <w:tc>
                <w:tcPr>
                  <w:tcW w:w="242" w:type="pct"/>
                  <w:tcBorders>
                    <w:tl2br w:val="nil"/>
                    <w:tr2bl w:val="nil"/>
                  </w:tcBorders>
                  <w:shd w:val="clear" w:color="auto" w:fill="auto"/>
                  <w:tcMar>
                    <w:top w:w="0" w:type="dxa"/>
                    <w:left w:w="0" w:type="dxa"/>
                    <w:bottom w:w="0" w:type="dxa"/>
                    <w:right w:w="0" w:type="dxa"/>
                  </w:tcMar>
                  <w:vAlign w:val="center"/>
                </w:tcPr>
                <w:p w14:paraId="464BECE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2.7</w:t>
                  </w:r>
                </w:p>
              </w:tc>
              <w:tc>
                <w:tcPr>
                  <w:tcW w:w="120" w:type="pct"/>
                  <w:tcBorders>
                    <w:tl2br w:val="nil"/>
                    <w:tr2bl w:val="nil"/>
                  </w:tcBorders>
                  <w:shd w:val="clear" w:color="auto" w:fill="auto"/>
                  <w:tcMar>
                    <w:top w:w="0" w:type="dxa"/>
                    <w:left w:w="0" w:type="dxa"/>
                    <w:bottom w:w="0" w:type="dxa"/>
                    <w:right w:w="0" w:type="dxa"/>
                  </w:tcMar>
                  <w:vAlign w:val="center"/>
                </w:tcPr>
                <w:p w14:paraId="1C03DAA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42BF9A9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99.8</w:t>
                  </w:r>
                </w:p>
              </w:tc>
              <w:tc>
                <w:tcPr>
                  <w:tcW w:w="211" w:type="pct"/>
                  <w:tcBorders>
                    <w:tl2br w:val="nil"/>
                    <w:tr2bl w:val="nil"/>
                  </w:tcBorders>
                  <w:shd w:val="clear" w:color="auto" w:fill="auto"/>
                  <w:tcMar>
                    <w:top w:w="0" w:type="dxa"/>
                    <w:left w:w="0" w:type="dxa"/>
                    <w:bottom w:w="0" w:type="dxa"/>
                    <w:right w:w="0" w:type="dxa"/>
                  </w:tcMar>
                  <w:vAlign w:val="center"/>
                </w:tcPr>
                <w:p w14:paraId="3F376B3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260.2</w:t>
                  </w:r>
                </w:p>
              </w:tc>
              <w:tc>
                <w:tcPr>
                  <w:tcW w:w="211" w:type="pct"/>
                  <w:tcBorders>
                    <w:tl2br w:val="nil"/>
                    <w:tr2bl w:val="nil"/>
                  </w:tcBorders>
                  <w:shd w:val="clear" w:color="auto" w:fill="auto"/>
                  <w:tcMar>
                    <w:top w:w="0" w:type="dxa"/>
                    <w:left w:w="0" w:type="dxa"/>
                    <w:bottom w:w="0" w:type="dxa"/>
                    <w:right w:w="0" w:type="dxa"/>
                  </w:tcMar>
                  <w:vAlign w:val="center"/>
                </w:tcPr>
                <w:p w14:paraId="6E1C0A1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186.5</w:t>
                  </w:r>
                </w:p>
              </w:tc>
              <w:tc>
                <w:tcPr>
                  <w:tcW w:w="211" w:type="pct"/>
                  <w:tcBorders>
                    <w:tl2br w:val="nil"/>
                    <w:tr2bl w:val="nil"/>
                  </w:tcBorders>
                  <w:shd w:val="clear" w:color="auto" w:fill="auto"/>
                  <w:tcMar>
                    <w:top w:w="0" w:type="dxa"/>
                    <w:left w:w="0" w:type="dxa"/>
                    <w:bottom w:w="0" w:type="dxa"/>
                    <w:right w:w="0" w:type="dxa"/>
                  </w:tcMar>
                  <w:vAlign w:val="center"/>
                </w:tcPr>
                <w:p w14:paraId="3BB9BB3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181.6</w:t>
                  </w:r>
                </w:p>
              </w:tc>
              <w:tc>
                <w:tcPr>
                  <w:tcW w:w="166" w:type="pct"/>
                  <w:tcBorders>
                    <w:tl2br w:val="nil"/>
                    <w:tr2bl w:val="nil"/>
                  </w:tcBorders>
                  <w:shd w:val="clear" w:color="auto" w:fill="auto"/>
                  <w:tcMar>
                    <w:top w:w="0" w:type="dxa"/>
                    <w:left w:w="0" w:type="dxa"/>
                    <w:bottom w:w="0" w:type="dxa"/>
                    <w:right w:w="0" w:type="dxa"/>
                  </w:tcMar>
                  <w:vAlign w:val="center"/>
                </w:tcPr>
                <w:p w14:paraId="727C7B7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10CD413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1F14B37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65836BE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223" w:type="pct"/>
                  <w:tcBorders>
                    <w:tl2br w:val="nil"/>
                    <w:tr2bl w:val="nil"/>
                  </w:tcBorders>
                  <w:shd w:val="clear" w:color="auto" w:fill="auto"/>
                  <w:tcMar>
                    <w:top w:w="0" w:type="dxa"/>
                    <w:left w:w="0" w:type="dxa"/>
                    <w:bottom w:w="0" w:type="dxa"/>
                    <w:right w:w="0" w:type="dxa"/>
                  </w:tcMar>
                  <w:vAlign w:val="center"/>
                </w:tcPr>
                <w:p w14:paraId="57323E3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103CFF5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9F3DA5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3F2A1F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7BEBBC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D78992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4287EEC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3BA118B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0152916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04" w:type="pct"/>
                  <w:tcBorders>
                    <w:tl2br w:val="nil"/>
                    <w:tr2bl w:val="nil"/>
                  </w:tcBorders>
                  <w:shd w:val="clear" w:color="auto" w:fill="auto"/>
                  <w:tcMar>
                    <w:top w:w="0" w:type="dxa"/>
                    <w:left w:w="0" w:type="dxa"/>
                    <w:bottom w:w="0" w:type="dxa"/>
                    <w:right w:w="0" w:type="dxa"/>
                  </w:tcMar>
                  <w:vAlign w:val="center"/>
                </w:tcPr>
                <w:p w14:paraId="2662118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7783B9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FCEBD3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63</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1458626">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462D4E1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卷取机</w:t>
                  </w:r>
                </w:p>
              </w:tc>
              <w:tc>
                <w:tcPr>
                  <w:tcW w:w="264" w:type="pct"/>
                  <w:tcBorders>
                    <w:tl2br w:val="nil"/>
                    <w:tr2bl w:val="nil"/>
                  </w:tcBorders>
                  <w:shd w:val="clear" w:color="auto" w:fill="auto"/>
                  <w:tcMar>
                    <w:top w:w="0" w:type="dxa"/>
                    <w:left w:w="0" w:type="dxa"/>
                    <w:bottom w:w="0" w:type="dxa"/>
                    <w:right w:w="0" w:type="dxa"/>
                  </w:tcMar>
                  <w:vAlign w:val="center"/>
                </w:tcPr>
                <w:p w14:paraId="7010638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845E476">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1FD4860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57.7</w:t>
                  </w:r>
                </w:p>
              </w:tc>
              <w:tc>
                <w:tcPr>
                  <w:tcW w:w="242" w:type="pct"/>
                  <w:tcBorders>
                    <w:tl2br w:val="nil"/>
                    <w:tr2bl w:val="nil"/>
                  </w:tcBorders>
                  <w:shd w:val="clear" w:color="auto" w:fill="auto"/>
                  <w:tcMar>
                    <w:top w:w="0" w:type="dxa"/>
                    <w:left w:w="0" w:type="dxa"/>
                    <w:bottom w:w="0" w:type="dxa"/>
                    <w:right w:w="0" w:type="dxa"/>
                  </w:tcMar>
                  <w:vAlign w:val="center"/>
                </w:tcPr>
                <w:p w14:paraId="70C74F6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4.2</w:t>
                  </w:r>
                </w:p>
              </w:tc>
              <w:tc>
                <w:tcPr>
                  <w:tcW w:w="120" w:type="pct"/>
                  <w:tcBorders>
                    <w:tl2br w:val="nil"/>
                    <w:tr2bl w:val="nil"/>
                  </w:tcBorders>
                  <w:shd w:val="clear" w:color="auto" w:fill="auto"/>
                  <w:tcMar>
                    <w:top w:w="0" w:type="dxa"/>
                    <w:left w:w="0" w:type="dxa"/>
                    <w:bottom w:w="0" w:type="dxa"/>
                    <w:right w:w="0" w:type="dxa"/>
                  </w:tcMar>
                  <w:vAlign w:val="center"/>
                </w:tcPr>
                <w:p w14:paraId="6EFBAD9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06AB540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100.5</w:t>
                  </w:r>
                </w:p>
              </w:tc>
              <w:tc>
                <w:tcPr>
                  <w:tcW w:w="211" w:type="pct"/>
                  <w:tcBorders>
                    <w:tl2br w:val="nil"/>
                    <w:tr2bl w:val="nil"/>
                  </w:tcBorders>
                  <w:shd w:val="clear" w:color="auto" w:fill="auto"/>
                  <w:tcMar>
                    <w:top w:w="0" w:type="dxa"/>
                    <w:left w:w="0" w:type="dxa"/>
                    <w:bottom w:w="0" w:type="dxa"/>
                    <w:right w:w="0" w:type="dxa"/>
                  </w:tcMar>
                  <w:vAlign w:val="center"/>
                </w:tcPr>
                <w:p w14:paraId="40E230F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261.5</w:t>
                  </w:r>
                </w:p>
              </w:tc>
              <w:tc>
                <w:tcPr>
                  <w:tcW w:w="211" w:type="pct"/>
                  <w:tcBorders>
                    <w:tl2br w:val="nil"/>
                    <w:tr2bl w:val="nil"/>
                  </w:tcBorders>
                  <w:shd w:val="clear" w:color="auto" w:fill="auto"/>
                  <w:tcMar>
                    <w:top w:w="0" w:type="dxa"/>
                    <w:left w:w="0" w:type="dxa"/>
                    <w:bottom w:w="0" w:type="dxa"/>
                    <w:right w:w="0" w:type="dxa"/>
                  </w:tcMar>
                  <w:vAlign w:val="center"/>
                </w:tcPr>
                <w:p w14:paraId="36A63C9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187.8</w:t>
                  </w:r>
                </w:p>
              </w:tc>
              <w:tc>
                <w:tcPr>
                  <w:tcW w:w="211" w:type="pct"/>
                  <w:tcBorders>
                    <w:tl2br w:val="nil"/>
                    <w:tr2bl w:val="nil"/>
                  </w:tcBorders>
                  <w:shd w:val="clear" w:color="auto" w:fill="auto"/>
                  <w:tcMar>
                    <w:top w:w="0" w:type="dxa"/>
                    <w:left w:w="0" w:type="dxa"/>
                    <w:bottom w:w="0" w:type="dxa"/>
                    <w:right w:w="0" w:type="dxa"/>
                  </w:tcMar>
                  <w:vAlign w:val="center"/>
                </w:tcPr>
                <w:p w14:paraId="1C3180D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180.3</w:t>
                  </w:r>
                </w:p>
              </w:tc>
              <w:tc>
                <w:tcPr>
                  <w:tcW w:w="166" w:type="pct"/>
                  <w:tcBorders>
                    <w:tl2br w:val="nil"/>
                    <w:tr2bl w:val="nil"/>
                  </w:tcBorders>
                  <w:shd w:val="clear" w:color="auto" w:fill="auto"/>
                  <w:tcMar>
                    <w:top w:w="0" w:type="dxa"/>
                    <w:left w:w="0" w:type="dxa"/>
                    <w:bottom w:w="0" w:type="dxa"/>
                    <w:right w:w="0" w:type="dxa"/>
                  </w:tcMar>
                  <w:vAlign w:val="center"/>
                </w:tcPr>
                <w:p w14:paraId="68746B0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78FC49A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77D59F5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2B0C122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223" w:type="pct"/>
                  <w:tcBorders>
                    <w:tl2br w:val="nil"/>
                    <w:tr2bl w:val="nil"/>
                  </w:tcBorders>
                  <w:shd w:val="clear" w:color="auto" w:fill="auto"/>
                  <w:tcMar>
                    <w:top w:w="0" w:type="dxa"/>
                    <w:left w:w="0" w:type="dxa"/>
                    <w:bottom w:w="0" w:type="dxa"/>
                    <w:right w:w="0" w:type="dxa"/>
                  </w:tcMar>
                  <w:vAlign w:val="center"/>
                </w:tcPr>
                <w:p w14:paraId="16677FE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52F1704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B76A0E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CB5FDB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ECD890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721F6E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232B783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6368445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6F7F4F2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04" w:type="pct"/>
                  <w:tcBorders>
                    <w:tl2br w:val="nil"/>
                    <w:tr2bl w:val="nil"/>
                  </w:tcBorders>
                  <w:shd w:val="clear" w:color="auto" w:fill="auto"/>
                  <w:tcMar>
                    <w:top w:w="0" w:type="dxa"/>
                    <w:left w:w="0" w:type="dxa"/>
                    <w:bottom w:w="0" w:type="dxa"/>
                    <w:right w:w="0" w:type="dxa"/>
                  </w:tcMar>
                  <w:vAlign w:val="center"/>
                </w:tcPr>
                <w:p w14:paraId="6A91F00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2741F2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2F61DA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64</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2C549E4">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27F14D5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卷取机</w:t>
                  </w:r>
                </w:p>
              </w:tc>
              <w:tc>
                <w:tcPr>
                  <w:tcW w:w="264" w:type="pct"/>
                  <w:tcBorders>
                    <w:tl2br w:val="nil"/>
                    <w:tr2bl w:val="nil"/>
                  </w:tcBorders>
                  <w:shd w:val="clear" w:color="auto" w:fill="auto"/>
                  <w:tcMar>
                    <w:top w:w="0" w:type="dxa"/>
                    <w:left w:w="0" w:type="dxa"/>
                    <w:bottom w:w="0" w:type="dxa"/>
                    <w:right w:w="0" w:type="dxa"/>
                  </w:tcMar>
                  <w:vAlign w:val="center"/>
                </w:tcPr>
                <w:p w14:paraId="70AC124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03930D8">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2035F86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58.5</w:t>
                  </w:r>
                </w:p>
              </w:tc>
              <w:tc>
                <w:tcPr>
                  <w:tcW w:w="242" w:type="pct"/>
                  <w:tcBorders>
                    <w:tl2br w:val="nil"/>
                    <w:tr2bl w:val="nil"/>
                  </w:tcBorders>
                  <w:shd w:val="clear" w:color="auto" w:fill="auto"/>
                  <w:tcMar>
                    <w:top w:w="0" w:type="dxa"/>
                    <w:left w:w="0" w:type="dxa"/>
                    <w:bottom w:w="0" w:type="dxa"/>
                    <w:right w:w="0" w:type="dxa"/>
                  </w:tcMar>
                  <w:vAlign w:val="center"/>
                </w:tcPr>
                <w:p w14:paraId="2A53CA3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3.9</w:t>
                  </w:r>
                </w:p>
              </w:tc>
              <w:tc>
                <w:tcPr>
                  <w:tcW w:w="120" w:type="pct"/>
                  <w:tcBorders>
                    <w:tl2br w:val="nil"/>
                    <w:tr2bl w:val="nil"/>
                  </w:tcBorders>
                  <w:shd w:val="clear" w:color="auto" w:fill="auto"/>
                  <w:tcMar>
                    <w:top w:w="0" w:type="dxa"/>
                    <w:left w:w="0" w:type="dxa"/>
                    <w:bottom w:w="0" w:type="dxa"/>
                    <w:right w:w="0" w:type="dxa"/>
                  </w:tcMar>
                  <w:vAlign w:val="center"/>
                </w:tcPr>
                <w:p w14:paraId="353C0E5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426A84C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99.7</w:t>
                  </w:r>
                </w:p>
              </w:tc>
              <w:tc>
                <w:tcPr>
                  <w:tcW w:w="211" w:type="pct"/>
                  <w:tcBorders>
                    <w:tl2br w:val="nil"/>
                    <w:tr2bl w:val="nil"/>
                  </w:tcBorders>
                  <w:shd w:val="clear" w:color="auto" w:fill="auto"/>
                  <w:tcMar>
                    <w:top w:w="0" w:type="dxa"/>
                    <w:left w:w="0" w:type="dxa"/>
                    <w:bottom w:w="0" w:type="dxa"/>
                    <w:right w:w="0" w:type="dxa"/>
                  </w:tcMar>
                  <w:vAlign w:val="center"/>
                </w:tcPr>
                <w:p w14:paraId="56DFBA9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261.5</w:t>
                  </w:r>
                </w:p>
              </w:tc>
              <w:tc>
                <w:tcPr>
                  <w:tcW w:w="211" w:type="pct"/>
                  <w:tcBorders>
                    <w:tl2br w:val="nil"/>
                    <w:tr2bl w:val="nil"/>
                  </w:tcBorders>
                  <w:shd w:val="clear" w:color="auto" w:fill="auto"/>
                  <w:tcMar>
                    <w:top w:w="0" w:type="dxa"/>
                    <w:left w:w="0" w:type="dxa"/>
                    <w:bottom w:w="0" w:type="dxa"/>
                    <w:right w:w="0" w:type="dxa"/>
                  </w:tcMar>
                  <w:vAlign w:val="center"/>
                </w:tcPr>
                <w:p w14:paraId="0E83D74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187.9</w:t>
                  </w:r>
                </w:p>
              </w:tc>
              <w:tc>
                <w:tcPr>
                  <w:tcW w:w="211" w:type="pct"/>
                  <w:tcBorders>
                    <w:tl2br w:val="nil"/>
                    <w:tr2bl w:val="nil"/>
                  </w:tcBorders>
                  <w:shd w:val="clear" w:color="auto" w:fill="auto"/>
                  <w:tcMar>
                    <w:top w:w="0" w:type="dxa"/>
                    <w:left w:w="0" w:type="dxa"/>
                    <w:bottom w:w="0" w:type="dxa"/>
                    <w:right w:w="0" w:type="dxa"/>
                  </w:tcMar>
                  <w:vAlign w:val="center"/>
                </w:tcPr>
                <w:p w14:paraId="25D8462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180.2</w:t>
                  </w:r>
                </w:p>
              </w:tc>
              <w:tc>
                <w:tcPr>
                  <w:tcW w:w="166" w:type="pct"/>
                  <w:tcBorders>
                    <w:tl2br w:val="nil"/>
                    <w:tr2bl w:val="nil"/>
                  </w:tcBorders>
                  <w:shd w:val="clear" w:color="auto" w:fill="auto"/>
                  <w:tcMar>
                    <w:top w:w="0" w:type="dxa"/>
                    <w:left w:w="0" w:type="dxa"/>
                    <w:bottom w:w="0" w:type="dxa"/>
                    <w:right w:w="0" w:type="dxa"/>
                  </w:tcMar>
                  <w:vAlign w:val="center"/>
                </w:tcPr>
                <w:p w14:paraId="664B05F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6D54F28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76419A0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7F033D8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223" w:type="pct"/>
                  <w:tcBorders>
                    <w:tl2br w:val="nil"/>
                    <w:tr2bl w:val="nil"/>
                  </w:tcBorders>
                  <w:shd w:val="clear" w:color="auto" w:fill="auto"/>
                  <w:tcMar>
                    <w:top w:w="0" w:type="dxa"/>
                    <w:left w:w="0" w:type="dxa"/>
                    <w:bottom w:w="0" w:type="dxa"/>
                    <w:right w:w="0" w:type="dxa"/>
                  </w:tcMar>
                  <w:vAlign w:val="center"/>
                </w:tcPr>
                <w:p w14:paraId="4900EB5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7F61B22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E9731D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3140A3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E6FA35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E3BCAA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400978B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05D23AD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0042FC0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04" w:type="pct"/>
                  <w:tcBorders>
                    <w:tl2br w:val="nil"/>
                    <w:tr2bl w:val="nil"/>
                  </w:tcBorders>
                  <w:shd w:val="clear" w:color="auto" w:fill="auto"/>
                  <w:tcMar>
                    <w:top w:w="0" w:type="dxa"/>
                    <w:left w:w="0" w:type="dxa"/>
                    <w:bottom w:w="0" w:type="dxa"/>
                    <w:right w:w="0" w:type="dxa"/>
                  </w:tcMar>
                  <w:vAlign w:val="center"/>
                </w:tcPr>
                <w:p w14:paraId="68D5F79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098744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82F7D0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D2889B4">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45B399C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开收卷润滑泵,4台（按点声源组预测）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11DF099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90（等效后：96.0)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B58AF2C">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AFE3D0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58.5</w:t>
                  </w:r>
                </w:p>
              </w:tc>
              <w:tc>
                <w:tcPr>
                  <w:tcW w:w="242" w:type="pct"/>
                  <w:tcBorders>
                    <w:tl2br w:val="nil"/>
                    <w:tr2bl w:val="nil"/>
                  </w:tcBorders>
                  <w:shd w:val="clear" w:color="auto" w:fill="auto"/>
                  <w:tcMar>
                    <w:top w:w="0" w:type="dxa"/>
                    <w:left w:w="0" w:type="dxa"/>
                    <w:bottom w:w="0" w:type="dxa"/>
                    <w:right w:w="0" w:type="dxa"/>
                  </w:tcMar>
                  <w:vAlign w:val="center"/>
                </w:tcPr>
                <w:p w14:paraId="62991DA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w:t>
                  </w:r>
                </w:p>
              </w:tc>
              <w:tc>
                <w:tcPr>
                  <w:tcW w:w="120" w:type="pct"/>
                  <w:tcBorders>
                    <w:tl2br w:val="nil"/>
                    <w:tr2bl w:val="nil"/>
                  </w:tcBorders>
                  <w:shd w:val="clear" w:color="auto" w:fill="auto"/>
                  <w:tcMar>
                    <w:top w:w="0" w:type="dxa"/>
                    <w:left w:w="0" w:type="dxa"/>
                    <w:bottom w:w="0" w:type="dxa"/>
                    <w:right w:w="0" w:type="dxa"/>
                  </w:tcMar>
                  <w:vAlign w:val="center"/>
                </w:tcPr>
                <w:p w14:paraId="3ADA05A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15ADDE9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100.1</w:t>
                  </w:r>
                </w:p>
              </w:tc>
              <w:tc>
                <w:tcPr>
                  <w:tcW w:w="211" w:type="pct"/>
                  <w:tcBorders>
                    <w:tl2br w:val="nil"/>
                    <w:tr2bl w:val="nil"/>
                  </w:tcBorders>
                  <w:shd w:val="clear" w:color="auto" w:fill="auto"/>
                  <w:tcMar>
                    <w:top w:w="0" w:type="dxa"/>
                    <w:left w:w="0" w:type="dxa"/>
                    <w:bottom w:w="0" w:type="dxa"/>
                    <w:right w:w="0" w:type="dxa"/>
                  </w:tcMar>
                  <w:vAlign w:val="center"/>
                </w:tcPr>
                <w:p w14:paraId="29C6000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262.5</w:t>
                  </w:r>
                </w:p>
              </w:tc>
              <w:tc>
                <w:tcPr>
                  <w:tcW w:w="211" w:type="pct"/>
                  <w:tcBorders>
                    <w:tl2br w:val="nil"/>
                    <w:tr2bl w:val="nil"/>
                  </w:tcBorders>
                  <w:shd w:val="clear" w:color="auto" w:fill="auto"/>
                  <w:tcMar>
                    <w:top w:w="0" w:type="dxa"/>
                    <w:left w:w="0" w:type="dxa"/>
                    <w:bottom w:w="0" w:type="dxa"/>
                    <w:right w:w="0" w:type="dxa"/>
                  </w:tcMar>
                  <w:vAlign w:val="center"/>
                </w:tcPr>
                <w:p w14:paraId="7FA359A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188.9</w:t>
                  </w:r>
                </w:p>
              </w:tc>
              <w:tc>
                <w:tcPr>
                  <w:tcW w:w="211" w:type="pct"/>
                  <w:tcBorders>
                    <w:tl2br w:val="nil"/>
                    <w:tr2bl w:val="nil"/>
                  </w:tcBorders>
                  <w:shd w:val="clear" w:color="auto" w:fill="auto"/>
                  <w:tcMar>
                    <w:top w:w="0" w:type="dxa"/>
                    <w:left w:w="0" w:type="dxa"/>
                    <w:bottom w:w="0" w:type="dxa"/>
                    <w:right w:w="0" w:type="dxa"/>
                  </w:tcMar>
                  <w:vAlign w:val="center"/>
                </w:tcPr>
                <w:p w14:paraId="7ABFF3F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179.2</w:t>
                  </w:r>
                </w:p>
              </w:tc>
              <w:tc>
                <w:tcPr>
                  <w:tcW w:w="166" w:type="pct"/>
                  <w:tcBorders>
                    <w:tl2br w:val="nil"/>
                    <w:tr2bl w:val="nil"/>
                  </w:tcBorders>
                  <w:shd w:val="clear" w:color="auto" w:fill="auto"/>
                  <w:tcMar>
                    <w:top w:w="0" w:type="dxa"/>
                    <w:left w:w="0" w:type="dxa"/>
                    <w:bottom w:w="0" w:type="dxa"/>
                    <w:right w:w="0" w:type="dxa"/>
                  </w:tcMar>
                  <w:vAlign w:val="center"/>
                </w:tcPr>
                <w:p w14:paraId="4F4031F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1A35F55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16B70C5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5B7C93E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223" w:type="pct"/>
                  <w:tcBorders>
                    <w:tl2br w:val="nil"/>
                    <w:tr2bl w:val="nil"/>
                  </w:tcBorders>
                  <w:shd w:val="clear" w:color="auto" w:fill="auto"/>
                  <w:tcMar>
                    <w:top w:w="0" w:type="dxa"/>
                    <w:left w:w="0" w:type="dxa"/>
                    <w:bottom w:w="0" w:type="dxa"/>
                    <w:right w:w="0" w:type="dxa"/>
                  </w:tcMar>
                  <w:vAlign w:val="center"/>
                </w:tcPr>
                <w:p w14:paraId="4CB3F72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3870CFC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385074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FA8F61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04A29A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5716F4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6479013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65301F2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658F9A7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04" w:type="pct"/>
                  <w:tcBorders>
                    <w:tl2br w:val="nil"/>
                    <w:tr2bl w:val="nil"/>
                  </w:tcBorders>
                  <w:shd w:val="clear" w:color="auto" w:fill="auto"/>
                  <w:tcMar>
                    <w:top w:w="0" w:type="dxa"/>
                    <w:left w:w="0" w:type="dxa"/>
                    <w:bottom w:w="0" w:type="dxa"/>
                    <w:right w:w="0" w:type="dxa"/>
                  </w:tcMar>
                  <w:vAlign w:val="center"/>
                </w:tcPr>
                <w:p w14:paraId="5BD8AA6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21361E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677CC49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66</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634DC27">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0B53835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烘干箱风机</w:t>
                  </w:r>
                </w:p>
              </w:tc>
              <w:tc>
                <w:tcPr>
                  <w:tcW w:w="264" w:type="pct"/>
                  <w:tcBorders>
                    <w:tl2br w:val="nil"/>
                    <w:tr2bl w:val="nil"/>
                  </w:tcBorders>
                  <w:shd w:val="clear" w:color="auto" w:fill="auto"/>
                  <w:tcMar>
                    <w:top w:w="0" w:type="dxa"/>
                    <w:left w:w="0" w:type="dxa"/>
                    <w:bottom w:w="0" w:type="dxa"/>
                    <w:right w:w="0" w:type="dxa"/>
                  </w:tcMar>
                  <w:vAlign w:val="center"/>
                </w:tcPr>
                <w:p w14:paraId="0A41D6C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7178EA1">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708974A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58.6</w:t>
                  </w:r>
                </w:p>
              </w:tc>
              <w:tc>
                <w:tcPr>
                  <w:tcW w:w="242" w:type="pct"/>
                  <w:tcBorders>
                    <w:tl2br w:val="nil"/>
                    <w:tr2bl w:val="nil"/>
                  </w:tcBorders>
                  <w:shd w:val="clear" w:color="auto" w:fill="auto"/>
                  <w:tcMar>
                    <w:top w:w="0" w:type="dxa"/>
                    <w:left w:w="0" w:type="dxa"/>
                    <w:bottom w:w="0" w:type="dxa"/>
                    <w:right w:w="0" w:type="dxa"/>
                  </w:tcMar>
                  <w:vAlign w:val="center"/>
                </w:tcPr>
                <w:p w14:paraId="7061D9B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5.5</w:t>
                  </w:r>
                </w:p>
              </w:tc>
              <w:tc>
                <w:tcPr>
                  <w:tcW w:w="120" w:type="pct"/>
                  <w:tcBorders>
                    <w:tl2br w:val="nil"/>
                    <w:tr2bl w:val="nil"/>
                  </w:tcBorders>
                  <w:shd w:val="clear" w:color="auto" w:fill="auto"/>
                  <w:tcMar>
                    <w:top w:w="0" w:type="dxa"/>
                    <w:left w:w="0" w:type="dxa"/>
                    <w:bottom w:w="0" w:type="dxa"/>
                    <w:right w:w="0" w:type="dxa"/>
                  </w:tcMar>
                  <w:vAlign w:val="center"/>
                </w:tcPr>
                <w:p w14:paraId="007B8B3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14BBE57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100.2</w:t>
                  </w:r>
                </w:p>
              </w:tc>
              <w:tc>
                <w:tcPr>
                  <w:tcW w:w="211" w:type="pct"/>
                  <w:tcBorders>
                    <w:tl2br w:val="nil"/>
                    <w:tr2bl w:val="nil"/>
                  </w:tcBorders>
                  <w:shd w:val="clear" w:color="auto" w:fill="auto"/>
                  <w:tcMar>
                    <w:top w:w="0" w:type="dxa"/>
                    <w:left w:w="0" w:type="dxa"/>
                    <w:bottom w:w="0" w:type="dxa"/>
                    <w:right w:w="0" w:type="dxa"/>
                  </w:tcMar>
                  <w:vAlign w:val="center"/>
                </w:tcPr>
                <w:p w14:paraId="27B9ECB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263.0</w:t>
                  </w:r>
                </w:p>
              </w:tc>
              <w:tc>
                <w:tcPr>
                  <w:tcW w:w="211" w:type="pct"/>
                  <w:tcBorders>
                    <w:tl2br w:val="nil"/>
                    <w:tr2bl w:val="nil"/>
                  </w:tcBorders>
                  <w:shd w:val="clear" w:color="auto" w:fill="auto"/>
                  <w:tcMar>
                    <w:top w:w="0" w:type="dxa"/>
                    <w:left w:w="0" w:type="dxa"/>
                    <w:bottom w:w="0" w:type="dxa"/>
                    <w:right w:w="0" w:type="dxa"/>
                  </w:tcMar>
                  <w:vAlign w:val="center"/>
                </w:tcPr>
                <w:p w14:paraId="3F99FB0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189.4</w:t>
                  </w:r>
                </w:p>
              </w:tc>
              <w:tc>
                <w:tcPr>
                  <w:tcW w:w="211" w:type="pct"/>
                  <w:tcBorders>
                    <w:tl2br w:val="nil"/>
                    <w:tr2bl w:val="nil"/>
                  </w:tcBorders>
                  <w:shd w:val="clear" w:color="auto" w:fill="auto"/>
                  <w:tcMar>
                    <w:top w:w="0" w:type="dxa"/>
                    <w:left w:w="0" w:type="dxa"/>
                    <w:bottom w:w="0" w:type="dxa"/>
                    <w:right w:w="0" w:type="dxa"/>
                  </w:tcMar>
                  <w:vAlign w:val="center"/>
                </w:tcPr>
                <w:p w14:paraId="0374746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178.7</w:t>
                  </w:r>
                </w:p>
              </w:tc>
              <w:tc>
                <w:tcPr>
                  <w:tcW w:w="166" w:type="pct"/>
                  <w:tcBorders>
                    <w:tl2br w:val="nil"/>
                    <w:tr2bl w:val="nil"/>
                  </w:tcBorders>
                  <w:shd w:val="clear" w:color="auto" w:fill="auto"/>
                  <w:tcMar>
                    <w:top w:w="0" w:type="dxa"/>
                    <w:left w:w="0" w:type="dxa"/>
                    <w:bottom w:w="0" w:type="dxa"/>
                    <w:right w:w="0" w:type="dxa"/>
                  </w:tcMar>
                  <w:vAlign w:val="center"/>
                </w:tcPr>
                <w:p w14:paraId="50C43BD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237497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FBB5AD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57233D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3DF0573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7C647BC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0A04D6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761060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74178F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65ABBB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DC32F9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F579A5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96C2B3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3F3A866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22F6A5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59EB8AA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1DF9D98">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0C7AE79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涂层循环泵</w:t>
                  </w:r>
                </w:p>
              </w:tc>
              <w:tc>
                <w:tcPr>
                  <w:tcW w:w="264" w:type="pct"/>
                  <w:tcBorders>
                    <w:tl2br w:val="nil"/>
                    <w:tr2bl w:val="nil"/>
                  </w:tcBorders>
                  <w:shd w:val="clear" w:color="auto" w:fill="auto"/>
                  <w:tcMar>
                    <w:top w:w="0" w:type="dxa"/>
                    <w:left w:w="0" w:type="dxa"/>
                    <w:bottom w:w="0" w:type="dxa"/>
                    <w:right w:w="0" w:type="dxa"/>
                  </w:tcMar>
                  <w:vAlign w:val="center"/>
                </w:tcPr>
                <w:p w14:paraId="3DC6058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2E16020">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61DB1CB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59</w:t>
                  </w:r>
                </w:p>
              </w:tc>
              <w:tc>
                <w:tcPr>
                  <w:tcW w:w="242" w:type="pct"/>
                  <w:tcBorders>
                    <w:tl2br w:val="nil"/>
                    <w:tr2bl w:val="nil"/>
                  </w:tcBorders>
                  <w:shd w:val="clear" w:color="auto" w:fill="auto"/>
                  <w:tcMar>
                    <w:top w:w="0" w:type="dxa"/>
                    <w:left w:w="0" w:type="dxa"/>
                    <w:bottom w:w="0" w:type="dxa"/>
                    <w:right w:w="0" w:type="dxa"/>
                  </w:tcMar>
                  <w:vAlign w:val="center"/>
                </w:tcPr>
                <w:p w14:paraId="78115F8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5.6</w:t>
                  </w:r>
                </w:p>
              </w:tc>
              <w:tc>
                <w:tcPr>
                  <w:tcW w:w="120" w:type="pct"/>
                  <w:tcBorders>
                    <w:tl2br w:val="nil"/>
                    <w:tr2bl w:val="nil"/>
                  </w:tcBorders>
                  <w:shd w:val="clear" w:color="auto" w:fill="auto"/>
                  <w:tcMar>
                    <w:top w:w="0" w:type="dxa"/>
                    <w:left w:w="0" w:type="dxa"/>
                    <w:bottom w:w="0" w:type="dxa"/>
                    <w:right w:w="0" w:type="dxa"/>
                  </w:tcMar>
                  <w:vAlign w:val="center"/>
                </w:tcPr>
                <w:p w14:paraId="36B68FB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726B702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99.8</w:t>
                  </w:r>
                </w:p>
              </w:tc>
              <w:tc>
                <w:tcPr>
                  <w:tcW w:w="211" w:type="pct"/>
                  <w:tcBorders>
                    <w:tl2br w:val="nil"/>
                    <w:tr2bl w:val="nil"/>
                  </w:tcBorders>
                  <w:shd w:val="clear" w:color="auto" w:fill="auto"/>
                  <w:tcMar>
                    <w:top w:w="0" w:type="dxa"/>
                    <w:left w:w="0" w:type="dxa"/>
                    <w:bottom w:w="0" w:type="dxa"/>
                    <w:right w:w="0" w:type="dxa"/>
                  </w:tcMar>
                  <w:vAlign w:val="center"/>
                </w:tcPr>
                <w:p w14:paraId="38F2746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263.3</w:t>
                  </w:r>
                </w:p>
              </w:tc>
              <w:tc>
                <w:tcPr>
                  <w:tcW w:w="211" w:type="pct"/>
                  <w:tcBorders>
                    <w:tl2br w:val="nil"/>
                    <w:tr2bl w:val="nil"/>
                  </w:tcBorders>
                  <w:shd w:val="clear" w:color="auto" w:fill="auto"/>
                  <w:tcMar>
                    <w:top w:w="0" w:type="dxa"/>
                    <w:left w:w="0" w:type="dxa"/>
                    <w:bottom w:w="0" w:type="dxa"/>
                    <w:right w:w="0" w:type="dxa"/>
                  </w:tcMar>
                  <w:vAlign w:val="center"/>
                </w:tcPr>
                <w:p w14:paraId="6158DB6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189.6</w:t>
                  </w:r>
                </w:p>
              </w:tc>
              <w:tc>
                <w:tcPr>
                  <w:tcW w:w="211" w:type="pct"/>
                  <w:tcBorders>
                    <w:tl2br w:val="nil"/>
                    <w:tr2bl w:val="nil"/>
                  </w:tcBorders>
                  <w:shd w:val="clear" w:color="auto" w:fill="auto"/>
                  <w:tcMar>
                    <w:top w:w="0" w:type="dxa"/>
                    <w:left w:w="0" w:type="dxa"/>
                    <w:bottom w:w="0" w:type="dxa"/>
                    <w:right w:w="0" w:type="dxa"/>
                  </w:tcMar>
                  <w:vAlign w:val="center"/>
                </w:tcPr>
                <w:p w14:paraId="2A6E2B9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178.5</w:t>
                  </w:r>
                </w:p>
              </w:tc>
              <w:tc>
                <w:tcPr>
                  <w:tcW w:w="166" w:type="pct"/>
                  <w:tcBorders>
                    <w:tl2br w:val="nil"/>
                    <w:tr2bl w:val="nil"/>
                  </w:tcBorders>
                  <w:shd w:val="clear" w:color="auto" w:fill="auto"/>
                  <w:tcMar>
                    <w:top w:w="0" w:type="dxa"/>
                    <w:left w:w="0" w:type="dxa"/>
                    <w:bottom w:w="0" w:type="dxa"/>
                    <w:right w:w="0" w:type="dxa"/>
                  </w:tcMar>
                  <w:vAlign w:val="center"/>
                </w:tcPr>
                <w:p w14:paraId="485F229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226C1C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F2DE4D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FDB106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28C4D70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2CD1748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67C3B0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03E19E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CE1213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FA233C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4A4789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5A7E22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3695B2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46260A4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3CB707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098FEC6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68</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8799DE9">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6731514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涂层循环泵</w:t>
                  </w:r>
                </w:p>
              </w:tc>
              <w:tc>
                <w:tcPr>
                  <w:tcW w:w="264" w:type="pct"/>
                  <w:tcBorders>
                    <w:tl2br w:val="nil"/>
                    <w:tr2bl w:val="nil"/>
                  </w:tcBorders>
                  <w:shd w:val="clear" w:color="auto" w:fill="auto"/>
                  <w:tcMar>
                    <w:top w:w="0" w:type="dxa"/>
                    <w:left w:w="0" w:type="dxa"/>
                    <w:bottom w:w="0" w:type="dxa"/>
                    <w:right w:w="0" w:type="dxa"/>
                  </w:tcMar>
                  <w:vAlign w:val="center"/>
                </w:tcPr>
                <w:p w14:paraId="6F98F7C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6C687BF">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28BD93E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58.8</w:t>
                  </w:r>
                </w:p>
              </w:tc>
              <w:tc>
                <w:tcPr>
                  <w:tcW w:w="242" w:type="pct"/>
                  <w:tcBorders>
                    <w:tl2br w:val="nil"/>
                    <w:tr2bl w:val="nil"/>
                  </w:tcBorders>
                  <w:shd w:val="clear" w:color="auto" w:fill="auto"/>
                  <w:tcMar>
                    <w:top w:w="0" w:type="dxa"/>
                    <w:left w:w="0" w:type="dxa"/>
                    <w:bottom w:w="0" w:type="dxa"/>
                    <w:right w:w="0" w:type="dxa"/>
                  </w:tcMar>
                  <w:vAlign w:val="center"/>
                </w:tcPr>
                <w:p w14:paraId="3522EB3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w:t>
                  </w:r>
                </w:p>
              </w:tc>
              <w:tc>
                <w:tcPr>
                  <w:tcW w:w="120" w:type="pct"/>
                  <w:tcBorders>
                    <w:tl2br w:val="nil"/>
                    <w:tr2bl w:val="nil"/>
                  </w:tcBorders>
                  <w:shd w:val="clear" w:color="auto" w:fill="auto"/>
                  <w:tcMar>
                    <w:top w:w="0" w:type="dxa"/>
                    <w:left w:w="0" w:type="dxa"/>
                    <w:bottom w:w="0" w:type="dxa"/>
                    <w:right w:w="0" w:type="dxa"/>
                  </w:tcMar>
                  <w:vAlign w:val="center"/>
                </w:tcPr>
                <w:p w14:paraId="4380495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32F00ED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100.2</w:t>
                  </w:r>
                </w:p>
              </w:tc>
              <w:tc>
                <w:tcPr>
                  <w:tcW w:w="211" w:type="pct"/>
                  <w:tcBorders>
                    <w:tl2br w:val="nil"/>
                    <w:tr2bl w:val="nil"/>
                  </w:tcBorders>
                  <w:shd w:val="clear" w:color="auto" w:fill="auto"/>
                  <w:tcMar>
                    <w:top w:w="0" w:type="dxa"/>
                    <w:left w:w="0" w:type="dxa"/>
                    <w:bottom w:w="0" w:type="dxa"/>
                    <w:right w:w="0" w:type="dxa"/>
                  </w:tcMar>
                  <w:vAlign w:val="center"/>
                </w:tcPr>
                <w:p w14:paraId="0C54412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263.6</w:t>
                  </w:r>
                </w:p>
              </w:tc>
              <w:tc>
                <w:tcPr>
                  <w:tcW w:w="211" w:type="pct"/>
                  <w:tcBorders>
                    <w:tl2br w:val="nil"/>
                    <w:tr2bl w:val="nil"/>
                  </w:tcBorders>
                  <w:shd w:val="clear" w:color="auto" w:fill="auto"/>
                  <w:tcMar>
                    <w:top w:w="0" w:type="dxa"/>
                    <w:left w:w="0" w:type="dxa"/>
                    <w:bottom w:w="0" w:type="dxa"/>
                    <w:right w:w="0" w:type="dxa"/>
                  </w:tcMar>
                  <w:vAlign w:val="center"/>
                </w:tcPr>
                <w:p w14:paraId="03E2C45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189.9</w:t>
                  </w:r>
                </w:p>
              </w:tc>
              <w:tc>
                <w:tcPr>
                  <w:tcW w:w="211" w:type="pct"/>
                  <w:tcBorders>
                    <w:tl2br w:val="nil"/>
                    <w:tr2bl w:val="nil"/>
                  </w:tcBorders>
                  <w:shd w:val="clear" w:color="auto" w:fill="auto"/>
                  <w:tcMar>
                    <w:top w:w="0" w:type="dxa"/>
                    <w:left w:w="0" w:type="dxa"/>
                    <w:bottom w:w="0" w:type="dxa"/>
                    <w:right w:w="0" w:type="dxa"/>
                  </w:tcMar>
                  <w:vAlign w:val="center"/>
                </w:tcPr>
                <w:p w14:paraId="116EB16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178.2</w:t>
                  </w:r>
                </w:p>
              </w:tc>
              <w:tc>
                <w:tcPr>
                  <w:tcW w:w="166" w:type="pct"/>
                  <w:tcBorders>
                    <w:tl2br w:val="nil"/>
                    <w:tr2bl w:val="nil"/>
                  </w:tcBorders>
                  <w:shd w:val="clear" w:color="auto" w:fill="auto"/>
                  <w:tcMar>
                    <w:top w:w="0" w:type="dxa"/>
                    <w:left w:w="0" w:type="dxa"/>
                    <w:bottom w:w="0" w:type="dxa"/>
                    <w:right w:w="0" w:type="dxa"/>
                  </w:tcMar>
                  <w:vAlign w:val="center"/>
                </w:tcPr>
                <w:p w14:paraId="1442F00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7AD260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37E9ED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58E45A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744431A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241C120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11AA90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E08F43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846191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5D96F8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A27D08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693EDB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77E7ED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5B463C8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0B7A96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3800E5E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69</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A93A36A">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44056E1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涂层供给泵</w:t>
                  </w:r>
                </w:p>
              </w:tc>
              <w:tc>
                <w:tcPr>
                  <w:tcW w:w="264" w:type="pct"/>
                  <w:tcBorders>
                    <w:tl2br w:val="nil"/>
                    <w:tr2bl w:val="nil"/>
                  </w:tcBorders>
                  <w:shd w:val="clear" w:color="auto" w:fill="auto"/>
                  <w:tcMar>
                    <w:top w:w="0" w:type="dxa"/>
                    <w:left w:w="0" w:type="dxa"/>
                    <w:bottom w:w="0" w:type="dxa"/>
                    <w:right w:w="0" w:type="dxa"/>
                  </w:tcMar>
                  <w:vAlign w:val="center"/>
                </w:tcPr>
                <w:p w14:paraId="6A25940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DC1600A">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6BD4618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59.1</w:t>
                  </w:r>
                </w:p>
              </w:tc>
              <w:tc>
                <w:tcPr>
                  <w:tcW w:w="242" w:type="pct"/>
                  <w:tcBorders>
                    <w:tl2br w:val="nil"/>
                    <w:tr2bl w:val="nil"/>
                  </w:tcBorders>
                  <w:shd w:val="clear" w:color="auto" w:fill="auto"/>
                  <w:tcMar>
                    <w:top w:w="0" w:type="dxa"/>
                    <w:left w:w="0" w:type="dxa"/>
                    <w:bottom w:w="0" w:type="dxa"/>
                    <w:right w:w="0" w:type="dxa"/>
                  </w:tcMar>
                  <w:vAlign w:val="center"/>
                </w:tcPr>
                <w:p w14:paraId="292D30A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w:t>
                  </w:r>
                </w:p>
              </w:tc>
              <w:tc>
                <w:tcPr>
                  <w:tcW w:w="120" w:type="pct"/>
                  <w:tcBorders>
                    <w:tl2br w:val="nil"/>
                    <w:tr2bl w:val="nil"/>
                  </w:tcBorders>
                  <w:shd w:val="clear" w:color="auto" w:fill="auto"/>
                  <w:tcMar>
                    <w:top w:w="0" w:type="dxa"/>
                    <w:left w:w="0" w:type="dxa"/>
                    <w:bottom w:w="0" w:type="dxa"/>
                    <w:right w:w="0" w:type="dxa"/>
                  </w:tcMar>
                  <w:vAlign w:val="center"/>
                </w:tcPr>
                <w:p w14:paraId="2336E53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04FB1DD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99.9</w:t>
                  </w:r>
                </w:p>
              </w:tc>
              <w:tc>
                <w:tcPr>
                  <w:tcW w:w="211" w:type="pct"/>
                  <w:tcBorders>
                    <w:tl2br w:val="nil"/>
                    <w:tr2bl w:val="nil"/>
                  </w:tcBorders>
                  <w:shd w:val="clear" w:color="auto" w:fill="auto"/>
                  <w:tcMar>
                    <w:top w:w="0" w:type="dxa"/>
                    <w:left w:w="0" w:type="dxa"/>
                    <w:bottom w:w="0" w:type="dxa"/>
                    <w:right w:w="0" w:type="dxa"/>
                  </w:tcMar>
                  <w:vAlign w:val="center"/>
                </w:tcPr>
                <w:p w14:paraId="74A466B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263.7</w:t>
                  </w:r>
                </w:p>
              </w:tc>
              <w:tc>
                <w:tcPr>
                  <w:tcW w:w="211" w:type="pct"/>
                  <w:tcBorders>
                    <w:tl2br w:val="nil"/>
                    <w:tr2bl w:val="nil"/>
                  </w:tcBorders>
                  <w:shd w:val="clear" w:color="auto" w:fill="auto"/>
                  <w:tcMar>
                    <w:top w:w="0" w:type="dxa"/>
                    <w:left w:w="0" w:type="dxa"/>
                    <w:bottom w:w="0" w:type="dxa"/>
                    <w:right w:w="0" w:type="dxa"/>
                  </w:tcMar>
                  <w:vAlign w:val="center"/>
                </w:tcPr>
                <w:p w14:paraId="17B2648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190.0</w:t>
                  </w:r>
                </w:p>
              </w:tc>
              <w:tc>
                <w:tcPr>
                  <w:tcW w:w="211" w:type="pct"/>
                  <w:tcBorders>
                    <w:tl2br w:val="nil"/>
                    <w:tr2bl w:val="nil"/>
                  </w:tcBorders>
                  <w:shd w:val="clear" w:color="auto" w:fill="auto"/>
                  <w:tcMar>
                    <w:top w:w="0" w:type="dxa"/>
                    <w:left w:w="0" w:type="dxa"/>
                    <w:bottom w:w="0" w:type="dxa"/>
                    <w:right w:w="0" w:type="dxa"/>
                  </w:tcMar>
                  <w:vAlign w:val="center"/>
                </w:tcPr>
                <w:p w14:paraId="09804CC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178.1</w:t>
                  </w:r>
                </w:p>
              </w:tc>
              <w:tc>
                <w:tcPr>
                  <w:tcW w:w="166" w:type="pct"/>
                  <w:tcBorders>
                    <w:tl2br w:val="nil"/>
                    <w:tr2bl w:val="nil"/>
                  </w:tcBorders>
                  <w:shd w:val="clear" w:color="auto" w:fill="auto"/>
                  <w:tcMar>
                    <w:top w:w="0" w:type="dxa"/>
                    <w:left w:w="0" w:type="dxa"/>
                    <w:bottom w:w="0" w:type="dxa"/>
                    <w:right w:w="0" w:type="dxa"/>
                  </w:tcMar>
                  <w:vAlign w:val="center"/>
                </w:tcPr>
                <w:p w14:paraId="78EBA34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E3BBEA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838934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F33275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76A0976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2D5E0F9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8D1491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2ABB2B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94B3E1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53ABCB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70899C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0C73BE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918D30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62081D9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0E20C1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BEBBB5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F274DE9">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2A4F002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冷冻机组循环泵</w:t>
                  </w:r>
                </w:p>
              </w:tc>
              <w:tc>
                <w:tcPr>
                  <w:tcW w:w="264" w:type="pct"/>
                  <w:tcBorders>
                    <w:tl2br w:val="nil"/>
                    <w:tr2bl w:val="nil"/>
                  </w:tcBorders>
                  <w:shd w:val="clear" w:color="auto" w:fill="auto"/>
                  <w:tcMar>
                    <w:top w:w="0" w:type="dxa"/>
                    <w:left w:w="0" w:type="dxa"/>
                    <w:bottom w:w="0" w:type="dxa"/>
                    <w:right w:w="0" w:type="dxa"/>
                  </w:tcMar>
                  <w:vAlign w:val="center"/>
                </w:tcPr>
                <w:p w14:paraId="6C39BD4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23CD1A2">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7978695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59.4</w:t>
                  </w:r>
                </w:p>
              </w:tc>
              <w:tc>
                <w:tcPr>
                  <w:tcW w:w="242" w:type="pct"/>
                  <w:tcBorders>
                    <w:tl2br w:val="nil"/>
                    <w:tr2bl w:val="nil"/>
                  </w:tcBorders>
                  <w:shd w:val="clear" w:color="auto" w:fill="auto"/>
                  <w:tcMar>
                    <w:top w:w="0" w:type="dxa"/>
                    <w:left w:w="0" w:type="dxa"/>
                    <w:bottom w:w="0" w:type="dxa"/>
                    <w:right w:w="0" w:type="dxa"/>
                  </w:tcMar>
                  <w:vAlign w:val="center"/>
                </w:tcPr>
                <w:p w14:paraId="34F45BD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5.9</w:t>
                  </w:r>
                </w:p>
              </w:tc>
              <w:tc>
                <w:tcPr>
                  <w:tcW w:w="120" w:type="pct"/>
                  <w:tcBorders>
                    <w:tl2br w:val="nil"/>
                    <w:tr2bl w:val="nil"/>
                  </w:tcBorders>
                  <w:shd w:val="clear" w:color="auto" w:fill="auto"/>
                  <w:tcMar>
                    <w:top w:w="0" w:type="dxa"/>
                    <w:left w:w="0" w:type="dxa"/>
                    <w:bottom w:w="0" w:type="dxa"/>
                    <w:right w:w="0" w:type="dxa"/>
                  </w:tcMar>
                  <w:vAlign w:val="center"/>
                </w:tcPr>
                <w:p w14:paraId="62EA76B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434B97F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99.6</w:t>
                  </w:r>
                </w:p>
              </w:tc>
              <w:tc>
                <w:tcPr>
                  <w:tcW w:w="211" w:type="pct"/>
                  <w:tcBorders>
                    <w:tl2br w:val="nil"/>
                    <w:tr2bl w:val="nil"/>
                  </w:tcBorders>
                  <w:shd w:val="clear" w:color="auto" w:fill="auto"/>
                  <w:tcMar>
                    <w:top w:w="0" w:type="dxa"/>
                    <w:left w:w="0" w:type="dxa"/>
                    <w:bottom w:w="0" w:type="dxa"/>
                    <w:right w:w="0" w:type="dxa"/>
                  </w:tcMar>
                  <w:vAlign w:val="center"/>
                </w:tcPr>
                <w:p w14:paraId="5E5DE82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263.7</w:t>
                  </w:r>
                </w:p>
              </w:tc>
              <w:tc>
                <w:tcPr>
                  <w:tcW w:w="211" w:type="pct"/>
                  <w:tcBorders>
                    <w:tl2br w:val="nil"/>
                    <w:tr2bl w:val="nil"/>
                  </w:tcBorders>
                  <w:shd w:val="clear" w:color="auto" w:fill="auto"/>
                  <w:tcMar>
                    <w:top w:w="0" w:type="dxa"/>
                    <w:left w:w="0" w:type="dxa"/>
                    <w:bottom w:w="0" w:type="dxa"/>
                    <w:right w:w="0" w:type="dxa"/>
                  </w:tcMar>
                  <w:vAlign w:val="center"/>
                </w:tcPr>
                <w:p w14:paraId="1CC92EF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190.1</w:t>
                  </w:r>
                </w:p>
              </w:tc>
              <w:tc>
                <w:tcPr>
                  <w:tcW w:w="211" w:type="pct"/>
                  <w:tcBorders>
                    <w:tl2br w:val="nil"/>
                    <w:tr2bl w:val="nil"/>
                  </w:tcBorders>
                  <w:shd w:val="clear" w:color="auto" w:fill="auto"/>
                  <w:tcMar>
                    <w:top w:w="0" w:type="dxa"/>
                    <w:left w:w="0" w:type="dxa"/>
                    <w:bottom w:w="0" w:type="dxa"/>
                    <w:right w:w="0" w:type="dxa"/>
                  </w:tcMar>
                  <w:vAlign w:val="center"/>
                </w:tcPr>
                <w:p w14:paraId="7D0BE04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178.0</w:t>
                  </w:r>
                </w:p>
              </w:tc>
              <w:tc>
                <w:tcPr>
                  <w:tcW w:w="166" w:type="pct"/>
                  <w:tcBorders>
                    <w:tl2br w:val="nil"/>
                    <w:tr2bl w:val="nil"/>
                  </w:tcBorders>
                  <w:shd w:val="clear" w:color="auto" w:fill="auto"/>
                  <w:tcMar>
                    <w:top w:w="0" w:type="dxa"/>
                    <w:left w:w="0" w:type="dxa"/>
                    <w:bottom w:w="0" w:type="dxa"/>
                    <w:right w:w="0" w:type="dxa"/>
                  </w:tcMar>
                  <w:vAlign w:val="center"/>
                </w:tcPr>
                <w:p w14:paraId="11609DA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CB625D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5D52E0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833DA5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049F30B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57CE176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308E94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D8362B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BA9CFF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0BFCAA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9A4DBB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6C56B7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A4EE5D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0FEF2DD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0623C3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428AB83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71</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4E64204">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238363C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冷冻机组循环泵</w:t>
                  </w:r>
                </w:p>
              </w:tc>
              <w:tc>
                <w:tcPr>
                  <w:tcW w:w="264" w:type="pct"/>
                  <w:tcBorders>
                    <w:tl2br w:val="nil"/>
                    <w:tr2bl w:val="nil"/>
                  </w:tcBorders>
                  <w:shd w:val="clear" w:color="auto" w:fill="auto"/>
                  <w:tcMar>
                    <w:top w:w="0" w:type="dxa"/>
                    <w:left w:w="0" w:type="dxa"/>
                    <w:bottom w:w="0" w:type="dxa"/>
                    <w:right w:w="0" w:type="dxa"/>
                  </w:tcMar>
                  <w:vAlign w:val="center"/>
                </w:tcPr>
                <w:p w14:paraId="372FE12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87900CF">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1A08D6A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59</w:t>
                  </w:r>
                </w:p>
              </w:tc>
              <w:tc>
                <w:tcPr>
                  <w:tcW w:w="242" w:type="pct"/>
                  <w:tcBorders>
                    <w:tl2br w:val="nil"/>
                    <w:tr2bl w:val="nil"/>
                  </w:tcBorders>
                  <w:shd w:val="clear" w:color="auto" w:fill="auto"/>
                  <w:tcMar>
                    <w:top w:w="0" w:type="dxa"/>
                    <w:left w:w="0" w:type="dxa"/>
                    <w:bottom w:w="0" w:type="dxa"/>
                    <w:right w:w="0" w:type="dxa"/>
                  </w:tcMar>
                  <w:vAlign w:val="center"/>
                </w:tcPr>
                <w:p w14:paraId="2D6FDE0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6.5</w:t>
                  </w:r>
                </w:p>
              </w:tc>
              <w:tc>
                <w:tcPr>
                  <w:tcW w:w="120" w:type="pct"/>
                  <w:tcBorders>
                    <w:tl2br w:val="nil"/>
                    <w:tr2bl w:val="nil"/>
                  </w:tcBorders>
                  <w:shd w:val="clear" w:color="auto" w:fill="auto"/>
                  <w:tcMar>
                    <w:top w:w="0" w:type="dxa"/>
                    <w:left w:w="0" w:type="dxa"/>
                    <w:bottom w:w="0" w:type="dxa"/>
                    <w:right w:w="0" w:type="dxa"/>
                  </w:tcMar>
                  <w:vAlign w:val="center"/>
                </w:tcPr>
                <w:p w14:paraId="29D4B60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55EABF2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100.2</w:t>
                  </w:r>
                </w:p>
              </w:tc>
              <w:tc>
                <w:tcPr>
                  <w:tcW w:w="211" w:type="pct"/>
                  <w:tcBorders>
                    <w:tl2br w:val="nil"/>
                    <w:tr2bl w:val="nil"/>
                  </w:tcBorders>
                  <w:shd w:val="clear" w:color="auto" w:fill="auto"/>
                  <w:tcMar>
                    <w:top w:w="0" w:type="dxa"/>
                    <w:left w:w="0" w:type="dxa"/>
                    <w:bottom w:w="0" w:type="dxa"/>
                    <w:right w:w="0" w:type="dxa"/>
                  </w:tcMar>
                  <w:vAlign w:val="center"/>
                </w:tcPr>
                <w:p w14:paraId="626D4E2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264.1</w:t>
                  </w:r>
                </w:p>
              </w:tc>
              <w:tc>
                <w:tcPr>
                  <w:tcW w:w="211" w:type="pct"/>
                  <w:tcBorders>
                    <w:tl2br w:val="nil"/>
                    <w:tr2bl w:val="nil"/>
                  </w:tcBorders>
                  <w:shd w:val="clear" w:color="auto" w:fill="auto"/>
                  <w:tcMar>
                    <w:top w:w="0" w:type="dxa"/>
                    <w:left w:w="0" w:type="dxa"/>
                    <w:bottom w:w="0" w:type="dxa"/>
                    <w:right w:w="0" w:type="dxa"/>
                  </w:tcMar>
                  <w:vAlign w:val="center"/>
                </w:tcPr>
                <w:p w14:paraId="3A73EAA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190.4</w:t>
                  </w:r>
                </w:p>
              </w:tc>
              <w:tc>
                <w:tcPr>
                  <w:tcW w:w="211" w:type="pct"/>
                  <w:tcBorders>
                    <w:tl2br w:val="nil"/>
                    <w:tr2bl w:val="nil"/>
                  </w:tcBorders>
                  <w:shd w:val="clear" w:color="auto" w:fill="auto"/>
                  <w:tcMar>
                    <w:top w:w="0" w:type="dxa"/>
                    <w:left w:w="0" w:type="dxa"/>
                    <w:bottom w:w="0" w:type="dxa"/>
                    <w:right w:w="0" w:type="dxa"/>
                  </w:tcMar>
                  <w:vAlign w:val="center"/>
                </w:tcPr>
                <w:p w14:paraId="7CC017A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177.7</w:t>
                  </w:r>
                </w:p>
              </w:tc>
              <w:tc>
                <w:tcPr>
                  <w:tcW w:w="166" w:type="pct"/>
                  <w:tcBorders>
                    <w:tl2br w:val="nil"/>
                    <w:tr2bl w:val="nil"/>
                  </w:tcBorders>
                  <w:shd w:val="clear" w:color="auto" w:fill="auto"/>
                  <w:tcMar>
                    <w:top w:w="0" w:type="dxa"/>
                    <w:left w:w="0" w:type="dxa"/>
                    <w:bottom w:w="0" w:type="dxa"/>
                    <w:right w:w="0" w:type="dxa"/>
                  </w:tcMar>
                  <w:vAlign w:val="center"/>
                </w:tcPr>
                <w:p w14:paraId="114A8F7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0D9EAA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E45EAE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BC05EB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7069209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38F6D26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DDA373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7268D4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78B935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683517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2948DE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B7BA4B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E3BBD5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45CC384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2DB239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222B227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72</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3DF33B0">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0BC0054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涂层液废液泵</w:t>
                  </w:r>
                </w:p>
              </w:tc>
              <w:tc>
                <w:tcPr>
                  <w:tcW w:w="264" w:type="pct"/>
                  <w:tcBorders>
                    <w:tl2br w:val="nil"/>
                    <w:tr2bl w:val="nil"/>
                  </w:tcBorders>
                  <w:shd w:val="clear" w:color="auto" w:fill="auto"/>
                  <w:tcMar>
                    <w:top w:w="0" w:type="dxa"/>
                    <w:left w:w="0" w:type="dxa"/>
                    <w:bottom w:w="0" w:type="dxa"/>
                    <w:right w:w="0" w:type="dxa"/>
                  </w:tcMar>
                  <w:vAlign w:val="center"/>
                </w:tcPr>
                <w:p w14:paraId="4E317DB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4EF5DE9">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073B904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59.3</w:t>
                  </w:r>
                </w:p>
              </w:tc>
              <w:tc>
                <w:tcPr>
                  <w:tcW w:w="242" w:type="pct"/>
                  <w:tcBorders>
                    <w:tl2br w:val="nil"/>
                    <w:tr2bl w:val="nil"/>
                  </w:tcBorders>
                  <w:shd w:val="clear" w:color="auto" w:fill="auto"/>
                  <w:tcMar>
                    <w:top w:w="0" w:type="dxa"/>
                    <w:left w:w="0" w:type="dxa"/>
                    <w:bottom w:w="0" w:type="dxa"/>
                    <w:right w:w="0" w:type="dxa"/>
                  </w:tcMar>
                  <w:vAlign w:val="center"/>
                </w:tcPr>
                <w:p w14:paraId="18EE775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6.9</w:t>
                  </w:r>
                </w:p>
              </w:tc>
              <w:tc>
                <w:tcPr>
                  <w:tcW w:w="120" w:type="pct"/>
                  <w:tcBorders>
                    <w:tl2br w:val="nil"/>
                    <w:tr2bl w:val="nil"/>
                  </w:tcBorders>
                  <w:shd w:val="clear" w:color="auto" w:fill="auto"/>
                  <w:tcMar>
                    <w:top w:w="0" w:type="dxa"/>
                    <w:left w:w="0" w:type="dxa"/>
                    <w:bottom w:w="0" w:type="dxa"/>
                    <w:right w:w="0" w:type="dxa"/>
                  </w:tcMar>
                  <w:vAlign w:val="center"/>
                </w:tcPr>
                <w:p w14:paraId="6E5DA7D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6F6FC4C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100.0</w:t>
                  </w:r>
                </w:p>
              </w:tc>
              <w:tc>
                <w:tcPr>
                  <w:tcW w:w="211" w:type="pct"/>
                  <w:tcBorders>
                    <w:tl2br w:val="nil"/>
                    <w:tr2bl w:val="nil"/>
                  </w:tcBorders>
                  <w:shd w:val="clear" w:color="auto" w:fill="auto"/>
                  <w:tcMar>
                    <w:top w:w="0" w:type="dxa"/>
                    <w:left w:w="0" w:type="dxa"/>
                    <w:bottom w:w="0" w:type="dxa"/>
                    <w:right w:w="0" w:type="dxa"/>
                  </w:tcMar>
                  <w:vAlign w:val="center"/>
                </w:tcPr>
                <w:p w14:paraId="672A7E5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264.6</w:t>
                  </w:r>
                </w:p>
              </w:tc>
              <w:tc>
                <w:tcPr>
                  <w:tcW w:w="211" w:type="pct"/>
                  <w:tcBorders>
                    <w:tl2br w:val="nil"/>
                    <w:tr2bl w:val="nil"/>
                  </w:tcBorders>
                  <w:shd w:val="clear" w:color="auto" w:fill="auto"/>
                  <w:tcMar>
                    <w:top w:w="0" w:type="dxa"/>
                    <w:left w:w="0" w:type="dxa"/>
                    <w:bottom w:w="0" w:type="dxa"/>
                    <w:right w:w="0" w:type="dxa"/>
                  </w:tcMar>
                  <w:vAlign w:val="center"/>
                </w:tcPr>
                <w:p w14:paraId="54A38EC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190.9</w:t>
                  </w:r>
                </w:p>
              </w:tc>
              <w:tc>
                <w:tcPr>
                  <w:tcW w:w="211" w:type="pct"/>
                  <w:tcBorders>
                    <w:tl2br w:val="nil"/>
                    <w:tr2bl w:val="nil"/>
                  </w:tcBorders>
                  <w:shd w:val="clear" w:color="auto" w:fill="auto"/>
                  <w:tcMar>
                    <w:top w:w="0" w:type="dxa"/>
                    <w:left w:w="0" w:type="dxa"/>
                    <w:bottom w:w="0" w:type="dxa"/>
                    <w:right w:w="0" w:type="dxa"/>
                  </w:tcMar>
                  <w:vAlign w:val="center"/>
                </w:tcPr>
                <w:p w14:paraId="026F234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177.2</w:t>
                  </w:r>
                </w:p>
              </w:tc>
              <w:tc>
                <w:tcPr>
                  <w:tcW w:w="166" w:type="pct"/>
                  <w:tcBorders>
                    <w:tl2br w:val="nil"/>
                    <w:tr2bl w:val="nil"/>
                  </w:tcBorders>
                  <w:shd w:val="clear" w:color="auto" w:fill="auto"/>
                  <w:tcMar>
                    <w:top w:w="0" w:type="dxa"/>
                    <w:left w:w="0" w:type="dxa"/>
                    <w:bottom w:w="0" w:type="dxa"/>
                    <w:right w:w="0" w:type="dxa"/>
                  </w:tcMar>
                  <w:vAlign w:val="center"/>
                </w:tcPr>
                <w:p w14:paraId="6ED2891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9E2ABD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86D285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5BB8B2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309502C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0EFFF3D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E3AF95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D09AAA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EB0DA9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74FB9B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67A405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4D739B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2398C4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7B24AF0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51FAB2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5D299B0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EBD4686">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3A6C3F8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涂层液废液泵</w:t>
                  </w:r>
                </w:p>
              </w:tc>
              <w:tc>
                <w:tcPr>
                  <w:tcW w:w="264" w:type="pct"/>
                  <w:tcBorders>
                    <w:tl2br w:val="nil"/>
                    <w:tr2bl w:val="nil"/>
                  </w:tcBorders>
                  <w:shd w:val="clear" w:color="auto" w:fill="auto"/>
                  <w:tcMar>
                    <w:top w:w="0" w:type="dxa"/>
                    <w:left w:w="0" w:type="dxa"/>
                    <w:bottom w:w="0" w:type="dxa"/>
                    <w:right w:w="0" w:type="dxa"/>
                  </w:tcMar>
                  <w:vAlign w:val="center"/>
                </w:tcPr>
                <w:p w14:paraId="5750223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E3F5A4E">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354F763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59.6</w:t>
                  </w:r>
                </w:p>
              </w:tc>
              <w:tc>
                <w:tcPr>
                  <w:tcW w:w="242" w:type="pct"/>
                  <w:tcBorders>
                    <w:tl2br w:val="nil"/>
                    <w:tr2bl w:val="nil"/>
                  </w:tcBorders>
                  <w:shd w:val="clear" w:color="auto" w:fill="auto"/>
                  <w:tcMar>
                    <w:top w:w="0" w:type="dxa"/>
                    <w:left w:w="0" w:type="dxa"/>
                    <w:bottom w:w="0" w:type="dxa"/>
                    <w:right w:w="0" w:type="dxa"/>
                  </w:tcMar>
                  <w:vAlign w:val="center"/>
                </w:tcPr>
                <w:p w14:paraId="0082A94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6.8</w:t>
                  </w:r>
                </w:p>
              </w:tc>
              <w:tc>
                <w:tcPr>
                  <w:tcW w:w="120" w:type="pct"/>
                  <w:tcBorders>
                    <w:tl2br w:val="nil"/>
                    <w:tr2bl w:val="nil"/>
                  </w:tcBorders>
                  <w:shd w:val="clear" w:color="auto" w:fill="auto"/>
                  <w:tcMar>
                    <w:top w:w="0" w:type="dxa"/>
                    <w:left w:w="0" w:type="dxa"/>
                    <w:bottom w:w="0" w:type="dxa"/>
                    <w:right w:w="0" w:type="dxa"/>
                  </w:tcMar>
                  <w:vAlign w:val="center"/>
                </w:tcPr>
                <w:p w14:paraId="5C96EDD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18E9A42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99.7</w:t>
                  </w:r>
                </w:p>
              </w:tc>
              <w:tc>
                <w:tcPr>
                  <w:tcW w:w="211" w:type="pct"/>
                  <w:tcBorders>
                    <w:tl2br w:val="nil"/>
                    <w:tr2bl w:val="nil"/>
                  </w:tcBorders>
                  <w:shd w:val="clear" w:color="auto" w:fill="auto"/>
                  <w:tcMar>
                    <w:top w:w="0" w:type="dxa"/>
                    <w:left w:w="0" w:type="dxa"/>
                    <w:bottom w:w="0" w:type="dxa"/>
                    <w:right w:w="0" w:type="dxa"/>
                  </w:tcMar>
                  <w:vAlign w:val="center"/>
                </w:tcPr>
                <w:p w14:paraId="6738137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264.6</w:t>
                  </w:r>
                </w:p>
              </w:tc>
              <w:tc>
                <w:tcPr>
                  <w:tcW w:w="211" w:type="pct"/>
                  <w:tcBorders>
                    <w:tl2br w:val="nil"/>
                    <w:tr2bl w:val="nil"/>
                  </w:tcBorders>
                  <w:shd w:val="clear" w:color="auto" w:fill="auto"/>
                  <w:tcMar>
                    <w:top w:w="0" w:type="dxa"/>
                    <w:left w:w="0" w:type="dxa"/>
                    <w:bottom w:w="0" w:type="dxa"/>
                    <w:right w:w="0" w:type="dxa"/>
                  </w:tcMar>
                  <w:vAlign w:val="center"/>
                </w:tcPr>
                <w:p w14:paraId="070CFF4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191.0</w:t>
                  </w:r>
                </w:p>
              </w:tc>
              <w:tc>
                <w:tcPr>
                  <w:tcW w:w="211" w:type="pct"/>
                  <w:tcBorders>
                    <w:tl2br w:val="nil"/>
                    <w:tr2bl w:val="nil"/>
                  </w:tcBorders>
                  <w:shd w:val="clear" w:color="auto" w:fill="auto"/>
                  <w:tcMar>
                    <w:top w:w="0" w:type="dxa"/>
                    <w:left w:w="0" w:type="dxa"/>
                    <w:bottom w:w="0" w:type="dxa"/>
                    <w:right w:w="0" w:type="dxa"/>
                  </w:tcMar>
                  <w:vAlign w:val="center"/>
                </w:tcPr>
                <w:p w14:paraId="55C8CC6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177.1</w:t>
                  </w:r>
                </w:p>
              </w:tc>
              <w:tc>
                <w:tcPr>
                  <w:tcW w:w="166" w:type="pct"/>
                  <w:tcBorders>
                    <w:tl2br w:val="nil"/>
                    <w:tr2bl w:val="nil"/>
                  </w:tcBorders>
                  <w:shd w:val="clear" w:color="auto" w:fill="auto"/>
                  <w:tcMar>
                    <w:top w:w="0" w:type="dxa"/>
                    <w:left w:w="0" w:type="dxa"/>
                    <w:bottom w:w="0" w:type="dxa"/>
                    <w:right w:w="0" w:type="dxa"/>
                  </w:tcMar>
                  <w:vAlign w:val="center"/>
                </w:tcPr>
                <w:p w14:paraId="402E5BE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D01348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D341EC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78AB27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6F36F73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1FEA374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A910FF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BC6E00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6851CE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A14E6D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A4832D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2AFDCD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9D85CB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57BA769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56B193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E1F0AC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74</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82EB525">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24DEE9B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清洗段水泵1,8台（按点声源组预测）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3197815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90（等效后：99.0)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17552D9">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6271F93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59.9</w:t>
                  </w:r>
                </w:p>
              </w:tc>
              <w:tc>
                <w:tcPr>
                  <w:tcW w:w="242" w:type="pct"/>
                  <w:tcBorders>
                    <w:tl2br w:val="nil"/>
                    <w:tr2bl w:val="nil"/>
                  </w:tcBorders>
                  <w:shd w:val="clear" w:color="auto" w:fill="auto"/>
                  <w:tcMar>
                    <w:top w:w="0" w:type="dxa"/>
                    <w:left w:w="0" w:type="dxa"/>
                    <w:bottom w:w="0" w:type="dxa"/>
                    <w:right w:w="0" w:type="dxa"/>
                  </w:tcMar>
                  <w:vAlign w:val="center"/>
                </w:tcPr>
                <w:p w14:paraId="3A79867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6.5</w:t>
                  </w:r>
                </w:p>
              </w:tc>
              <w:tc>
                <w:tcPr>
                  <w:tcW w:w="120" w:type="pct"/>
                  <w:tcBorders>
                    <w:tl2br w:val="nil"/>
                    <w:tr2bl w:val="nil"/>
                  </w:tcBorders>
                  <w:shd w:val="clear" w:color="auto" w:fill="auto"/>
                  <w:tcMar>
                    <w:top w:w="0" w:type="dxa"/>
                    <w:left w:w="0" w:type="dxa"/>
                    <w:bottom w:w="0" w:type="dxa"/>
                    <w:right w:w="0" w:type="dxa"/>
                  </w:tcMar>
                  <w:vAlign w:val="center"/>
                </w:tcPr>
                <w:p w14:paraId="2C56004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401B436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99.3</w:t>
                  </w:r>
                </w:p>
              </w:tc>
              <w:tc>
                <w:tcPr>
                  <w:tcW w:w="211" w:type="pct"/>
                  <w:tcBorders>
                    <w:tl2br w:val="nil"/>
                    <w:tr2bl w:val="nil"/>
                  </w:tcBorders>
                  <w:shd w:val="clear" w:color="auto" w:fill="auto"/>
                  <w:tcMar>
                    <w:top w:w="0" w:type="dxa"/>
                    <w:left w:w="0" w:type="dxa"/>
                    <w:bottom w:w="0" w:type="dxa"/>
                    <w:right w:w="0" w:type="dxa"/>
                  </w:tcMar>
                  <w:vAlign w:val="center"/>
                </w:tcPr>
                <w:p w14:paraId="2403F1A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264.4</w:t>
                  </w:r>
                </w:p>
              </w:tc>
              <w:tc>
                <w:tcPr>
                  <w:tcW w:w="211" w:type="pct"/>
                  <w:tcBorders>
                    <w:tl2br w:val="nil"/>
                    <w:tr2bl w:val="nil"/>
                  </w:tcBorders>
                  <w:shd w:val="clear" w:color="auto" w:fill="auto"/>
                  <w:tcMar>
                    <w:top w:w="0" w:type="dxa"/>
                    <w:left w:w="0" w:type="dxa"/>
                    <w:bottom w:w="0" w:type="dxa"/>
                    <w:right w:w="0" w:type="dxa"/>
                  </w:tcMar>
                  <w:vAlign w:val="center"/>
                </w:tcPr>
                <w:p w14:paraId="0FAF05A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190.8</w:t>
                  </w:r>
                </w:p>
              </w:tc>
              <w:tc>
                <w:tcPr>
                  <w:tcW w:w="211" w:type="pct"/>
                  <w:tcBorders>
                    <w:tl2br w:val="nil"/>
                    <w:tr2bl w:val="nil"/>
                  </w:tcBorders>
                  <w:shd w:val="clear" w:color="auto" w:fill="auto"/>
                  <w:tcMar>
                    <w:top w:w="0" w:type="dxa"/>
                    <w:left w:w="0" w:type="dxa"/>
                    <w:bottom w:w="0" w:type="dxa"/>
                    <w:right w:w="0" w:type="dxa"/>
                  </w:tcMar>
                  <w:vAlign w:val="center"/>
                </w:tcPr>
                <w:p w14:paraId="4BA4053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177.3</w:t>
                  </w:r>
                </w:p>
              </w:tc>
              <w:tc>
                <w:tcPr>
                  <w:tcW w:w="166" w:type="pct"/>
                  <w:tcBorders>
                    <w:tl2br w:val="nil"/>
                    <w:tr2bl w:val="nil"/>
                  </w:tcBorders>
                  <w:shd w:val="clear" w:color="auto" w:fill="auto"/>
                  <w:tcMar>
                    <w:top w:w="0" w:type="dxa"/>
                    <w:left w:w="0" w:type="dxa"/>
                    <w:bottom w:w="0" w:type="dxa"/>
                    <w:right w:w="0" w:type="dxa"/>
                  </w:tcMar>
                  <w:vAlign w:val="center"/>
                </w:tcPr>
                <w:p w14:paraId="5FEE4A7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76.1</w:t>
                  </w:r>
                </w:p>
              </w:tc>
              <w:tc>
                <w:tcPr>
                  <w:tcW w:w="166" w:type="pct"/>
                  <w:tcBorders>
                    <w:tl2br w:val="nil"/>
                    <w:tr2bl w:val="nil"/>
                  </w:tcBorders>
                  <w:shd w:val="clear" w:color="auto" w:fill="auto"/>
                  <w:tcMar>
                    <w:top w:w="0" w:type="dxa"/>
                    <w:left w:w="0" w:type="dxa"/>
                    <w:bottom w:w="0" w:type="dxa"/>
                    <w:right w:w="0" w:type="dxa"/>
                  </w:tcMar>
                  <w:vAlign w:val="center"/>
                </w:tcPr>
                <w:p w14:paraId="2C73DAA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76.1</w:t>
                  </w:r>
                </w:p>
              </w:tc>
              <w:tc>
                <w:tcPr>
                  <w:tcW w:w="166" w:type="pct"/>
                  <w:tcBorders>
                    <w:tl2br w:val="nil"/>
                    <w:tr2bl w:val="nil"/>
                  </w:tcBorders>
                  <w:shd w:val="clear" w:color="auto" w:fill="auto"/>
                  <w:tcMar>
                    <w:top w:w="0" w:type="dxa"/>
                    <w:left w:w="0" w:type="dxa"/>
                    <w:bottom w:w="0" w:type="dxa"/>
                    <w:right w:w="0" w:type="dxa"/>
                  </w:tcMar>
                  <w:vAlign w:val="center"/>
                </w:tcPr>
                <w:p w14:paraId="738E48A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76.1</w:t>
                  </w:r>
                </w:p>
              </w:tc>
              <w:tc>
                <w:tcPr>
                  <w:tcW w:w="166" w:type="pct"/>
                  <w:tcBorders>
                    <w:tl2br w:val="nil"/>
                    <w:tr2bl w:val="nil"/>
                  </w:tcBorders>
                  <w:shd w:val="clear" w:color="auto" w:fill="auto"/>
                  <w:tcMar>
                    <w:top w:w="0" w:type="dxa"/>
                    <w:left w:w="0" w:type="dxa"/>
                    <w:bottom w:w="0" w:type="dxa"/>
                    <w:right w:w="0" w:type="dxa"/>
                  </w:tcMar>
                  <w:vAlign w:val="center"/>
                </w:tcPr>
                <w:p w14:paraId="03B246B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76.1</w:t>
                  </w:r>
                </w:p>
              </w:tc>
              <w:tc>
                <w:tcPr>
                  <w:tcW w:w="223" w:type="pct"/>
                  <w:tcBorders>
                    <w:tl2br w:val="nil"/>
                    <w:tr2bl w:val="nil"/>
                  </w:tcBorders>
                  <w:shd w:val="clear" w:color="auto" w:fill="auto"/>
                  <w:tcMar>
                    <w:top w:w="0" w:type="dxa"/>
                    <w:left w:w="0" w:type="dxa"/>
                    <w:bottom w:w="0" w:type="dxa"/>
                    <w:right w:w="0" w:type="dxa"/>
                  </w:tcMar>
                  <w:vAlign w:val="center"/>
                </w:tcPr>
                <w:p w14:paraId="4561018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12C12C1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1E63E4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4646E4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B87D4B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718DAC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55.1</w:t>
                  </w:r>
                </w:p>
              </w:tc>
              <w:tc>
                <w:tcPr>
                  <w:tcW w:w="166" w:type="pct"/>
                  <w:tcBorders>
                    <w:tl2br w:val="nil"/>
                    <w:tr2bl w:val="nil"/>
                  </w:tcBorders>
                  <w:shd w:val="clear" w:color="auto" w:fill="auto"/>
                  <w:tcMar>
                    <w:top w:w="0" w:type="dxa"/>
                    <w:left w:w="0" w:type="dxa"/>
                    <w:bottom w:w="0" w:type="dxa"/>
                    <w:right w:w="0" w:type="dxa"/>
                  </w:tcMar>
                  <w:vAlign w:val="center"/>
                </w:tcPr>
                <w:p w14:paraId="529AECB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55.1</w:t>
                  </w:r>
                </w:p>
              </w:tc>
              <w:tc>
                <w:tcPr>
                  <w:tcW w:w="166" w:type="pct"/>
                  <w:tcBorders>
                    <w:tl2br w:val="nil"/>
                    <w:tr2bl w:val="nil"/>
                  </w:tcBorders>
                  <w:shd w:val="clear" w:color="auto" w:fill="auto"/>
                  <w:tcMar>
                    <w:top w:w="0" w:type="dxa"/>
                    <w:left w:w="0" w:type="dxa"/>
                    <w:bottom w:w="0" w:type="dxa"/>
                    <w:right w:w="0" w:type="dxa"/>
                  </w:tcMar>
                  <w:vAlign w:val="center"/>
                </w:tcPr>
                <w:p w14:paraId="45222CD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55.1</w:t>
                  </w:r>
                </w:p>
              </w:tc>
              <w:tc>
                <w:tcPr>
                  <w:tcW w:w="166" w:type="pct"/>
                  <w:tcBorders>
                    <w:tl2br w:val="nil"/>
                    <w:tr2bl w:val="nil"/>
                  </w:tcBorders>
                  <w:shd w:val="clear" w:color="auto" w:fill="auto"/>
                  <w:tcMar>
                    <w:top w:w="0" w:type="dxa"/>
                    <w:left w:w="0" w:type="dxa"/>
                    <w:bottom w:w="0" w:type="dxa"/>
                    <w:right w:w="0" w:type="dxa"/>
                  </w:tcMar>
                  <w:vAlign w:val="center"/>
                </w:tcPr>
                <w:p w14:paraId="137C5EE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55.1</w:t>
                  </w:r>
                </w:p>
              </w:tc>
              <w:tc>
                <w:tcPr>
                  <w:tcW w:w="104" w:type="pct"/>
                  <w:tcBorders>
                    <w:tl2br w:val="nil"/>
                    <w:tr2bl w:val="nil"/>
                  </w:tcBorders>
                  <w:shd w:val="clear" w:color="auto" w:fill="auto"/>
                  <w:tcMar>
                    <w:top w:w="0" w:type="dxa"/>
                    <w:left w:w="0" w:type="dxa"/>
                    <w:bottom w:w="0" w:type="dxa"/>
                    <w:right w:w="0" w:type="dxa"/>
                  </w:tcMar>
                  <w:vAlign w:val="center"/>
                </w:tcPr>
                <w:p w14:paraId="4A315A3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067CF9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628BEB6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451AA46">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26906BC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清洗段水泵2,8台（按点声源组预测）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4503CE5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90（等效后：99.0)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00A4EB7">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36A777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60.1</w:t>
                  </w:r>
                </w:p>
              </w:tc>
              <w:tc>
                <w:tcPr>
                  <w:tcW w:w="242" w:type="pct"/>
                  <w:tcBorders>
                    <w:tl2br w:val="nil"/>
                    <w:tr2bl w:val="nil"/>
                  </w:tcBorders>
                  <w:shd w:val="clear" w:color="auto" w:fill="auto"/>
                  <w:tcMar>
                    <w:top w:w="0" w:type="dxa"/>
                    <w:left w:w="0" w:type="dxa"/>
                    <w:bottom w:w="0" w:type="dxa"/>
                    <w:right w:w="0" w:type="dxa"/>
                  </w:tcMar>
                  <w:vAlign w:val="center"/>
                </w:tcPr>
                <w:p w14:paraId="610723E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6.9</w:t>
                  </w:r>
                </w:p>
              </w:tc>
              <w:tc>
                <w:tcPr>
                  <w:tcW w:w="120" w:type="pct"/>
                  <w:tcBorders>
                    <w:tl2br w:val="nil"/>
                    <w:tr2bl w:val="nil"/>
                  </w:tcBorders>
                  <w:shd w:val="clear" w:color="auto" w:fill="auto"/>
                  <w:tcMar>
                    <w:top w:w="0" w:type="dxa"/>
                    <w:left w:w="0" w:type="dxa"/>
                    <w:bottom w:w="0" w:type="dxa"/>
                    <w:right w:w="0" w:type="dxa"/>
                  </w:tcMar>
                  <w:vAlign w:val="center"/>
                </w:tcPr>
                <w:p w14:paraId="0FF9246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0203ADD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99.3</w:t>
                  </w:r>
                </w:p>
              </w:tc>
              <w:tc>
                <w:tcPr>
                  <w:tcW w:w="211" w:type="pct"/>
                  <w:tcBorders>
                    <w:tl2br w:val="nil"/>
                    <w:tr2bl w:val="nil"/>
                  </w:tcBorders>
                  <w:shd w:val="clear" w:color="auto" w:fill="auto"/>
                  <w:tcMar>
                    <w:top w:w="0" w:type="dxa"/>
                    <w:left w:w="0" w:type="dxa"/>
                    <w:bottom w:w="0" w:type="dxa"/>
                    <w:right w:w="0" w:type="dxa"/>
                  </w:tcMar>
                  <w:vAlign w:val="center"/>
                </w:tcPr>
                <w:p w14:paraId="2954A3F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264.9</w:t>
                  </w:r>
                </w:p>
              </w:tc>
              <w:tc>
                <w:tcPr>
                  <w:tcW w:w="211" w:type="pct"/>
                  <w:tcBorders>
                    <w:tl2br w:val="nil"/>
                    <w:tr2bl w:val="nil"/>
                  </w:tcBorders>
                  <w:shd w:val="clear" w:color="auto" w:fill="auto"/>
                  <w:tcMar>
                    <w:top w:w="0" w:type="dxa"/>
                    <w:left w:w="0" w:type="dxa"/>
                    <w:bottom w:w="0" w:type="dxa"/>
                    <w:right w:w="0" w:type="dxa"/>
                  </w:tcMar>
                  <w:vAlign w:val="center"/>
                </w:tcPr>
                <w:p w14:paraId="77CF6CF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191.3</w:t>
                  </w:r>
                </w:p>
              </w:tc>
              <w:tc>
                <w:tcPr>
                  <w:tcW w:w="211" w:type="pct"/>
                  <w:tcBorders>
                    <w:tl2br w:val="nil"/>
                    <w:tr2bl w:val="nil"/>
                  </w:tcBorders>
                  <w:shd w:val="clear" w:color="auto" w:fill="auto"/>
                  <w:tcMar>
                    <w:top w:w="0" w:type="dxa"/>
                    <w:left w:w="0" w:type="dxa"/>
                    <w:bottom w:w="0" w:type="dxa"/>
                    <w:right w:w="0" w:type="dxa"/>
                  </w:tcMar>
                  <w:vAlign w:val="center"/>
                </w:tcPr>
                <w:p w14:paraId="3E44DE8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176.8</w:t>
                  </w:r>
                </w:p>
              </w:tc>
              <w:tc>
                <w:tcPr>
                  <w:tcW w:w="166" w:type="pct"/>
                  <w:tcBorders>
                    <w:tl2br w:val="nil"/>
                    <w:tr2bl w:val="nil"/>
                  </w:tcBorders>
                  <w:shd w:val="clear" w:color="auto" w:fill="auto"/>
                  <w:tcMar>
                    <w:top w:w="0" w:type="dxa"/>
                    <w:left w:w="0" w:type="dxa"/>
                    <w:bottom w:w="0" w:type="dxa"/>
                    <w:right w:w="0" w:type="dxa"/>
                  </w:tcMar>
                  <w:vAlign w:val="center"/>
                </w:tcPr>
                <w:p w14:paraId="52DB5CF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76.1</w:t>
                  </w:r>
                </w:p>
              </w:tc>
              <w:tc>
                <w:tcPr>
                  <w:tcW w:w="166" w:type="pct"/>
                  <w:tcBorders>
                    <w:tl2br w:val="nil"/>
                    <w:tr2bl w:val="nil"/>
                  </w:tcBorders>
                  <w:shd w:val="clear" w:color="auto" w:fill="auto"/>
                  <w:tcMar>
                    <w:top w:w="0" w:type="dxa"/>
                    <w:left w:w="0" w:type="dxa"/>
                    <w:bottom w:w="0" w:type="dxa"/>
                    <w:right w:w="0" w:type="dxa"/>
                  </w:tcMar>
                  <w:vAlign w:val="center"/>
                </w:tcPr>
                <w:p w14:paraId="6F77503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76.1</w:t>
                  </w:r>
                </w:p>
              </w:tc>
              <w:tc>
                <w:tcPr>
                  <w:tcW w:w="166" w:type="pct"/>
                  <w:tcBorders>
                    <w:tl2br w:val="nil"/>
                    <w:tr2bl w:val="nil"/>
                  </w:tcBorders>
                  <w:shd w:val="clear" w:color="auto" w:fill="auto"/>
                  <w:tcMar>
                    <w:top w:w="0" w:type="dxa"/>
                    <w:left w:w="0" w:type="dxa"/>
                    <w:bottom w:w="0" w:type="dxa"/>
                    <w:right w:w="0" w:type="dxa"/>
                  </w:tcMar>
                  <w:vAlign w:val="center"/>
                </w:tcPr>
                <w:p w14:paraId="50C49E6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76.1</w:t>
                  </w:r>
                </w:p>
              </w:tc>
              <w:tc>
                <w:tcPr>
                  <w:tcW w:w="166" w:type="pct"/>
                  <w:tcBorders>
                    <w:tl2br w:val="nil"/>
                    <w:tr2bl w:val="nil"/>
                  </w:tcBorders>
                  <w:shd w:val="clear" w:color="auto" w:fill="auto"/>
                  <w:tcMar>
                    <w:top w:w="0" w:type="dxa"/>
                    <w:left w:w="0" w:type="dxa"/>
                    <w:bottom w:w="0" w:type="dxa"/>
                    <w:right w:w="0" w:type="dxa"/>
                  </w:tcMar>
                  <w:vAlign w:val="center"/>
                </w:tcPr>
                <w:p w14:paraId="02E3EF7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76.1</w:t>
                  </w:r>
                </w:p>
              </w:tc>
              <w:tc>
                <w:tcPr>
                  <w:tcW w:w="223" w:type="pct"/>
                  <w:tcBorders>
                    <w:tl2br w:val="nil"/>
                    <w:tr2bl w:val="nil"/>
                  </w:tcBorders>
                  <w:shd w:val="clear" w:color="auto" w:fill="auto"/>
                  <w:tcMar>
                    <w:top w:w="0" w:type="dxa"/>
                    <w:left w:w="0" w:type="dxa"/>
                    <w:bottom w:w="0" w:type="dxa"/>
                    <w:right w:w="0" w:type="dxa"/>
                  </w:tcMar>
                  <w:vAlign w:val="center"/>
                </w:tcPr>
                <w:p w14:paraId="0536B10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6230218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AB38EC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2165F6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06947D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797781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55.1</w:t>
                  </w:r>
                </w:p>
              </w:tc>
              <w:tc>
                <w:tcPr>
                  <w:tcW w:w="166" w:type="pct"/>
                  <w:tcBorders>
                    <w:tl2br w:val="nil"/>
                    <w:tr2bl w:val="nil"/>
                  </w:tcBorders>
                  <w:shd w:val="clear" w:color="auto" w:fill="auto"/>
                  <w:tcMar>
                    <w:top w:w="0" w:type="dxa"/>
                    <w:left w:w="0" w:type="dxa"/>
                    <w:bottom w:w="0" w:type="dxa"/>
                    <w:right w:w="0" w:type="dxa"/>
                  </w:tcMar>
                  <w:vAlign w:val="center"/>
                </w:tcPr>
                <w:p w14:paraId="4E695BA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55.1</w:t>
                  </w:r>
                </w:p>
              </w:tc>
              <w:tc>
                <w:tcPr>
                  <w:tcW w:w="166" w:type="pct"/>
                  <w:tcBorders>
                    <w:tl2br w:val="nil"/>
                    <w:tr2bl w:val="nil"/>
                  </w:tcBorders>
                  <w:shd w:val="clear" w:color="auto" w:fill="auto"/>
                  <w:tcMar>
                    <w:top w:w="0" w:type="dxa"/>
                    <w:left w:w="0" w:type="dxa"/>
                    <w:bottom w:w="0" w:type="dxa"/>
                    <w:right w:w="0" w:type="dxa"/>
                  </w:tcMar>
                  <w:vAlign w:val="center"/>
                </w:tcPr>
                <w:p w14:paraId="2D1CC67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55.1</w:t>
                  </w:r>
                </w:p>
              </w:tc>
              <w:tc>
                <w:tcPr>
                  <w:tcW w:w="166" w:type="pct"/>
                  <w:tcBorders>
                    <w:tl2br w:val="nil"/>
                    <w:tr2bl w:val="nil"/>
                  </w:tcBorders>
                  <w:shd w:val="clear" w:color="auto" w:fill="auto"/>
                  <w:tcMar>
                    <w:top w:w="0" w:type="dxa"/>
                    <w:left w:w="0" w:type="dxa"/>
                    <w:bottom w:w="0" w:type="dxa"/>
                    <w:right w:w="0" w:type="dxa"/>
                  </w:tcMar>
                  <w:vAlign w:val="center"/>
                </w:tcPr>
                <w:p w14:paraId="2B0EC7A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55.1</w:t>
                  </w:r>
                </w:p>
              </w:tc>
              <w:tc>
                <w:tcPr>
                  <w:tcW w:w="104" w:type="pct"/>
                  <w:tcBorders>
                    <w:tl2br w:val="nil"/>
                    <w:tr2bl w:val="nil"/>
                  </w:tcBorders>
                  <w:shd w:val="clear" w:color="auto" w:fill="auto"/>
                  <w:tcMar>
                    <w:top w:w="0" w:type="dxa"/>
                    <w:left w:w="0" w:type="dxa"/>
                    <w:bottom w:w="0" w:type="dxa"/>
                    <w:right w:w="0" w:type="dxa"/>
                  </w:tcMar>
                  <w:vAlign w:val="center"/>
                </w:tcPr>
                <w:p w14:paraId="5C3BA81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066938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308FFF6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76</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BA135EF">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09A8123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清洗段水泵3,12台（按点声源组预测）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402A014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90（等效后：100.8)</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1B4B994">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4F2D26F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59.8</w:t>
                  </w:r>
                </w:p>
              </w:tc>
              <w:tc>
                <w:tcPr>
                  <w:tcW w:w="242" w:type="pct"/>
                  <w:tcBorders>
                    <w:tl2br w:val="nil"/>
                    <w:tr2bl w:val="nil"/>
                  </w:tcBorders>
                  <w:shd w:val="clear" w:color="auto" w:fill="auto"/>
                  <w:tcMar>
                    <w:top w:w="0" w:type="dxa"/>
                    <w:left w:w="0" w:type="dxa"/>
                    <w:bottom w:w="0" w:type="dxa"/>
                    <w:right w:w="0" w:type="dxa"/>
                  </w:tcMar>
                  <w:vAlign w:val="center"/>
                </w:tcPr>
                <w:p w14:paraId="692DDC2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7.2</w:t>
                  </w:r>
                </w:p>
              </w:tc>
              <w:tc>
                <w:tcPr>
                  <w:tcW w:w="120" w:type="pct"/>
                  <w:tcBorders>
                    <w:tl2br w:val="nil"/>
                    <w:tr2bl w:val="nil"/>
                  </w:tcBorders>
                  <w:shd w:val="clear" w:color="auto" w:fill="auto"/>
                  <w:tcMar>
                    <w:top w:w="0" w:type="dxa"/>
                    <w:left w:w="0" w:type="dxa"/>
                    <w:bottom w:w="0" w:type="dxa"/>
                    <w:right w:w="0" w:type="dxa"/>
                  </w:tcMar>
                  <w:vAlign w:val="center"/>
                </w:tcPr>
                <w:p w14:paraId="0B26F05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328DF33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99.7</w:t>
                  </w:r>
                </w:p>
              </w:tc>
              <w:tc>
                <w:tcPr>
                  <w:tcW w:w="211" w:type="pct"/>
                  <w:tcBorders>
                    <w:tl2br w:val="nil"/>
                    <w:tr2bl w:val="nil"/>
                  </w:tcBorders>
                  <w:shd w:val="clear" w:color="auto" w:fill="auto"/>
                  <w:tcMar>
                    <w:top w:w="0" w:type="dxa"/>
                    <w:left w:w="0" w:type="dxa"/>
                    <w:bottom w:w="0" w:type="dxa"/>
                    <w:right w:w="0" w:type="dxa"/>
                  </w:tcMar>
                  <w:vAlign w:val="center"/>
                </w:tcPr>
                <w:p w14:paraId="7959116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265.1</w:t>
                  </w:r>
                </w:p>
              </w:tc>
              <w:tc>
                <w:tcPr>
                  <w:tcW w:w="211" w:type="pct"/>
                  <w:tcBorders>
                    <w:tl2br w:val="nil"/>
                    <w:tr2bl w:val="nil"/>
                  </w:tcBorders>
                  <w:shd w:val="clear" w:color="auto" w:fill="auto"/>
                  <w:tcMar>
                    <w:top w:w="0" w:type="dxa"/>
                    <w:left w:w="0" w:type="dxa"/>
                    <w:bottom w:w="0" w:type="dxa"/>
                    <w:right w:w="0" w:type="dxa"/>
                  </w:tcMar>
                  <w:vAlign w:val="center"/>
                </w:tcPr>
                <w:p w14:paraId="6722408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191.4</w:t>
                  </w:r>
                </w:p>
              </w:tc>
              <w:tc>
                <w:tcPr>
                  <w:tcW w:w="211" w:type="pct"/>
                  <w:tcBorders>
                    <w:tl2br w:val="nil"/>
                    <w:tr2bl w:val="nil"/>
                  </w:tcBorders>
                  <w:shd w:val="clear" w:color="auto" w:fill="auto"/>
                  <w:tcMar>
                    <w:top w:w="0" w:type="dxa"/>
                    <w:left w:w="0" w:type="dxa"/>
                    <w:bottom w:w="0" w:type="dxa"/>
                    <w:right w:w="0" w:type="dxa"/>
                  </w:tcMar>
                  <w:vAlign w:val="center"/>
                </w:tcPr>
                <w:p w14:paraId="2506616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176.7</w:t>
                  </w:r>
                </w:p>
              </w:tc>
              <w:tc>
                <w:tcPr>
                  <w:tcW w:w="166" w:type="pct"/>
                  <w:tcBorders>
                    <w:tl2br w:val="nil"/>
                    <w:tr2bl w:val="nil"/>
                  </w:tcBorders>
                  <w:shd w:val="clear" w:color="auto" w:fill="auto"/>
                  <w:tcMar>
                    <w:top w:w="0" w:type="dxa"/>
                    <w:left w:w="0" w:type="dxa"/>
                    <w:bottom w:w="0" w:type="dxa"/>
                    <w:right w:w="0" w:type="dxa"/>
                  </w:tcMar>
                  <w:vAlign w:val="center"/>
                </w:tcPr>
                <w:p w14:paraId="77F5982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77.9</w:t>
                  </w:r>
                </w:p>
              </w:tc>
              <w:tc>
                <w:tcPr>
                  <w:tcW w:w="166" w:type="pct"/>
                  <w:tcBorders>
                    <w:tl2br w:val="nil"/>
                    <w:tr2bl w:val="nil"/>
                  </w:tcBorders>
                  <w:shd w:val="clear" w:color="auto" w:fill="auto"/>
                  <w:tcMar>
                    <w:top w:w="0" w:type="dxa"/>
                    <w:left w:w="0" w:type="dxa"/>
                    <w:bottom w:w="0" w:type="dxa"/>
                    <w:right w:w="0" w:type="dxa"/>
                  </w:tcMar>
                  <w:vAlign w:val="center"/>
                </w:tcPr>
                <w:p w14:paraId="380FAB5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77.9</w:t>
                  </w:r>
                </w:p>
              </w:tc>
              <w:tc>
                <w:tcPr>
                  <w:tcW w:w="166" w:type="pct"/>
                  <w:tcBorders>
                    <w:tl2br w:val="nil"/>
                    <w:tr2bl w:val="nil"/>
                  </w:tcBorders>
                  <w:shd w:val="clear" w:color="auto" w:fill="auto"/>
                  <w:tcMar>
                    <w:top w:w="0" w:type="dxa"/>
                    <w:left w:w="0" w:type="dxa"/>
                    <w:bottom w:w="0" w:type="dxa"/>
                    <w:right w:w="0" w:type="dxa"/>
                  </w:tcMar>
                  <w:vAlign w:val="center"/>
                </w:tcPr>
                <w:p w14:paraId="3A6CD36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77.9</w:t>
                  </w:r>
                </w:p>
              </w:tc>
              <w:tc>
                <w:tcPr>
                  <w:tcW w:w="166" w:type="pct"/>
                  <w:tcBorders>
                    <w:tl2br w:val="nil"/>
                    <w:tr2bl w:val="nil"/>
                  </w:tcBorders>
                  <w:shd w:val="clear" w:color="auto" w:fill="auto"/>
                  <w:tcMar>
                    <w:top w:w="0" w:type="dxa"/>
                    <w:left w:w="0" w:type="dxa"/>
                    <w:bottom w:w="0" w:type="dxa"/>
                    <w:right w:w="0" w:type="dxa"/>
                  </w:tcMar>
                  <w:vAlign w:val="center"/>
                </w:tcPr>
                <w:p w14:paraId="6010400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77.9</w:t>
                  </w:r>
                </w:p>
              </w:tc>
              <w:tc>
                <w:tcPr>
                  <w:tcW w:w="223" w:type="pct"/>
                  <w:tcBorders>
                    <w:tl2br w:val="nil"/>
                    <w:tr2bl w:val="nil"/>
                  </w:tcBorders>
                  <w:shd w:val="clear" w:color="auto" w:fill="auto"/>
                  <w:tcMar>
                    <w:top w:w="0" w:type="dxa"/>
                    <w:left w:w="0" w:type="dxa"/>
                    <w:bottom w:w="0" w:type="dxa"/>
                    <w:right w:w="0" w:type="dxa"/>
                  </w:tcMar>
                  <w:vAlign w:val="center"/>
                </w:tcPr>
                <w:p w14:paraId="5808B6A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07E1310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38B5FD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C9141B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34FF67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507B60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56.9</w:t>
                  </w:r>
                </w:p>
              </w:tc>
              <w:tc>
                <w:tcPr>
                  <w:tcW w:w="166" w:type="pct"/>
                  <w:tcBorders>
                    <w:tl2br w:val="nil"/>
                    <w:tr2bl w:val="nil"/>
                  </w:tcBorders>
                  <w:shd w:val="clear" w:color="auto" w:fill="auto"/>
                  <w:tcMar>
                    <w:top w:w="0" w:type="dxa"/>
                    <w:left w:w="0" w:type="dxa"/>
                    <w:bottom w:w="0" w:type="dxa"/>
                    <w:right w:w="0" w:type="dxa"/>
                  </w:tcMar>
                  <w:vAlign w:val="center"/>
                </w:tcPr>
                <w:p w14:paraId="7A1C318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56.9</w:t>
                  </w:r>
                </w:p>
              </w:tc>
              <w:tc>
                <w:tcPr>
                  <w:tcW w:w="166" w:type="pct"/>
                  <w:tcBorders>
                    <w:tl2br w:val="nil"/>
                    <w:tr2bl w:val="nil"/>
                  </w:tcBorders>
                  <w:shd w:val="clear" w:color="auto" w:fill="auto"/>
                  <w:tcMar>
                    <w:top w:w="0" w:type="dxa"/>
                    <w:left w:w="0" w:type="dxa"/>
                    <w:bottom w:w="0" w:type="dxa"/>
                    <w:right w:w="0" w:type="dxa"/>
                  </w:tcMar>
                  <w:vAlign w:val="center"/>
                </w:tcPr>
                <w:p w14:paraId="2480A28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56.9</w:t>
                  </w:r>
                </w:p>
              </w:tc>
              <w:tc>
                <w:tcPr>
                  <w:tcW w:w="166" w:type="pct"/>
                  <w:tcBorders>
                    <w:tl2br w:val="nil"/>
                    <w:tr2bl w:val="nil"/>
                  </w:tcBorders>
                  <w:shd w:val="clear" w:color="auto" w:fill="auto"/>
                  <w:tcMar>
                    <w:top w:w="0" w:type="dxa"/>
                    <w:left w:w="0" w:type="dxa"/>
                    <w:bottom w:w="0" w:type="dxa"/>
                    <w:right w:w="0" w:type="dxa"/>
                  </w:tcMar>
                  <w:vAlign w:val="center"/>
                </w:tcPr>
                <w:p w14:paraId="3BC675A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56.9</w:t>
                  </w:r>
                </w:p>
              </w:tc>
              <w:tc>
                <w:tcPr>
                  <w:tcW w:w="104" w:type="pct"/>
                  <w:tcBorders>
                    <w:tl2br w:val="nil"/>
                    <w:tr2bl w:val="nil"/>
                  </w:tcBorders>
                  <w:shd w:val="clear" w:color="auto" w:fill="auto"/>
                  <w:tcMar>
                    <w:top w:w="0" w:type="dxa"/>
                    <w:left w:w="0" w:type="dxa"/>
                    <w:bottom w:w="0" w:type="dxa"/>
                    <w:right w:w="0" w:type="dxa"/>
                  </w:tcMar>
                  <w:vAlign w:val="center"/>
                </w:tcPr>
                <w:p w14:paraId="7735535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0DD76D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0849EA0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77</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F813AA8">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1C93256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清洗段水泵4,4台（按点声源组预测）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138A943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90（等效后：96.0)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EB02320">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27FA66D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59.8</w:t>
                  </w:r>
                </w:p>
              </w:tc>
              <w:tc>
                <w:tcPr>
                  <w:tcW w:w="242" w:type="pct"/>
                  <w:tcBorders>
                    <w:tl2br w:val="nil"/>
                    <w:tr2bl w:val="nil"/>
                  </w:tcBorders>
                  <w:shd w:val="clear" w:color="auto" w:fill="auto"/>
                  <w:tcMar>
                    <w:top w:w="0" w:type="dxa"/>
                    <w:left w:w="0" w:type="dxa"/>
                    <w:bottom w:w="0" w:type="dxa"/>
                    <w:right w:w="0" w:type="dxa"/>
                  </w:tcMar>
                  <w:vAlign w:val="center"/>
                </w:tcPr>
                <w:p w14:paraId="6B233F7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7.6</w:t>
                  </w:r>
                </w:p>
              </w:tc>
              <w:tc>
                <w:tcPr>
                  <w:tcW w:w="120" w:type="pct"/>
                  <w:tcBorders>
                    <w:tl2br w:val="nil"/>
                    <w:tr2bl w:val="nil"/>
                  </w:tcBorders>
                  <w:shd w:val="clear" w:color="auto" w:fill="auto"/>
                  <w:tcMar>
                    <w:top w:w="0" w:type="dxa"/>
                    <w:left w:w="0" w:type="dxa"/>
                    <w:bottom w:w="0" w:type="dxa"/>
                    <w:right w:w="0" w:type="dxa"/>
                  </w:tcMar>
                  <w:vAlign w:val="center"/>
                </w:tcPr>
                <w:p w14:paraId="4F7892C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30FDB72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99.8</w:t>
                  </w:r>
                </w:p>
              </w:tc>
              <w:tc>
                <w:tcPr>
                  <w:tcW w:w="211" w:type="pct"/>
                  <w:tcBorders>
                    <w:tl2br w:val="nil"/>
                    <w:tr2bl w:val="nil"/>
                  </w:tcBorders>
                  <w:shd w:val="clear" w:color="auto" w:fill="auto"/>
                  <w:tcMar>
                    <w:top w:w="0" w:type="dxa"/>
                    <w:left w:w="0" w:type="dxa"/>
                    <w:bottom w:w="0" w:type="dxa"/>
                    <w:right w:w="0" w:type="dxa"/>
                  </w:tcMar>
                  <w:vAlign w:val="center"/>
                </w:tcPr>
                <w:p w14:paraId="5D04C91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265.4</w:t>
                  </w:r>
                </w:p>
              </w:tc>
              <w:tc>
                <w:tcPr>
                  <w:tcW w:w="211" w:type="pct"/>
                  <w:tcBorders>
                    <w:tl2br w:val="nil"/>
                    <w:tr2bl w:val="nil"/>
                  </w:tcBorders>
                  <w:shd w:val="clear" w:color="auto" w:fill="auto"/>
                  <w:tcMar>
                    <w:top w:w="0" w:type="dxa"/>
                    <w:left w:w="0" w:type="dxa"/>
                    <w:bottom w:w="0" w:type="dxa"/>
                    <w:right w:w="0" w:type="dxa"/>
                  </w:tcMar>
                  <w:vAlign w:val="center"/>
                </w:tcPr>
                <w:p w14:paraId="4439021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191.8</w:t>
                  </w:r>
                </w:p>
              </w:tc>
              <w:tc>
                <w:tcPr>
                  <w:tcW w:w="211" w:type="pct"/>
                  <w:tcBorders>
                    <w:tl2br w:val="nil"/>
                    <w:tr2bl w:val="nil"/>
                  </w:tcBorders>
                  <w:shd w:val="clear" w:color="auto" w:fill="auto"/>
                  <w:tcMar>
                    <w:top w:w="0" w:type="dxa"/>
                    <w:left w:w="0" w:type="dxa"/>
                    <w:bottom w:w="0" w:type="dxa"/>
                    <w:right w:w="0" w:type="dxa"/>
                  </w:tcMar>
                  <w:vAlign w:val="center"/>
                </w:tcPr>
                <w:p w14:paraId="5F4096C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176.3</w:t>
                  </w:r>
                </w:p>
              </w:tc>
              <w:tc>
                <w:tcPr>
                  <w:tcW w:w="166" w:type="pct"/>
                  <w:tcBorders>
                    <w:tl2br w:val="nil"/>
                    <w:tr2bl w:val="nil"/>
                  </w:tcBorders>
                  <w:shd w:val="clear" w:color="auto" w:fill="auto"/>
                  <w:tcMar>
                    <w:top w:w="0" w:type="dxa"/>
                    <w:left w:w="0" w:type="dxa"/>
                    <w:bottom w:w="0" w:type="dxa"/>
                    <w:right w:w="0" w:type="dxa"/>
                  </w:tcMar>
                  <w:vAlign w:val="center"/>
                </w:tcPr>
                <w:p w14:paraId="04186A7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1E766C3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5440584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29CF6BB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223" w:type="pct"/>
                  <w:tcBorders>
                    <w:tl2br w:val="nil"/>
                    <w:tr2bl w:val="nil"/>
                  </w:tcBorders>
                  <w:shd w:val="clear" w:color="auto" w:fill="auto"/>
                  <w:tcMar>
                    <w:top w:w="0" w:type="dxa"/>
                    <w:left w:w="0" w:type="dxa"/>
                    <w:bottom w:w="0" w:type="dxa"/>
                    <w:right w:w="0" w:type="dxa"/>
                  </w:tcMar>
                  <w:vAlign w:val="center"/>
                </w:tcPr>
                <w:p w14:paraId="78EE8C2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499DA92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1D77F9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947D9E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C2C676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D4161C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2F702F9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3671756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3CEA7F2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04" w:type="pct"/>
                  <w:tcBorders>
                    <w:tl2br w:val="nil"/>
                    <w:tr2bl w:val="nil"/>
                  </w:tcBorders>
                  <w:shd w:val="clear" w:color="auto" w:fill="auto"/>
                  <w:tcMar>
                    <w:top w:w="0" w:type="dxa"/>
                    <w:left w:w="0" w:type="dxa"/>
                    <w:bottom w:w="0" w:type="dxa"/>
                    <w:right w:w="0" w:type="dxa"/>
                  </w:tcMar>
                  <w:vAlign w:val="center"/>
                </w:tcPr>
                <w:p w14:paraId="212D199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2429E0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535247A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78</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06E8EC3">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761E360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碱雾塔加药泵</w:t>
                  </w:r>
                </w:p>
              </w:tc>
              <w:tc>
                <w:tcPr>
                  <w:tcW w:w="264" w:type="pct"/>
                  <w:tcBorders>
                    <w:tl2br w:val="nil"/>
                    <w:tr2bl w:val="nil"/>
                  </w:tcBorders>
                  <w:shd w:val="clear" w:color="auto" w:fill="auto"/>
                  <w:tcMar>
                    <w:top w:w="0" w:type="dxa"/>
                    <w:left w:w="0" w:type="dxa"/>
                    <w:bottom w:w="0" w:type="dxa"/>
                    <w:right w:w="0" w:type="dxa"/>
                  </w:tcMar>
                  <w:vAlign w:val="center"/>
                </w:tcPr>
                <w:p w14:paraId="5FBB2CA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E12CC1C">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2B955E9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59.4</w:t>
                  </w:r>
                </w:p>
              </w:tc>
              <w:tc>
                <w:tcPr>
                  <w:tcW w:w="242" w:type="pct"/>
                  <w:tcBorders>
                    <w:tl2br w:val="nil"/>
                    <w:tr2bl w:val="nil"/>
                  </w:tcBorders>
                  <w:shd w:val="clear" w:color="auto" w:fill="auto"/>
                  <w:tcMar>
                    <w:top w:w="0" w:type="dxa"/>
                    <w:left w:w="0" w:type="dxa"/>
                    <w:bottom w:w="0" w:type="dxa"/>
                    <w:right w:w="0" w:type="dxa"/>
                  </w:tcMar>
                  <w:vAlign w:val="center"/>
                </w:tcPr>
                <w:p w14:paraId="7FF4C83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7.6</w:t>
                  </w:r>
                </w:p>
              </w:tc>
              <w:tc>
                <w:tcPr>
                  <w:tcW w:w="120" w:type="pct"/>
                  <w:tcBorders>
                    <w:tl2br w:val="nil"/>
                    <w:tr2bl w:val="nil"/>
                  </w:tcBorders>
                  <w:shd w:val="clear" w:color="auto" w:fill="auto"/>
                  <w:tcMar>
                    <w:top w:w="0" w:type="dxa"/>
                    <w:left w:w="0" w:type="dxa"/>
                    <w:bottom w:w="0" w:type="dxa"/>
                    <w:right w:w="0" w:type="dxa"/>
                  </w:tcMar>
                  <w:vAlign w:val="center"/>
                </w:tcPr>
                <w:p w14:paraId="2D26F75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387742E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100.2</w:t>
                  </w:r>
                </w:p>
              </w:tc>
              <w:tc>
                <w:tcPr>
                  <w:tcW w:w="211" w:type="pct"/>
                  <w:tcBorders>
                    <w:tl2br w:val="nil"/>
                    <w:tr2bl w:val="nil"/>
                  </w:tcBorders>
                  <w:shd w:val="clear" w:color="auto" w:fill="auto"/>
                  <w:tcMar>
                    <w:top w:w="0" w:type="dxa"/>
                    <w:left w:w="0" w:type="dxa"/>
                    <w:bottom w:w="0" w:type="dxa"/>
                    <w:right w:w="0" w:type="dxa"/>
                  </w:tcMar>
                  <w:vAlign w:val="center"/>
                </w:tcPr>
                <w:p w14:paraId="12002F9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265.3</w:t>
                  </w:r>
                </w:p>
              </w:tc>
              <w:tc>
                <w:tcPr>
                  <w:tcW w:w="211" w:type="pct"/>
                  <w:tcBorders>
                    <w:tl2br w:val="nil"/>
                    <w:tr2bl w:val="nil"/>
                  </w:tcBorders>
                  <w:shd w:val="clear" w:color="auto" w:fill="auto"/>
                  <w:tcMar>
                    <w:top w:w="0" w:type="dxa"/>
                    <w:left w:w="0" w:type="dxa"/>
                    <w:bottom w:w="0" w:type="dxa"/>
                    <w:right w:w="0" w:type="dxa"/>
                  </w:tcMar>
                  <w:vAlign w:val="center"/>
                </w:tcPr>
                <w:p w14:paraId="78F4F41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191.6</w:t>
                  </w:r>
                </w:p>
              </w:tc>
              <w:tc>
                <w:tcPr>
                  <w:tcW w:w="211" w:type="pct"/>
                  <w:tcBorders>
                    <w:tl2br w:val="nil"/>
                    <w:tr2bl w:val="nil"/>
                  </w:tcBorders>
                  <w:shd w:val="clear" w:color="auto" w:fill="auto"/>
                  <w:tcMar>
                    <w:top w:w="0" w:type="dxa"/>
                    <w:left w:w="0" w:type="dxa"/>
                    <w:bottom w:w="0" w:type="dxa"/>
                    <w:right w:w="0" w:type="dxa"/>
                  </w:tcMar>
                  <w:vAlign w:val="center"/>
                </w:tcPr>
                <w:p w14:paraId="259CC6A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176.5</w:t>
                  </w:r>
                </w:p>
              </w:tc>
              <w:tc>
                <w:tcPr>
                  <w:tcW w:w="166" w:type="pct"/>
                  <w:tcBorders>
                    <w:tl2br w:val="nil"/>
                    <w:tr2bl w:val="nil"/>
                  </w:tcBorders>
                  <w:shd w:val="clear" w:color="auto" w:fill="auto"/>
                  <w:tcMar>
                    <w:top w:w="0" w:type="dxa"/>
                    <w:left w:w="0" w:type="dxa"/>
                    <w:bottom w:w="0" w:type="dxa"/>
                    <w:right w:w="0" w:type="dxa"/>
                  </w:tcMar>
                  <w:vAlign w:val="center"/>
                </w:tcPr>
                <w:p w14:paraId="228A87E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14BD32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63FA98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AF74C2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004F492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7ECB7ED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5EC5A6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06F153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D92EF8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9D44FD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9BFA0A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50991C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A52600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1446223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605A15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650523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79</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B14B8B7">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038866B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RTF助燃风机</w:t>
                  </w:r>
                </w:p>
              </w:tc>
              <w:tc>
                <w:tcPr>
                  <w:tcW w:w="264" w:type="pct"/>
                  <w:tcBorders>
                    <w:tl2br w:val="nil"/>
                    <w:tr2bl w:val="nil"/>
                  </w:tcBorders>
                  <w:shd w:val="clear" w:color="auto" w:fill="auto"/>
                  <w:tcMar>
                    <w:top w:w="0" w:type="dxa"/>
                    <w:left w:w="0" w:type="dxa"/>
                    <w:bottom w:w="0" w:type="dxa"/>
                    <w:right w:w="0" w:type="dxa"/>
                  </w:tcMar>
                  <w:vAlign w:val="center"/>
                </w:tcPr>
                <w:p w14:paraId="08E0B4C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51689FE">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63E255D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59.4</w:t>
                  </w:r>
                </w:p>
              </w:tc>
              <w:tc>
                <w:tcPr>
                  <w:tcW w:w="242" w:type="pct"/>
                  <w:tcBorders>
                    <w:tl2br w:val="nil"/>
                    <w:tr2bl w:val="nil"/>
                  </w:tcBorders>
                  <w:shd w:val="clear" w:color="auto" w:fill="auto"/>
                  <w:tcMar>
                    <w:top w:w="0" w:type="dxa"/>
                    <w:left w:w="0" w:type="dxa"/>
                    <w:bottom w:w="0" w:type="dxa"/>
                    <w:right w:w="0" w:type="dxa"/>
                  </w:tcMar>
                  <w:vAlign w:val="center"/>
                </w:tcPr>
                <w:p w14:paraId="0EB19B7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120" w:type="pct"/>
                  <w:tcBorders>
                    <w:tl2br w:val="nil"/>
                    <w:tr2bl w:val="nil"/>
                  </w:tcBorders>
                  <w:shd w:val="clear" w:color="auto" w:fill="auto"/>
                  <w:tcMar>
                    <w:top w:w="0" w:type="dxa"/>
                    <w:left w:w="0" w:type="dxa"/>
                    <w:bottom w:w="0" w:type="dxa"/>
                    <w:right w:w="0" w:type="dxa"/>
                  </w:tcMar>
                  <w:vAlign w:val="center"/>
                </w:tcPr>
                <w:p w14:paraId="53C4835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0572002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100.5</w:t>
                  </w:r>
                </w:p>
              </w:tc>
              <w:tc>
                <w:tcPr>
                  <w:tcW w:w="211" w:type="pct"/>
                  <w:tcBorders>
                    <w:tl2br w:val="nil"/>
                    <w:tr2bl w:val="nil"/>
                  </w:tcBorders>
                  <w:shd w:val="clear" w:color="auto" w:fill="auto"/>
                  <w:tcMar>
                    <w:top w:w="0" w:type="dxa"/>
                    <w:left w:w="0" w:type="dxa"/>
                    <w:bottom w:w="0" w:type="dxa"/>
                    <w:right w:w="0" w:type="dxa"/>
                  </w:tcMar>
                  <w:vAlign w:val="center"/>
                </w:tcPr>
                <w:p w14:paraId="4CDE638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266.1</w:t>
                  </w:r>
                </w:p>
              </w:tc>
              <w:tc>
                <w:tcPr>
                  <w:tcW w:w="211" w:type="pct"/>
                  <w:tcBorders>
                    <w:tl2br w:val="nil"/>
                    <w:tr2bl w:val="nil"/>
                  </w:tcBorders>
                  <w:shd w:val="clear" w:color="auto" w:fill="auto"/>
                  <w:tcMar>
                    <w:top w:w="0" w:type="dxa"/>
                    <w:left w:w="0" w:type="dxa"/>
                    <w:bottom w:w="0" w:type="dxa"/>
                    <w:right w:w="0" w:type="dxa"/>
                  </w:tcMar>
                  <w:vAlign w:val="center"/>
                </w:tcPr>
                <w:p w14:paraId="08EEE65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192.4</w:t>
                  </w:r>
                </w:p>
              </w:tc>
              <w:tc>
                <w:tcPr>
                  <w:tcW w:w="211" w:type="pct"/>
                  <w:tcBorders>
                    <w:tl2br w:val="nil"/>
                    <w:tr2bl w:val="nil"/>
                  </w:tcBorders>
                  <w:shd w:val="clear" w:color="auto" w:fill="auto"/>
                  <w:tcMar>
                    <w:top w:w="0" w:type="dxa"/>
                    <w:left w:w="0" w:type="dxa"/>
                    <w:bottom w:w="0" w:type="dxa"/>
                    <w:right w:w="0" w:type="dxa"/>
                  </w:tcMar>
                  <w:vAlign w:val="center"/>
                </w:tcPr>
                <w:p w14:paraId="5A92152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175.7</w:t>
                  </w:r>
                </w:p>
              </w:tc>
              <w:tc>
                <w:tcPr>
                  <w:tcW w:w="166" w:type="pct"/>
                  <w:tcBorders>
                    <w:tl2br w:val="nil"/>
                    <w:tr2bl w:val="nil"/>
                  </w:tcBorders>
                  <w:shd w:val="clear" w:color="auto" w:fill="auto"/>
                  <w:tcMar>
                    <w:top w:w="0" w:type="dxa"/>
                    <w:left w:w="0" w:type="dxa"/>
                    <w:bottom w:w="0" w:type="dxa"/>
                    <w:right w:w="0" w:type="dxa"/>
                  </w:tcMar>
                  <w:vAlign w:val="center"/>
                </w:tcPr>
                <w:p w14:paraId="1E37122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CFCFF9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DF4085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C398EF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5FF3349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2872EEB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240D4E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D3D3F9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7726D6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B9BD7F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7531B2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7545DE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60FA6E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45827E3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336CC9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6BED8CF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F6C06C8">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2AC7E4F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RTF排烟风机</w:t>
                  </w:r>
                </w:p>
              </w:tc>
              <w:tc>
                <w:tcPr>
                  <w:tcW w:w="264" w:type="pct"/>
                  <w:tcBorders>
                    <w:tl2br w:val="nil"/>
                    <w:tr2bl w:val="nil"/>
                  </w:tcBorders>
                  <w:shd w:val="clear" w:color="auto" w:fill="auto"/>
                  <w:tcMar>
                    <w:top w:w="0" w:type="dxa"/>
                    <w:left w:w="0" w:type="dxa"/>
                    <w:bottom w:w="0" w:type="dxa"/>
                    <w:right w:w="0" w:type="dxa"/>
                  </w:tcMar>
                  <w:vAlign w:val="center"/>
                </w:tcPr>
                <w:p w14:paraId="1EC27BB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E4EDEE0">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276AD9A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59.5</w:t>
                  </w:r>
                </w:p>
              </w:tc>
              <w:tc>
                <w:tcPr>
                  <w:tcW w:w="242" w:type="pct"/>
                  <w:tcBorders>
                    <w:tl2br w:val="nil"/>
                    <w:tr2bl w:val="nil"/>
                  </w:tcBorders>
                  <w:shd w:val="clear" w:color="auto" w:fill="auto"/>
                  <w:tcMar>
                    <w:top w:w="0" w:type="dxa"/>
                    <w:left w:w="0" w:type="dxa"/>
                    <w:bottom w:w="0" w:type="dxa"/>
                    <w:right w:w="0" w:type="dxa"/>
                  </w:tcMar>
                  <w:vAlign w:val="center"/>
                </w:tcPr>
                <w:p w14:paraId="63B9B73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8.9</w:t>
                  </w:r>
                </w:p>
              </w:tc>
              <w:tc>
                <w:tcPr>
                  <w:tcW w:w="120" w:type="pct"/>
                  <w:tcBorders>
                    <w:tl2br w:val="nil"/>
                    <w:tr2bl w:val="nil"/>
                  </w:tcBorders>
                  <w:shd w:val="clear" w:color="auto" w:fill="auto"/>
                  <w:tcMar>
                    <w:top w:w="0" w:type="dxa"/>
                    <w:left w:w="0" w:type="dxa"/>
                    <w:bottom w:w="0" w:type="dxa"/>
                    <w:right w:w="0" w:type="dxa"/>
                  </w:tcMar>
                  <w:vAlign w:val="center"/>
                </w:tcPr>
                <w:p w14:paraId="5A1B15D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5C3D9B1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100.6</w:t>
                  </w:r>
                </w:p>
              </w:tc>
              <w:tc>
                <w:tcPr>
                  <w:tcW w:w="211" w:type="pct"/>
                  <w:tcBorders>
                    <w:tl2br w:val="nil"/>
                    <w:tr2bl w:val="nil"/>
                  </w:tcBorders>
                  <w:shd w:val="clear" w:color="auto" w:fill="auto"/>
                  <w:tcMar>
                    <w:top w:w="0" w:type="dxa"/>
                    <w:left w:w="0" w:type="dxa"/>
                    <w:bottom w:w="0" w:type="dxa"/>
                    <w:right w:w="0" w:type="dxa"/>
                  </w:tcMar>
                  <w:vAlign w:val="center"/>
                </w:tcPr>
                <w:p w14:paraId="6BD40C4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266.5</w:t>
                  </w:r>
                </w:p>
              </w:tc>
              <w:tc>
                <w:tcPr>
                  <w:tcW w:w="211" w:type="pct"/>
                  <w:tcBorders>
                    <w:tl2br w:val="nil"/>
                    <w:tr2bl w:val="nil"/>
                  </w:tcBorders>
                  <w:shd w:val="clear" w:color="auto" w:fill="auto"/>
                  <w:tcMar>
                    <w:top w:w="0" w:type="dxa"/>
                    <w:left w:w="0" w:type="dxa"/>
                    <w:bottom w:w="0" w:type="dxa"/>
                    <w:right w:w="0" w:type="dxa"/>
                  </w:tcMar>
                  <w:vAlign w:val="center"/>
                </w:tcPr>
                <w:p w14:paraId="03DF1B8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192.8</w:t>
                  </w:r>
                </w:p>
              </w:tc>
              <w:tc>
                <w:tcPr>
                  <w:tcW w:w="211" w:type="pct"/>
                  <w:tcBorders>
                    <w:tl2br w:val="nil"/>
                    <w:tr2bl w:val="nil"/>
                  </w:tcBorders>
                  <w:shd w:val="clear" w:color="auto" w:fill="auto"/>
                  <w:tcMar>
                    <w:top w:w="0" w:type="dxa"/>
                    <w:left w:w="0" w:type="dxa"/>
                    <w:bottom w:w="0" w:type="dxa"/>
                    <w:right w:w="0" w:type="dxa"/>
                  </w:tcMar>
                  <w:vAlign w:val="center"/>
                </w:tcPr>
                <w:p w14:paraId="3ABBBFA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175.3</w:t>
                  </w:r>
                </w:p>
              </w:tc>
              <w:tc>
                <w:tcPr>
                  <w:tcW w:w="166" w:type="pct"/>
                  <w:tcBorders>
                    <w:tl2br w:val="nil"/>
                    <w:tr2bl w:val="nil"/>
                  </w:tcBorders>
                  <w:shd w:val="clear" w:color="auto" w:fill="auto"/>
                  <w:tcMar>
                    <w:top w:w="0" w:type="dxa"/>
                    <w:left w:w="0" w:type="dxa"/>
                    <w:bottom w:w="0" w:type="dxa"/>
                    <w:right w:w="0" w:type="dxa"/>
                  </w:tcMar>
                  <w:vAlign w:val="center"/>
                </w:tcPr>
                <w:p w14:paraId="2BEBF94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B54BA1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2C4AFD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30D4F5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0ED5021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062960E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C81B83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CC61FD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400B16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0CFAEE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0BFAB3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57FDEF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325BE0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020749A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1ACBDB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1D3AED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81</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268D943">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26850A6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冷却排气风机,7台（按点声源组预测）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0FB4BCF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90（等效后：98.5)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DD1BE1D">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130B601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60.3</w:t>
                  </w:r>
                </w:p>
              </w:tc>
              <w:tc>
                <w:tcPr>
                  <w:tcW w:w="242" w:type="pct"/>
                  <w:tcBorders>
                    <w:tl2br w:val="nil"/>
                    <w:tr2bl w:val="nil"/>
                  </w:tcBorders>
                  <w:shd w:val="clear" w:color="auto" w:fill="auto"/>
                  <w:tcMar>
                    <w:top w:w="0" w:type="dxa"/>
                    <w:left w:w="0" w:type="dxa"/>
                    <w:bottom w:w="0" w:type="dxa"/>
                    <w:right w:w="0" w:type="dxa"/>
                  </w:tcMar>
                  <w:vAlign w:val="center"/>
                </w:tcPr>
                <w:p w14:paraId="1153785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120" w:type="pct"/>
                  <w:tcBorders>
                    <w:tl2br w:val="nil"/>
                    <w:tr2bl w:val="nil"/>
                  </w:tcBorders>
                  <w:shd w:val="clear" w:color="auto" w:fill="auto"/>
                  <w:tcMar>
                    <w:top w:w="0" w:type="dxa"/>
                    <w:left w:w="0" w:type="dxa"/>
                    <w:bottom w:w="0" w:type="dxa"/>
                    <w:right w:w="0" w:type="dxa"/>
                  </w:tcMar>
                  <w:vAlign w:val="center"/>
                </w:tcPr>
                <w:p w14:paraId="145C72B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3C4C990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99.7</w:t>
                  </w:r>
                </w:p>
              </w:tc>
              <w:tc>
                <w:tcPr>
                  <w:tcW w:w="211" w:type="pct"/>
                  <w:tcBorders>
                    <w:tl2br w:val="nil"/>
                    <w:tr2bl w:val="nil"/>
                  </w:tcBorders>
                  <w:shd w:val="clear" w:color="auto" w:fill="auto"/>
                  <w:tcMar>
                    <w:top w:w="0" w:type="dxa"/>
                    <w:left w:w="0" w:type="dxa"/>
                    <w:bottom w:w="0" w:type="dxa"/>
                    <w:right w:w="0" w:type="dxa"/>
                  </w:tcMar>
                  <w:vAlign w:val="center"/>
                </w:tcPr>
                <w:p w14:paraId="0D33BCC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266.4</w:t>
                  </w:r>
                </w:p>
              </w:tc>
              <w:tc>
                <w:tcPr>
                  <w:tcW w:w="211" w:type="pct"/>
                  <w:tcBorders>
                    <w:tl2br w:val="nil"/>
                    <w:tr2bl w:val="nil"/>
                  </w:tcBorders>
                  <w:shd w:val="clear" w:color="auto" w:fill="auto"/>
                  <w:tcMar>
                    <w:top w:w="0" w:type="dxa"/>
                    <w:left w:w="0" w:type="dxa"/>
                    <w:bottom w:w="0" w:type="dxa"/>
                    <w:right w:w="0" w:type="dxa"/>
                  </w:tcMar>
                  <w:vAlign w:val="center"/>
                </w:tcPr>
                <w:p w14:paraId="18733BD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192.8</w:t>
                  </w:r>
                </w:p>
              </w:tc>
              <w:tc>
                <w:tcPr>
                  <w:tcW w:w="211" w:type="pct"/>
                  <w:tcBorders>
                    <w:tl2br w:val="nil"/>
                    <w:tr2bl w:val="nil"/>
                  </w:tcBorders>
                  <w:shd w:val="clear" w:color="auto" w:fill="auto"/>
                  <w:tcMar>
                    <w:top w:w="0" w:type="dxa"/>
                    <w:left w:w="0" w:type="dxa"/>
                    <w:bottom w:w="0" w:type="dxa"/>
                    <w:right w:w="0" w:type="dxa"/>
                  </w:tcMar>
                  <w:vAlign w:val="center"/>
                </w:tcPr>
                <w:p w14:paraId="5983D69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175.3</w:t>
                  </w:r>
                </w:p>
              </w:tc>
              <w:tc>
                <w:tcPr>
                  <w:tcW w:w="166" w:type="pct"/>
                  <w:tcBorders>
                    <w:tl2br w:val="nil"/>
                    <w:tr2bl w:val="nil"/>
                  </w:tcBorders>
                  <w:shd w:val="clear" w:color="auto" w:fill="auto"/>
                  <w:tcMar>
                    <w:top w:w="0" w:type="dxa"/>
                    <w:left w:w="0" w:type="dxa"/>
                    <w:bottom w:w="0" w:type="dxa"/>
                    <w:right w:w="0" w:type="dxa"/>
                  </w:tcMar>
                  <w:vAlign w:val="center"/>
                </w:tcPr>
                <w:p w14:paraId="24EE50B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75.6</w:t>
                  </w:r>
                </w:p>
              </w:tc>
              <w:tc>
                <w:tcPr>
                  <w:tcW w:w="166" w:type="pct"/>
                  <w:tcBorders>
                    <w:tl2br w:val="nil"/>
                    <w:tr2bl w:val="nil"/>
                  </w:tcBorders>
                  <w:shd w:val="clear" w:color="auto" w:fill="auto"/>
                  <w:tcMar>
                    <w:top w:w="0" w:type="dxa"/>
                    <w:left w:w="0" w:type="dxa"/>
                    <w:bottom w:w="0" w:type="dxa"/>
                    <w:right w:w="0" w:type="dxa"/>
                  </w:tcMar>
                  <w:vAlign w:val="center"/>
                </w:tcPr>
                <w:p w14:paraId="5BD6E06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75.6</w:t>
                  </w:r>
                </w:p>
              </w:tc>
              <w:tc>
                <w:tcPr>
                  <w:tcW w:w="166" w:type="pct"/>
                  <w:tcBorders>
                    <w:tl2br w:val="nil"/>
                    <w:tr2bl w:val="nil"/>
                  </w:tcBorders>
                  <w:shd w:val="clear" w:color="auto" w:fill="auto"/>
                  <w:tcMar>
                    <w:top w:w="0" w:type="dxa"/>
                    <w:left w:w="0" w:type="dxa"/>
                    <w:bottom w:w="0" w:type="dxa"/>
                    <w:right w:w="0" w:type="dxa"/>
                  </w:tcMar>
                  <w:vAlign w:val="center"/>
                </w:tcPr>
                <w:p w14:paraId="3D1212A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75.6</w:t>
                  </w:r>
                </w:p>
              </w:tc>
              <w:tc>
                <w:tcPr>
                  <w:tcW w:w="166" w:type="pct"/>
                  <w:tcBorders>
                    <w:tl2br w:val="nil"/>
                    <w:tr2bl w:val="nil"/>
                  </w:tcBorders>
                  <w:shd w:val="clear" w:color="auto" w:fill="auto"/>
                  <w:tcMar>
                    <w:top w:w="0" w:type="dxa"/>
                    <w:left w:w="0" w:type="dxa"/>
                    <w:bottom w:w="0" w:type="dxa"/>
                    <w:right w:w="0" w:type="dxa"/>
                  </w:tcMar>
                  <w:vAlign w:val="center"/>
                </w:tcPr>
                <w:p w14:paraId="0B33DCE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75.6</w:t>
                  </w:r>
                </w:p>
              </w:tc>
              <w:tc>
                <w:tcPr>
                  <w:tcW w:w="223" w:type="pct"/>
                  <w:tcBorders>
                    <w:tl2br w:val="nil"/>
                    <w:tr2bl w:val="nil"/>
                  </w:tcBorders>
                  <w:shd w:val="clear" w:color="auto" w:fill="auto"/>
                  <w:tcMar>
                    <w:top w:w="0" w:type="dxa"/>
                    <w:left w:w="0" w:type="dxa"/>
                    <w:bottom w:w="0" w:type="dxa"/>
                    <w:right w:w="0" w:type="dxa"/>
                  </w:tcMar>
                  <w:vAlign w:val="center"/>
                </w:tcPr>
                <w:p w14:paraId="483DF8C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1B2BCBD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34AF2C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09C1D6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90457D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704726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54.6</w:t>
                  </w:r>
                </w:p>
              </w:tc>
              <w:tc>
                <w:tcPr>
                  <w:tcW w:w="166" w:type="pct"/>
                  <w:tcBorders>
                    <w:tl2br w:val="nil"/>
                    <w:tr2bl w:val="nil"/>
                  </w:tcBorders>
                  <w:shd w:val="clear" w:color="auto" w:fill="auto"/>
                  <w:tcMar>
                    <w:top w:w="0" w:type="dxa"/>
                    <w:left w:w="0" w:type="dxa"/>
                    <w:bottom w:w="0" w:type="dxa"/>
                    <w:right w:w="0" w:type="dxa"/>
                  </w:tcMar>
                  <w:vAlign w:val="center"/>
                </w:tcPr>
                <w:p w14:paraId="1C4C75B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54.6</w:t>
                  </w:r>
                </w:p>
              </w:tc>
              <w:tc>
                <w:tcPr>
                  <w:tcW w:w="166" w:type="pct"/>
                  <w:tcBorders>
                    <w:tl2br w:val="nil"/>
                    <w:tr2bl w:val="nil"/>
                  </w:tcBorders>
                  <w:shd w:val="clear" w:color="auto" w:fill="auto"/>
                  <w:tcMar>
                    <w:top w:w="0" w:type="dxa"/>
                    <w:left w:w="0" w:type="dxa"/>
                    <w:bottom w:w="0" w:type="dxa"/>
                    <w:right w:w="0" w:type="dxa"/>
                  </w:tcMar>
                  <w:vAlign w:val="center"/>
                </w:tcPr>
                <w:p w14:paraId="7178036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54.6</w:t>
                  </w:r>
                </w:p>
              </w:tc>
              <w:tc>
                <w:tcPr>
                  <w:tcW w:w="166" w:type="pct"/>
                  <w:tcBorders>
                    <w:tl2br w:val="nil"/>
                    <w:tr2bl w:val="nil"/>
                  </w:tcBorders>
                  <w:shd w:val="clear" w:color="auto" w:fill="auto"/>
                  <w:tcMar>
                    <w:top w:w="0" w:type="dxa"/>
                    <w:left w:w="0" w:type="dxa"/>
                    <w:bottom w:w="0" w:type="dxa"/>
                    <w:right w:w="0" w:type="dxa"/>
                  </w:tcMar>
                  <w:vAlign w:val="center"/>
                </w:tcPr>
                <w:p w14:paraId="76F38E8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54.6</w:t>
                  </w:r>
                </w:p>
              </w:tc>
              <w:tc>
                <w:tcPr>
                  <w:tcW w:w="104" w:type="pct"/>
                  <w:tcBorders>
                    <w:tl2br w:val="nil"/>
                    <w:tr2bl w:val="nil"/>
                  </w:tcBorders>
                  <w:shd w:val="clear" w:color="auto" w:fill="auto"/>
                  <w:tcMar>
                    <w:top w:w="0" w:type="dxa"/>
                    <w:left w:w="0" w:type="dxa"/>
                    <w:bottom w:w="0" w:type="dxa"/>
                    <w:right w:w="0" w:type="dxa"/>
                  </w:tcMar>
                  <w:vAlign w:val="center"/>
                </w:tcPr>
                <w:p w14:paraId="2DE79E7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284341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6B5DAC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82</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12DD748">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13D1DA5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RJC快冷风机,4台（按点声源组预测）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3787BB2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90（等效后：96.0)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C99CBD0">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145EC02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60.3</w:t>
                  </w:r>
                </w:p>
              </w:tc>
              <w:tc>
                <w:tcPr>
                  <w:tcW w:w="242" w:type="pct"/>
                  <w:tcBorders>
                    <w:tl2br w:val="nil"/>
                    <w:tr2bl w:val="nil"/>
                  </w:tcBorders>
                  <w:shd w:val="clear" w:color="auto" w:fill="auto"/>
                  <w:tcMar>
                    <w:top w:w="0" w:type="dxa"/>
                    <w:left w:w="0" w:type="dxa"/>
                    <w:bottom w:w="0" w:type="dxa"/>
                    <w:right w:w="0" w:type="dxa"/>
                  </w:tcMar>
                  <w:vAlign w:val="center"/>
                </w:tcPr>
                <w:p w14:paraId="299B9BE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9.3</w:t>
                  </w:r>
                </w:p>
              </w:tc>
              <w:tc>
                <w:tcPr>
                  <w:tcW w:w="120" w:type="pct"/>
                  <w:tcBorders>
                    <w:tl2br w:val="nil"/>
                    <w:tr2bl w:val="nil"/>
                  </w:tcBorders>
                  <w:shd w:val="clear" w:color="auto" w:fill="auto"/>
                  <w:tcMar>
                    <w:top w:w="0" w:type="dxa"/>
                    <w:left w:w="0" w:type="dxa"/>
                    <w:bottom w:w="0" w:type="dxa"/>
                    <w:right w:w="0" w:type="dxa"/>
                  </w:tcMar>
                  <w:vAlign w:val="center"/>
                </w:tcPr>
                <w:p w14:paraId="2C2A897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34AC81B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100.0</w:t>
                  </w:r>
                </w:p>
              </w:tc>
              <w:tc>
                <w:tcPr>
                  <w:tcW w:w="211" w:type="pct"/>
                  <w:tcBorders>
                    <w:tl2br w:val="nil"/>
                    <w:tr2bl w:val="nil"/>
                  </w:tcBorders>
                  <w:shd w:val="clear" w:color="auto" w:fill="auto"/>
                  <w:tcMar>
                    <w:top w:w="0" w:type="dxa"/>
                    <w:left w:w="0" w:type="dxa"/>
                    <w:bottom w:w="0" w:type="dxa"/>
                    <w:right w:w="0" w:type="dxa"/>
                  </w:tcMar>
                  <w:vAlign w:val="center"/>
                </w:tcPr>
                <w:p w14:paraId="445B449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267.2</w:t>
                  </w:r>
                </w:p>
              </w:tc>
              <w:tc>
                <w:tcPr>
                  <w:tcW w:w="211" w:type="pct"/>
                  <w:tcBorders>
                    <w:tl2br w:val="nil"/>
                    <w:tr2bl w:val="nil"/>
                  </w:tcBorders>
                  <w:shd w:val="clear" w:color="auto" w:fill="auto"/>
                  <w:tcMar>
                    <w:top w:w="0" w:type="dxa"/>
                    <w:left w:w="0" w:type="dxa"/>
                    <w:bottom w:w="0" w:type="dxa"/>
                    <w:right w:w="0" w:type="dxa"/>
                  </w:tcMar>
                  <w:vAlign w:val="center"/>
                </w:tcPr>
                <w:p w14:paraId="728FF77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193.5</w:t>
                  </w:r>
                </w:p>
              </w:tc>
              <w:tc>
                <w:tcPr>
                  <w:tcW w:w="211" w:type="pct"/>
                  <w:tcBorders>
                    <w:tl2br w:val="nil"/>
                    <w:tr2bl w:val="nil"/>
                  </w:tcBorders>
                  <w:shd w:val="clear" w:color="auto" w:fill="auto"/>
                  <w:tcMar>
                    <w:top w:w="0" w:type="dxa"/>
                    <w:left w:w="0" w:type="dxa"/>
                    <w:bottom w:w="0" w:type="dxa"/>
                    <w:right w:w="0" w:type="dxa"/>
                  </w:tcMar>
                  <w:vAlign w:val="center"/>
                </w:tcPr>
                <w:p w14:paraId="48CEC4B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174.6</w:t>
                  </w:r>
                </w:p>
              </w:tc>
              <w:tc>
                <w:tcPr>
                  <w:tcW w:w="166" w:type="pct"/>
                  <w:tcBorders>
                    <w:tl2br w:val="nil"/>
                    <w:tr2bl w:val="nil"/>
                  </w:tcBorders>
                  <w:shd w:val="clear" w:color="auto" w:fill="auto"/>
                  <w:tcMar>
                    <w:top w:w="0" w:type="dxa"/>
                    <w:left w:w="0" w:type="dxa"/>
                    <w:bottom w:w="0" w:type="dxa"/>
                    <w:right w:w="0" w:type="dxa"/>
                  </w:tcMar>
                  <w:vAlign w:val="center"/>
                </w:tcPr>
                <w:p w14:paraId="1AF41FA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7644572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69F9F12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3B3A582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223" w:type="pct"/>
                  <w:tcBorders>
                    <w:tl2br w:val="nil"/>
                    <w:tr2bl w:val="nil"/>
                  </w:tcBorders>
                  <w:shd w:val="clear" w:color="auto" w:fill="auto"/>
                  <w:tcMar>
                    <w:top w:w="0" w:type="dxa"/>
                    <w:left w:w="0" w:type="dxa"/>
                    <w:bottom w:w="0" w:type="dxa"/>
                    <w:right w:w="0" w:type="dxa"/>
                  </w:tcMar>
                  <w:vAlign w:val="center"/>
                </w:tcPr>
                <w:p w14:paraId="32FD8EB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5ED856F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C5FF11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1717E5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08D5F0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70A789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67F1E64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44CACF2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1B89672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04" w:type="pct"/>
                  <w:tcBorders>
                    <w:tl2br w:val="nil"/>
                    <w:tr2bl w:val="nil"/>
                  </w:tcBorders>
                  <w:shd w:val="clear" w:color="auto" w:fill="auto"/>
                  <w:tcMar>
                    <w:top w:w="0" w:type="dxa"/>
                    <w:left w:w="0" w:type="dxa"/>
                    <w:bottom w:w="0" w:type="dxa"/>
                    <w:right w:w="0" w:type="dxa"/>
                  </w:tcMar>
                  <w:vAlign w:val="center"/>
                </w:tcPr>
                <w:p w14:paraId="2397B47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6E1254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0957BC2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83</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837C87D">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7728E99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炉后冷却风机,7台（按点声源组预测）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3016055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90（等效后：98.5)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7A5D970">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0E555F7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60.1</w:t>
                  </w:r>
                </w:p>
              </w:tc>
              <w:tc>
                <w:tcPr>
                  <w:tcW w:w="242" w:type="pct"/>
                  <w:tcBorders>
                    <w:tl2br w:val="nil"/>
                    <w:tr2bl w:val="nil"/>
                  </w:tcBorders>
                  <w:shd w:val="clear" w:color="auto" w:fill="auto"/>
                  <w:tcMar>
                    <w:top w:w="0" w:type="dxa"/>
                    <w:left w:w="0" w:type="dxa"/>
                    <w:bottom w:w="0" w:type="dxa"/>
                    <w:right w:w="0" w:type="dxa"/>
                  </w:tcMar>
                  <w:vAlign w:val="center"/>
                </w:tcPr>
                <w:p w14:paraId="6259A01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9.7</w:t>
                  </w:r>
                </w:p>
              </w:tc>
              <w:tc>
                <w:tcPr>
                  <w:tcW w:w="120" w:type="pct"/>
                  <w:tcBorders>
                    <w:tl2br w:val="nil"/>
                    <w:tr2bl w:val="nil"/>
                  </w:tcBorders>
                  <w:shd w:val="clear" w:color="auto" w:fill="auto"/>
                  <w:tcMar>
                    <w:top w:w="0" w:type="dxa"/>
                    <w:left w:w="0" w:type="dxa"/>
                    <w:bottom w:w="0" w:type="dxa"/>
                    <w:right w:w="0" w:type="dxa"/>
                  </w:tcMar>
                  <w:vAlign w:val="center"/>
                </w:tcPr>
                <w:p w14:paraId="6EE2808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48CC544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100.3</w:t>
                  </w:r>
                </w:p>
              </w:tc>
              <w:tc>
                <w:tcPr>
                  <w:tcW w:w="211" w:type="pct"/>
                  <w:tcBorders>
                    <w:tl2br w:val="nil"/>
                    <w:tr2bl w:val="nil"/>
                  </w:tcBorders>
                  <w:shd w:val="clear" w:color="auto" w:fill="auto"/>
                  <w:tcMar>
                    <w:top w:w="0" w:type="dxa"/>
                    <w:left w:w="0" w:type="dxa"/>
                    <w:bottom w:w="0" w:type="dxa"/>
                    <w:right w:w="0" w:type="dxa"/>
                  </w:tcMar>
                  <w:vAlign w:val="center"/>
                </w:tcPr>
                <w:p w14:paraId="5EDF032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267.5</w:t>
                  </w:r>
                </w:p>
              </w:tc>
              <w:tc>
                <w:tcPr>
                  <w:tcW w:w="211" w:type="pct"/>
                  <w:tcBorders>
                    <w:tl2br w:val="nil"/>
                    <w:tr2bl w:val="nil"/>
                  </w:tcBorders>
                  <w:shd w:val="clear" w:color="auto" w:fill="auto"/>
                  <w:tcMar>
                    <w:top w:w="0" w:type="dxa"/>
                    <w:left w:w="0" w:type="dxa"/>
                    <w:bottom w:w="0" w:type="dxa"/>
                    <w:right w:w="0" w:type="dxa"/>
                  </w:tcMar>
                  <w:vAlign w:val="center"/>
                </w:tcPr>
                <w:p w14:paraId="293BA63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193.8</w:t>
                  </w:r>
                </w:p>
              </w:tc>
              <w:tc>
                <w:tcPr>
                  <w:tcW w:w="211" w:type="pct"/>
                  <w:tcBorders>
                    <w:tl2br w:val="nil"/>
                    <w:tr2bl w:val="nil"/>
                  </w:tcBorders>
                  <w:shd w:val="clear" w:color="auto" w:fill="auto"/>
                  <w:tcMar>
                    <w:top w:w="0" w:type="dxa"/>
                    <w:left w:w="0" w:type="dxa"/>
                    <w:bottom w:w="0" w:type="dxa"/>
                    <w:right w:w="0" w:type="dxa"/>
                  </w:tcMar>
                  <w:vAlign w:val="center"/>
                </w:tcPr>
                <w:p w14:paraId="1D44C78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174.3</w:t>
                  </w:r>
                </w:p>
              </w:tc>
              <w:tc>
                <w:tcPr>
                  <w:tcW w:w="166" w:type="pct"/>
                  <w:tcBorders>
                    <w:tl2br w:val="nil"/>
                    <w:tr2bl w:val="nil"/>
                  </w:tcBorders>
                  <w:shd w:val="clear" w:color="auto" w:fill="auto"/>
                  <w:tcMar>
                    <w:top w:w="0" w:type="dxa"/>
                    <w:left w:w="0" w:type="dxa"/>
                    <w:bottom w:w="0" w:type="dxa"/>
                    <w:right w:w="0" w:type="dxa"/>
                  </w:tcMar>
                  <w:vAlign w:val="center"/>
                </w:tcPr>
                <w:p w14:paraId="2B882F8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75.6</w:t>
                  </w:r>
                </w:p>
              </w:tc>
              <w:tc>
                <w:tcPr>
                  <w:tcW w:w="166" w:type="pct"/>
                  <w:tcBorders>
                    <w:tl2br w:val="nil"/>
                    <w:tr2bl w:val="nil"/>
                  </w:tcBorders>
                  <w:shd w:val="clear" w:color="auto" w:fill="auto"/>
                  <w:tcMar>
                    <w:top w:w="0" w:type="dxa"/>
                    <w:left w:w="0" w:type="dxa"/>
                    <w:bottom w:w="0" w:type="dxa"/>
                    <w:right w:w="0" w:type="dxa"/>
                  </w:tcMar>
                  <w:vAlign w:val="center"/>
                </w:tcPr>
                <w:p w14:paraId="7DDA789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75.6</w:t>
                  </w:r>
                </w:p>
              </w:tc>
              <w:tc>
                <w:tcPr>
                  <w:tcW w:w="166" w:type="pct"/>
                  <w:tcBorders>
                    <w:tl2br w:val="nil"/>
                    <w:tr2bl w:val="nil"/>
                  </w:tcBorders>
                  <w:shd w:val="clear" w:color="auto" w:fill="auto"/>
                  <w:tcMar>
                    <w:top w:w="0" w:type="dxa"/>
                    <w:left w:w="0" w:type="dxa"/>
                    <w:bottom w:w="0" w:type="dxa"/>
                    <w:right w:w="0" w:type="dxa"/>
                  </w:tcMar>
                  <w:vAlign w:val="center"/>
                </w:tcPr>
                <w:p w14:paraId="3CB3821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75.6</w:t>
                  </w:r>
                </w:p>
              </w:tc>
              <w:tc>
                <w:tcPr>
                  <w:tcW w:w="166" w:type="pct"/>
                  <w:tcBorders>
                    <w:tl2br w:val="nil"/>
                    <w:tr2bl w:val="nil"/>
                  </w:tcBorders>
                  <w:shd w:val="clear" w:color="auto" w:fill="auto"/>
                  <w:tcMar>
                    <w:top w:w="0" w:type="dxa"/>
                    <w:left w:w="0" w:type="dxa"/>
                    <w:bottom w:w="0" w:type="dxa"/>
                    <w:right w:w="0" w:type="dxa"/>
                  </w:tcMar>
                  <w:vAlign w:val="center"/>
                </w:tcPr>
                <w:p w14:paraId="77D18B8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75.6</w:t>
                  </w:r>
                </w:p>
              </w:tc>
              <w:tc>
                <w:tcPr>
                  <w:tcW w:w="223" w:type="pct"/>
                  <w:tcBorders>
                    <w:tl2br w:val="nil"/>
                    <w:tr2bl w:val="nil"/>
                  </w:tcBorders>
                  <w:shd w:val="clear" w:color="auto" w:fill="auto"/>
                  <w:tcMar>
                    <w:top w:w="0" w:type="dxa"/>
                    <w:left w:w="0" w:type="dxa"/>
                    <w:bottom w:w="0" w:type="dxa"/>
                    <w:right w:w="0" w:type="dxa"/>
                  </w:tcMar>
                  <w:vAlign w:val="center"/>
                </w:tcPr>
                <w:p w14:paraId="49BD279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42C0A6D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278477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F57BB7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1C5D8D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6384A9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54.6</w:t>
                  </w:r>
                </w:p>
              </w:tc>
              <w:tc>
                <w:tcPr>
                  <w:tcW w:w="166" w:type="pct"/>
                  <w:tcBorders>
                    <w:tl2br w:val="nil"/>
                    <w:tr2bl w:val="nil"/>
                  </w:tcBorders>
                  <w:shd w:val="clear" w:color="auto" w:fill="auto"/>
                  <w:tcMar>
                    <w:top w:w="0" w:type="dxa"/>
                    <w:left w:w="0" w:type="dxa"/>
                    <w:bottom w:w="0" w:type="dxa"/>
                    <w:right w:w="0" w:type="dxa"/>
                  </w:tcMar>
                  <w:vAlign w:val="center"/>
                </w:tcPr>
                <w:p w14:paraId="399E86C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54.6</w:t>
                  </w:r>
                </w:p>
              </w:tc>
              <w:tc>
                <w:tcPr>
                  <w:tcW w:w="166" w:type="pct"/>
                  <w:tcBorders>
                    <w:tl2br w:val="nil"/>
                    <w:tr2bl w:val="nil"/>
                  </w:tcBorders>
                  <w:shd w:val="clear" w:color="auto" w:fill="auto"/>
                  <w:tcMar>
                    <w:top w:w="0" w:type="dxa"/>
                    <w:left w:w="0" w:type="dxa"/>
                    <w:bottom w:w="0" w:type="dxa"/>
                    <w:right w:w="0" w:type="dxa"/>
                  </w:tcMar>
                  <w:vAlign w:val="center"/>
                </w:tcPr>
                <w:p w14:paraId="6114614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54.6</w:t>
                  </w:r>
                </w:p>
              </w:tc>
              <w:tc>
                <w:tcPr>
                  <w:tcW w:w="166" w:type="pct"/>
                  <w:tcBorders>
                    <w:tl2br w:val="nil"/>
                    <w:tr2bl w:val="nil"/>
                  </w:tcBorders>
                  <w:shd w:val="clear" w:color="auto" w:fill="auto"/>
                  <w:tcMar>
                    <w:top w:w="0" w:type="dxa"/>
                    <w:left w:w="0" w:type="dxa"/>
                    <w:bottom w:w="0" w:type="dxa"/>
                    <w:right w:w="0" w:type="dxa"/>
                  </w:tcMar>
                  <w:vAlign w:val="center"/>
                </w:tcPr>
                <w:p w14:paraId="6481602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54.6</w:t>
                  </w:r>
                </w:p>
              </w:tc>
              <w:tc>
                <w:tcPr>
                  <w:tcW w:w="104" w:type="pct"/>
                  <w:tcBorders>
                    <w:tl2br w:val="nil"/>
                    <w:tr2bl w:val="nil"/>
                  </w:tcBorders>
                  <w:shd w:val="clear" w:color="auto" w:fill="auto"/>
                  <w:tcMar>
                    <w:top w:w="0" w:type="dxa"/>
                    <w:left w:w="0" w:type="dxa"/>
                    <w:bottom w:w="0" w:type="dxa"/>
                    <w:right w:w="0" w:type="dxa"/>
                  </w:tcMar>
                  <w:vAlign w:val="center"/>
                </w:tcPr>
                <w:p w14:paraId="57B3F06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37922B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F549D7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84</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A16B4E9">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121F2CC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干燥炉助燃风机</w:t>
                  </w:r>
                </w:p>
              </w:tc>
              <w:tc>
                <w:tcPr>
                  <w:tcW w:w="264" w:type="pct"/>
                  <w:tcBorders>
                    <w:tl2br w:val="nil"/>
                    <w:tr2bl w:val="nil"/>
                  </w:tcBorders>
                  <w:shd w:val="clear" w:color="auto" w:fill="auto"/>
                  <w:tcMar>
                    <w:top w:w="0" w:type="dxa"/>
                    <w:left w:w="0" w:type="dxa"/>
                    <w:bottom w:w="0" w:type="dxa"/>
                    <w:right w:w="0" w:type="dxa"/>
                  </w:tcMar>
                  <w:vAlign w:val="center"/>
                </w:tcPr>
                <w:p w14:paraId="7D4CF65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42F3B5B">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076AF05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60.4</w:t>
                  </w:r>
                </w:p>
              </w:tc>
              <w:tc>
                <w:tcPr>
                  <w:tcW w:w="242" w:type="pct"/>
                  <w:tcBorders>
                    <w:tl2br w:val="nil"/>
                    <w:tr2bl w:val="nil"/>
                  </w:tcBorders>
                  <w:shd w:val="clear" w:color="auto" w:fill="auto"/>
                  <w:tcMar>
                    <w:top w:w="0" w:type="dxa"/>
                    <w:left w:w="0" w:type="dxa"/>
                    <w:bottom w:w="0" w:type="dxa"/>
                    <w:right w:w="0" w:type="dxa"/>
                  </w:tcMar>
                  <w:vAlign w:val="center"/>
                </w:tcPr>
                <w:p w14:paraId="0CA1699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10.8</w:t>
                  </w:r>
                </w:p>
              </w:tc>
              <w:tc>
                <w:tcPr>
                  <w:tcW w:w="120" w:type="pct"/>
                  <w:tcBorders>
                    <w:tl2br w:val="nil"/>
                    <w:tr2bl w:val="nil"/>
                  </w:tcBorders>
                  <w:shd w:val="clear" w:color="auto" w:fill="auto"/>
                  <w:tcMar>
                    <w:top w:w="0" w:type="dxa"/>
                    <w:left w:w="0" w:type="dxa"/>
                    <w:bottom w:w="0" w:type="dxa"/>
                    <w:right w:w="0" w:type="dxa"/>
                  </w:tcMar>
                  <w:vAlign w:val="center"/>
                </w:tcPr>
                <w:p w14:paraId="3F11A39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4B6754B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100.4</w:t>
                  </w:r>
                </w:p>
              </w:tc>
              <w:tc>
                <w:tcPr>
                  <w:tcW w:w="211" w:type="pct"/>
                  <w:tcBorders>
                    <w:tl2br w:val="nil"/>
                    <w:tr2bl w:val="nil"/>
                  </w:tcBorders>
                  <w:shd w:val="clear" w:color="auto" w:fill="auto"/>
                  <w:tcMar>
                    <w:top w:w="0" w:type="dxa"/>
                    <w:left w:w="0" w:type="dxa"/>
                    <w:bottom w:w="0" w:type="dxa"/>
                    <w:right w:w="0" w:type="dxa"/>
                  </w:tcMar>
                  <w:vAlign w:val="center"/>
                </w:tcPr>
                <w:p w14:paraId="305DF2D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268.6</w:t>
                  </w:r>
                </w:p>
              </w:tc>
              <w:tc>
                <w:tcPr>
                  <w:tcW w:w="211" w:type="pct"/>
                  <w:tcBorders>
                    <w:tl2br w:val="nil"/>
                    <w:tr2bl w:val="nil"/>
                  </w:tcBorders>
                  <w:shd w:val="clear" w:color="auto" w:fill="auto"/>
                  <w:tcMar>
                    <w:top w:w="0" w:type="dxa"/>
                    <w:left w:w="0" w:type="dxa"/>
                    <w:bottom w:w="0" w:type="dxa"/>
                    <w:right w:w="0" w:type="dxa"/>
                  </w:tcMar>
                  <w:vAlign w:val="center"/>
                </w:tcPr>
                <w:p w14:paraId="7898737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194.9</w:t>
                  </w:r>
                </w:p>
              </w:tc>
              <w:tc>
                <w:tcPr>
                  <w:tcW w:w="211" w:type="pct"/>
                  <w:tcBorders>
                    <w:tl2br w:val="nil"/>
                    <w:tr2bl w:val="nil"/>
                  </w:tcBorders>
                  <w:shd w:val="clear" w:color="auto" w:fill="auto"/>
                  <w:tcMar>
                    <w:top w:w="0" w:type="dxa"/>
                    <w:left w:w="0" w:type="dxa"/>
                    <w:bottom w:w="0" w:type="dxa"/>
                    <w:right w:w="0" w:type="dxa"/>
                  </w:tcMar>
                  <w:vAlign w:val="center"/>
                </w:tcPr>
                <w:p w14:paraId="4F51A50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173.2</w:t>
                  </w:r>
                </w:p>
              </w:tc>
              <w:tc>
                <w:tcPr>
                  <w:tcW w:w="166" w:type="pct"/>
                  <w:tcBorders>
                    <w:tl2br w:val="nil"/>
                    <w:tr2bl w:val="nil"/>
                  </w:tcBorders>
                  <w:shd w:val="clear" w:color="auto" w:fill="auto"/>
                  <w:tcMar>
                    <w:top w:w="0" w:type="dxa"/>
                    <w:left w:w="0" w:type="dxa"/>
                    <w:bottom w:w="0" w:type="dxa"/>
                    <w:right w:w="0" w:type="dxa"/>
                  </w:tcMar>
                  <w:vAlign w:val="center"/>
                </w:tcPr>
                <w:p w14:paraId="785CBD9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7713F2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B4321F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7D30A4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2C1B816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1518AEA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509EBA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960BD1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28018A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F13AE5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23E6B5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6889F1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5F2411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6330D08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31E9B1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98F4AF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1B8220E">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1CB35FA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干燥炉排烟风机</w:t>
                  </w:r>
                </w:p>
              </w:tc>
              <w:tc>
                <w:tcPr>
                  <w:tcW w:w="264" w:type="pct"/>
                  <w:tcBorders>
                    <w:tl2br w:val="nil"/>
                    <w:tr2bl w:val="nil"/>
                  </w:tcBorders>
                  <w:shd w:val="clear" w:color="auto" w:fill="auto"/>
                  <w:tcMar>
                    <w:top w:w="0" w:type="dxa"/>
                    <w:left w:w="0" w:type="dxa"/>
                    <w:bottom w:w="0" w:type="dxa"/>
                    <w:right w:w="0" w:type="dxa"/>
                  </w:tcMar>
                  <w:vAlign w:val="center"/>
                </w:tcPr>
                <w:p w14:paraId="209D96D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0DB83E0">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08F3D1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60.6</w:t>
                  </w:r>
                </w:p>
              </w:tc>
              <w:tc>
                <w:tcPr>
                  <w:tcW w:w="242" w:type="pct"/>
                  <w:tcBorders>
                    <w:tl2br w:val="nil"/>
                    <w:tr2bl w:val="nil"/>
                  </w:tcBorders>
                  <w:shd w:val="clear" w:color="auto" w:fill="auto"/>
                  <w:tcMar>
                    <w:top w:w="0" w:type="dxa"/>
                    <w:left w:w="0" w:type="dxa"/>
                    <w:bottom w:w="0" w:type="dxa"/>
                    <w:right w:w="0" w:type="dxa"/>
                  </w:tcMar>
                  <w:vAlign w:val="center"/>
                </w:tcPr>
                <w:p w14:paraId="2C9952C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11.5</w:t>
                  </w:r>
                </w:p>
              </w:tc>
              <w:tc>
                <w:tcPr>
                  <w:tcW w:w="120" w:type="pct"/>
                  <w:tcBorders>
                    <w:tl2br w:val="nil"/>
                    <w:tr2bl w:val="nil"/>
                  </w:tcBorders>
                  <w:shd w:val="clear" w:color="auto" w:fill="auto"/>
                  <w:tcMar>
                    <w:top w:w="0" w:type="dxa"/>
                    <w:left w:w="0" w:type="dxa"/>
                    <w:bottom w:w="0" w:type="dxa"/>
                    <w:right w:w="0" w:type="dxa"/>
                  </w:tcMar>
                  <w:vAlign w:val="center"/>
                </w:tcPr>
                <w:p w14:paraId="413EB8C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248CF70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100.5</w:t>
                  </w:r>
                </w:p>
              </w:tc>
              <w:tc>
                <w:tcPr>
                  <w:tcW w:w="211" w:type="pct"/>
                  <w:tcBorders>
                    <w:tl2br w:val="nil"/>
                    <w:tr2bl w:val="nil"/>
                  </w:tcBorders>
                  <w:shd w:val="clear" w:color="auto" w:fill="auto"/>
                  <w:tcMar>
                    <w:top w:w="0" w:type="dxa"/>
                    <w:left w:w="0" w:type="dxa"/>
                    <w:bottom w:w="0" w:type="dxa"/>
                    <w:right w:w="0" w:type="dxa"/>
                  </w:tcMar>
                  <w:vAlign w:val="center"/>
                </w:tcPr>
                <w:p w14:paraId="7B592A6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269.3</w:t>
                  </w:r>
                </w:p>
              </w:tc>
              <w:tc>
                <w:tcPr>
                  <w:tcW w:w="211" w:type="pct"/>
                  <w:tcBorders>
                    <w:tl2br w:val="nil"/>
                    <w:tr2bl w:val="nil"/>
                  </w:tcBorders>
                  <w:shd w:val="clear" w:color="auto" w:fill="auto"/>
                  <w:tcMar>
                    <w:top w:w="0" w:type="dxa"/>
                    <w:left w:w="0" w:type="dxa"/>
                    <w:bottom w:w="0" w:type="dxa"/>
                    <w:right w:w="0" w:type="dxa"/>
                  </w:tcMar>
                  <w:vAlign w:val="center"/>
                </w:tcPr>
                <w:p w14:paraId="4F1F321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195.6</w:t>
                  </w:r>
                </w:p>
              </w:tc>
              <w:tc>
                <w:tcPr>
                  <w:tcW w:w="211" w:type="pct"/>
                  <w:tcBorders>
                    <w:tl2br w:val="nil"/>
                    <w:tr2bl w:val="nil"/>
                  </w:tcBorders>
                  <w:shd w:val="clear" w:color="auto" w:fill="auto"/>
                  <w:tcMar>
                    <w:top w:w="0" w:type="dxa"/>
                    <w:left w:w="0" w:type="dxa"/>
                    <w:bottom w:w="0" w:type="dxa"/>
                    <w:right w:w="0" w:type="dxa"/>
                  </w:tcMar>
                  <w:vAlign w:val="center"/>
                </w:tcPr>
                <w:p w14:paraId="06D4E72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172.5</w:t>
                  </w:r>
                </w:p>
              </w:tc>
              <w:tc>
                <w:tcPr>
                  <w:tcW w:w="166" w:type="pct"/>
                  <w:tcBorders>
                    <w:tl2br w:val="nil"/>
                    <w:tr2bl w:val="nil"/>
                  </w:tcBorders>
                  <w:shd w:val="clear" w:color="auto" w:fill="auto"/>
                  <w:tcMar>
                    <w:top w:w="0" w:type="dxa"/>
                    <w:left w:w="0" w:type="dxa"/>
                    <w:bottom w:w="0" w:type="dxa"/>
                    <w:right w:w="0" w:type="dxa"/>
                  </w:tcMar>
                  <w:vAlign w:val="center"/>
                </w:tcPr>
                <w:p w14:paraId="09A4A93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5B3E59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696F15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9407CE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54AF309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1F1173F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FAD6B5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604B28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FADFCC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D8E06D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679EAF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27D001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90BE74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0045AEE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7BDCDE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6C14AD2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86</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3F06946">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6FD0891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开卷机</w:t>
                  </w:r>
                </w:p>
              </w:tc>
              <w:tc>
                <w:tcPr>
                  <w:tcW w:w="264" w:type="pct"/>
                  <w:tcBorders>
                    <w:tl2br w:val="nil"/>
                    <w:tr2bl w:val="nil"/>
                  </w:tcBorders>
                  <w:shd w:val="clear" w:color="auto" w:fill="auto"/>
                  <w:tcMar>
                    <w:top w:w="0" w:type="dxa"/>
                    <w:left w:w="0" w:type="dxa"/>
                    <w:bottom w:w="0" w:type="dxa"/>
                    <w:right w:w="0" w:type="dxa"/>
                  </w:tcMar>
                  <w:vAlign w:val="center"/>
                </w:tcPr>
                <w:p w14:paraId="202BF83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E93089E">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6749F13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61.8</w:t>
                  </w:r>
                </w:p>
              </w:tc>
              <w:tc>
                <w:tcPr>
                  <w:tcW w:w="242" w:type="pct"/>
                  <w:tcBorders>
                    <w:tl2br w:val="nil"/>
                    <w:tr2bl w:val="nil"/>
                  </w:tcBorders>
                  <w:shd w:val="clear" w:color="auto" w:fill="auto"/>
                  <w:tcMar>
                    <w:top w:w="0" w:type="dxa"/>
                    <w:left w:w="0" w:type="dxa"/>
                    <w:bottom w:w="0" w:type="dxa"/>
                    <w:right w:w="0" w:type="dxa"/>
                  </w:tcMar>
                  <w:vAlign w:val="center"/>
                </w:tcPr>
                <w:p w14:paraId="50202B9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14.7</w:t>
                  </w:r>
                </w:p>
              </w:tc>
              <w:tc>
                <w:tcPr>
                  <w:tcW w:w="120" w:type="pct"/>
                  <w:tcBorders>
                    <w:tl2br w:val="nil"/>
                    <w:tr2bl w:val="nil"/>
                  </w:tcBorders>
                  <w:shd w:val="clear" w:color="auto" w:fill="auto"/>
                  <w:tcMar>
                    <w:top w:w="0" w:type="dxa"/>
                    <w:left w:w="0" w:type="dxa"/>
                    <w:bottom w:w="0" w:type="dxa"/>
                    <w:right w:w="0" w:type="dxa"/>
                  </w:tcMar>
                  <w:vAlign w:val="center"/>
                </w:tcPr>
                <w:p w14:paraId="71016BD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68722CE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100.6</w:t>
                  </w:r>
                </w:p>
              </w:tc>
              <w:tc>
                <w:tcPr>
                  <w:tcW w:w="211" w:type="pct"/>
                  <w:tcBorders>
                    <w:tl2br w:val="nil"/>
                    <w:tr2bl w:val="nil"/>
                  </w:tcBorders>
                  <w:shd w:val="clear" w:color="auto" w:fill="auto"/>
                  <w:tcMar>
                    <w:top w:w="0" w:type="dxa"/>
                    <w:left w:w="0" w:type="dxa"/>
                    <w:bottom w:w="0" w:type="dxa"/>
                    <w:right w:w="0" w:type="dxa"/>
                  </w:tcMar>
                  <w:vAlign w:val="center"/>
                </w:tcPr>
                <w:p w14:paraId="5C0A737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272.7</w:t>
                  </w:r>
                </w:p>
              </w:tc>
              <w:tc>
                <w:tcPr>
                  <w:tcW w:w="211" w:type="pct"/>
                  <w:tcBorders>
                    <w:tl2br w:val="nil"/>
                    <w:tr2bl w:val="nil"/>
                  </w:tcBorders>
                  <w:shd w:val="clear" w:color="auto" w:fill="auto"/>
                  <w:tcMar>
                    <w:top w:w="0" w:type="dxa"/>
                    <w:left w:w="0" w:type="dxa"/>
                    <w:bottom w:w="0" w:type="dxa"/>
                    <w:right w:w="0" w:type="dxa"/>
                  </w:tcMar>
                  <w:vAlign w:val="center"/>
                </w:tcPr>
                <w:p w14:paraId="64D0539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199.0</w:t>
                  </w:r>
                </w:p>
              </w:tc>
              <w:tc>
                <w:tcPr>
                  <w:tcW w:w="211" w:type="pct"/>
                  <w:tcBorders>
                    <w:tl2br w:val="nil"/>
                    <w:tr2bl w:val="nil"/>
                  </w:tcBorders>
                  <w:shd w:val="clear" w:color="auto" w:fill="auto"/>
                  <w:tcMar>
                    <w:top w:w="0" w:type="dxa"/>
                    <w:left w:w="0" w:type="dxa"/>
                    <w:bottom w:w="0" w:type="dxa"/>
                    <w:right w:w="0" w:type="dxa"/>
                  </w:tcMar>
                  <w:vAlign w:val="center"/>
                </w:tcPr>
                <w:p w14:paraId="4EE146B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169.0</w:t>
                  </w:r>
                </w:p>
              </w:tc>
              <w:tc>
                <w:tcPr>
                  <w:tcW w:w="166" w:type="pct"/>
                  <w:tcBorders>
                    <w:tl2br w:val="nil"/>
                    <w:tr2bl w:val="nil"/>
                  </w:tcBorders>
                  <w:shd w:val="clear" w:color="auto" w:fill="auto"/>
                  <w:tcMar>
                    <w:top w:w="0" w:type="dxa"/>
                    <w:left w:w="0" w:type="dxa"/>
                    <w:bottom w:w="0" w:type="dxa"/>
                    <w:right w:w="0" w:type="dxa"/>
                  </w:tcMar>
                  <w:vAlign w:val="center"/>
                </w:tcPr>
                <w:p w14:paraId="1722DEA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4E4D768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3D76DEF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652E813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223" w:type="pct"/>
                  <w:tcBorders>
                    <w:tl2br w:val="nil"/>
                    <w:tr2bl w:val="nil"/>
                  </w:tcBorders>
                  <w:shd w:val="clear" w:color="auto" w:fill="auto"/>
                  <w:tcMar>
                    <w:top w:w="0" w:type="dxa"/>
                    <w:left w:w="0" w:type="dxa"/>
                    <w:bottom w:w="0" w:type="dxa"/>
                    <w:right w:w="0" w:type="dxa"/>
                  </w:tcMar>
                  <w:vAlign w:val="center"/>
                </w:tcPr>
                <w:p w14:paraId="3BC3387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27797FB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943313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60D29F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4F367F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47B623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69D2E66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4BCB1B4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0723417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04" w:type="pct"/>
                  <w:tcBorders>
                    <w:tl2br w:val="nil"/>
                    <w:tr2bl w:val="nil"/>
                  </w:tcBorders>
                  <w:shd w:val="clear" w:color="auto" w:fill="auto"/>
                  <w:tcMar>
                    <w:top w:w="0" w:type="dxa"/>
                    <w:left w:w="0" w:type="dxa"/>
                    <w:bottom w:w="0" w:type="dxa"/>
                    <w:right w:w="0" w:type="dxa"/>
                  </w:tcMar>
                  <w:vAlign w:val="center"/>
                </w:tcPr>
                <w:p w14:paraId="5D71861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60B65E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6AF4A0A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87</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01852E6">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1DB77AB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开卷机</w:t>
                  </w:r>
                </w:p>
              </w:tc>
              <w:tc>
                <w:tcPr>
                  <w:tcW w:w="264" w:type="pct"/>
                  <w:tcBorders>
                    <w:tl2br w:val="nil"/>
                    <w:tr2bl w:val="nil"/>
                  </w:tcBorders>
                  <w:shd w:val="clear" w:color="auto" w:fill="auto"/>
                  <w:tcMar>
                    <w:top w:w="0" w:type="dxa"/>
                    <w:left w:w="0" w:type="dxa"/>
                    <w:bottom w:w="0" w:type="dxa"/>
                    <w:right w:w="0" w:type="dxa"/>
                  </w:tcMar>
                  <w:vAlign w:val="center"/>
                </w:tcPr>
                <w:p w14:paraId="1B3809C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834BA2E">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D9ABF3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242" w:type="pct"/>
                  <w:tcBorders>
                    <w:tl2br w:val="nil"/>
                    <w:tr2bl w:val="nil"/>
                  </w:tcBorders>
                  <w:shd w:val="clear" w:color="auto" w:fill="auto"/>
                  <w:tcMar>
                    <w:top w:w="0" w:type="dxa"/>
                    <w:left w:w="0" w:type="dxa"/>
                    <w:bottom w:w="0" w:type="dxa"/>
                    <w:right w:w="0" w:type="dxa"/>
                  </w:tcMar>
                  <w:vAlign w:val="center"/>
                </w:tcPr>
                <w:p w14:paraId="530FEEF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w:t>
                  </w:r>
                </w:p>
              </w:tc>
              <w:tc>
                <w:tcPr>
                  <w:tcW w:w="120" w:type="pct"/>
                  <w:tcBorders>
                    <w:tl2br w:val="nil"/>
                    <w:tr2bl w:val="nil"/>
                  </w:tcBorders>
                  <w:shd w:val="clear" w:color="auto" w:fill="auto"/>
                  <w:tcMar>
                    <w:top w:w="0" w:type="dxa"/>
                    <w:left w:w="0" w:type="dxa"/>
                    <w:bottom w:w="0" w:type="dxa"/>
                    <w:right w:w="0" w:type="dxa"/>
                  </w:tcMar>
                  <w:vAlign w:val="center"/>
                </w:tcPr>
                <w:p w14:paraId="4C2BD8B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5ECF57F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100.8</w:t>
                  </w:r>
                </w:p>
              </w:tc>
              <w:tc>
                <w:tcPr>
                  <w:tcW w:w="211" w:type="pct"/>
                  <w:tcBorders>
                    <w:tl2br w:val="nil"/>
                    <w:tr2bl w:val="nil"/>
                  </w:tcBorders>
                  <w:shd w:val="clear" w:color="auto" w:fill="auto"/>
                  <w:tcMar>
                    <w:top w:w="0" w:type="dxa"/>
                    <w:left w:w="0" w:type="dxa"/>
                    <w:bottom w:w="0" w:type="dxa"/>
                    <w:right w:w="0" w:type="dxa"/>
                  </w:tcMar>
                  <w:vAlign w:val="center"/>
                </w:tcPr>
                <w:p w14:paraId="7A07FC2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274.1</w:t>
                  </w:r>
                </w:p>
              </w:tc>
              <w:tc>
                <w:tcPr>
                  <w:tcW w:w="211" w:type="pct"/>
                  <w:tcBorders>
                    <w:tl2br w:val="nil"/>
                    <w:tr2bl w:val="nil"/>
                  </w:tcBorders>
                  <w:shd w:val="clear" w:color="auto" w:fill="auto"/>
                  <w:tcMar>
                    <w:top w:w="0" w:type="dxa"/>
                    <w:left w:w="0" w:type="dxa"/>
                    <w:bottom w:w="0" w:type="dxa"/>
                    <w:right w:w="0" w:type="dxa"/>
                  </w:tcMar>
                  <w:vAlign w:val="center"/>
                </w:tcPr>
                <w:p w14:paraId="555B6AB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200.3</w:t>
                  </w:r>
                </w:p>
              </w:tc>
              <w:tc>
                <w:tcPr>
                  <w:tcW w:w="211" w:type="pct"/>
                  <w:tcBorders>
                    <w:tl2br w:val="nil"/>
                    <w:tr2bl w:val="nil"/>
                  </w:tcBorders>
                  <w:shd w:val="clear" w:color="auto" w:fill="auto"/>
                  <w:tcMar>
                    <w:top w:w="0" w:type="dxa"/>
                    <w:left w:w="0" w:type="dxa"/>
                    <w:bottom w:w="0" w:type="dxa"/>
                    <w:right w:w="0" w:type="dxa"/>
                  </w:tcMar>
                  <w:vAlign w:val="center"/>
                </w:tcPr>
                <w:p w14:paraId="3AA2A66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167.7</w:t>
                  </w:r>
                </w:p>
              </w:tc>
              <w:tc>
                <w:tcPr>
                  <w:tcW w:w="166" w:type="pct"/>
                  <w:tcBorders>
                    <w:tl2br w:val="nil"/>
                    <w:tr2bl w:val="nil"/>
                  </w:tcBorders>
                  <w:shd w:val="clear" w:color="auto" w:fill="auto"/>
                  <w:tcMar>
                    <w:top w:w="0" w:type="dxa"/>
                    <w:left w:w="0" w:type="dxa"/>
                    <w:bottom w:w="0" w:type="dxa"/>
                    <w:right w:w="0" w:type="dxa"/>
                  </w:tcMar>
                  <w:vAlign w:val="center"/>
                </w:tcPr>
                <w:p w14:paraId="5D8B106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6CF080E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619BC29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25D568E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223" w:type="pct"/>
                  <w:tcBorders>
                    <w:tl2br w:val="nil"/>
                    <w:tr2bl w:val="nil"/>
                  </w:tcBorders>
                  <w:shd w:val="clear" w:color="auto" w:fill="auto"/>
                  <w:tcMar>
                    <w:top w:w="0" w:type="dxa"/>
                    <w:left w:w="0" w:type="dxa"/>
                    <w:bottom w:w="0" w:type="dxa"/>
                    <w:right w:w="0" w:type="dxa"/>
                  </w:tcMar>
                  <w:vAlign w:val="center"/>
                </w:tcPr>
                <w:p w14:paraId="2D8046A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0E95ECB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6A0D5A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FFC0F8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55A262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BD90B2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309628D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167FA3E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68CA690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04" w:type="pct"/>
                  <w:tcBorders>
                    <w:tl2br w:val="nil"/>
                    <w:tr2bl w:val="nil"/>
                  </w:tcBorders>
                  <w:shd w:val="clear" w:color="auto" w:fill="auto"/>
                  <w:tcMar>
                    <w:top w:w="0" w:type="dxa"/>
                    <w:left w:w="0" w:type="dxa"/>
                    <w:bottom w:w="0" w:type="dxa"/>
                    <w:right w:w="0" w:type="dxa"/>
                  </w:tcMar>
                  <w:vAlign w:val="center"/>
                </w:tcPr>
                <w:p w14:paraId="4CA69C4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428816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46806C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88</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0BE6B29">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62F01DB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卷取机</w:t>
                  </w:r>
                </w:p>
              </w:tc>
              <w:tc>
                <w:tcPr>
                  <w:tcW w:w="264" w:type="pct"/>
                  <w:tcBorders>
                    <w:tl2br w:val="nil"/>
                    <w:tr2bl w:val="nil"/>
                  </w:tcBorders>
                  <w:shd w:val="clear" w:color="auto" w:fill="auto"/>
                  <w:tcMar>
                    <w:top w:w="0" w:type="dxa"/>
                    <w:left w:w="0" w:type="dxa"/>
                    <w:bottom w:w="0" w:type="dxa"/>
                    <w:right w:w="0" w:type="dxa"/>
                  </w:tcMar>
                  <w:vAlign w:val="center"/>
                </w:tcPr>
                <w:p w14:paraId="4D88655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AE7578F">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1692E08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63</w:t>
                  </w:r>
                </w:p>
              </w:tc>
              <w:tc>
                <w:tcPr>
                  <w:tcW w:w="242" w:type="pct"/>
                  <w:tcBorders>
                    <w:tl2br w:val="nil"/>
                    <w:tr2bl w:val="nil"/>
                  </w:tcBorders>
                  <w:shd w:val="clear" w:color="auto" w:fill="auto"/>
                  <w:tcMar>
                    <w:top w:w="0" w:type="dxa"/>
                    <w:left w:w="0" w:type="dxa"/>
                    <w:bottom w:w="0" w:type="dxa"/>
                    <w:right w:w="0" w:type="dxa"/>
                  </w:tcMar>
                  <w:vAlign w:val="center"/>
                </w:tcPr>
                <w:p w14:paraId="76C9668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14.3</w:t>
                  </w:r>
                </w:p>
              </w:tc>
              <w:tc>
                <w:tcPr>
                  <w:tcW w:w="120" w:type="pct"/>
                  <w:tcBorders>
                    <w:tl2br w:val="nil"/>
                    <w:tr2bl w:val="nil"/>
                  </w:tcBorders>
                  <w:shd w:val="clear" w:color="auto" w:fill="auto"/>
                  <w:tcMar>
                    <w:top w:w="0" w:type="dxa"/>
                    <w:left w:w="0" w:type="dxa"/>
                    <w:bottom w:w="0" w:type="dxa"/>
                    <w:right w:w="0" w:type="dxa"/>
                  </w:tcMar>
                  <w:vAlign w:val="center"/>
                </w:tcPr>
                <w:p w14:paraId="7AEC4FC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71EB6A3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99.3</w:t>
                  </w:r>
                </w:p>
              </w:tc>
              <w:tc>
                <w:tcPr>
                  <w:tcW w:w="211" w:type="pct"/>
                  <w:tcBorders>
                    <w:tl2br w:val="nil"/>
                    <w:tr2bl w:val="nil"/>
                  </w:tcBorders>
                  <w:shd w:val="clear" w:color="auto" w:fill="auto"/>
                  <w:tcMar>
                    <w:top w:w="0" w:type="dxa"/>
                    <w:left w:w="0" w:type="dxa"/>
                    <w:bottom w:w="0" w:type="dxa"/>
                    <w:right w:w="0" w:type="dxa"/>
                  </w:tcMar>
                  <w:vAlign w:val="center"/>
                </w:tcPr>
                <w:p w14:paraId="48EF353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272.8</w:t>
                  </w:r>
                </w:p>
              </w:tc>
              <w:tc>
                <w:tcPr>
                  <w:tcW w:w="211" w:type="pct"/>
                  <w:tcBorders>
                    <w:tl2br w:val="nil"/>
                    <w:tr2bl w:val="nil"/>
                  </w:tcBorders>
                  <w:shd w:val="clear" w:color="auto" w:fill="auto"/>
                  <w:tcMar>
                    <w:top w:w="0" w:type="dxa"/>
                    <w:left w:w="0" w:type="dxa"/>
                    <w:bottom w:w="0" w:type="dxa"/>
                    <w:right w:w="0" w:type="dxa"/>
                  </w:tcMar>
                  <w:vAlign w:val="center"/>
                </w:tcPr>
                <w:p w14:paraId="17E119D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199.2</w:t>
                  </w:r>
                </w:p>
              </w:tc>
              <w:tc>
                <w:tcPr>
                  <w:tcW w:w="211" w:type="pct"/>
                  <w:tcBorders>
                    <w:tl2br w:val="nil"/>
                    <w:tr2bl w:val="nil"/>
                  </w:tcBorders>
                  <w:shd w:val="clear" w:color="auto" w:fill="auto"/>
                  <w:tcMar>
                    <w:top w:w="0" w:type="dxa"/>
                    <w:left w:w="0" w:type="dxa"/>
                    <w:bottom w:w="0" w:type="dxa"/>
                    <w:right w:w="0" w:type="dxa"/>
                  </w:tcMar>
                  <w:vAlign w:val="center"/>
                </w:tcPr>
                <w:p w14:paraId="1D03106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168.9</w:t>
                  </w:r>
                </w:p>
              </w:tc>
              <w:tc>
                <w:tcPr>
                  <w:tcW w:w="166" w:type="pct"/>
                  <w:tcBorders>
                    <w:tl2br w:val="nil"/>
                    <w:tr2bl w:val="nil"/>
                  </w:tcBorders>
                  <w:shd w:val="clear" w:color="auto" w:fill="auto"/>
                  <w:tcMar>
                    <w:top w:w="0" w:type="dxa"/>
                    <w:left w:w="0" w:type="dxa"/>
                    <w:bottom w:w="0" w:type="dxa"/>
                    <w:right w:w="0" w:type="dxa"/>
                  </w:tcMar>
                  <w:vAlign w:val="center"/>
                </w:tcPr>
                <w:p w14:paraId="661A902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63A480F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42BDAAC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0CF7727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223" w:type="pct"/>
                  <w:tcBorders>
                    <w:tl2br w:val="nil"/>
                    <w:tr2bl w:val="nil"/>
                  </w:tcBorders>
                  <w:shd w:val="clear" w:color="auto" w:fill="auto"/>
                  <w:tcMar>
                    <w:top w:w="0" w:type="dxa"/>
                    <w:left w:w="0" w:type="dxa"/>
                    <w:bottom w:w="0" w:type="dxa"/>
                    <w:right w:w="0" w:type="dxa"/>
                  </w:tcMar>
                  <w:vAlign w:val="center"/>
                </w:tcPr>
                <w:p w14:paraId="43EFDA5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6493F2B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CFB0EA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FB1163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F06AAA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691173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2B6D249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7304D7E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110AE76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04" w:type="pct"/>
                  <w:tcBorders>
                    <w:tl2br w:val="nil"/>
                    <w:tr2bl w:val="nil"/>
                  </w:tcBorders>
                  <w:shd w:val="clear" w:color="auto" w:fill="auto"/>
                  <w:tcMar>
                    <w:top w:w="0" w:type="dxa"/>
                    <w:left w:w="0" w:type="dxa"/>
                    <w:bottom w:w="0" w:type="dxa"/>
                    <w:right w:w="0" w:type="dxa"/>
                  </w:tcMar>
                  <w:vAlign w:val="center"/>
                </w:tcPr>
                <w:p w14:paraId="5FDDAAD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3EA987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57C845D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89</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0BA8B91">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24D4FF9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卷取机</w:t>
                  </w:r>
                </w:p>
              </w:tc>
              <w:tc>
                <w:tcPr>
                  <w:tcW w:w="264" w:type="pct"/>
                  <w:tcBorders>
                    <w:tl2br w:val="nil"/>
                    <w:tr2bl w:val="nil"/>
                  </w:tcBorders>
                  <w:shd w:val="clear" w:color="auto" w:fill="auto"/>
                  <w:tcMar>
                    <w:top w:w="0" w:type="dxa"/>
                    <w:left w:w="0" w:type="dxa"/>
                    <w:bottom w:w="0" w:type="dxa"/>
                    <w:right w:w="0" w:type="dxa"/>
                  </w:tcMar>
                  <w:vAlign w:val="center"/>
                </w:tcPr>
                <w:p w14:paraId="69ED8E4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1764D0D">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2AD585B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63.3</w:t>
                  </w:r>
                </w:p>
              </w:tc>
              <w:tc>
                <w:tcPr>
                  <w:tcW w:w="242" w:type="pct"/>
                  <w:tcBorders>
                    <w:tl2br w:val="nil"/>
                    <w:tr2bl w:val="nil"/>
                  </w:tcBorders>
                  <w:shd w:val="clear" w:color="auto" w:fill="auto"/>
                  <w:tcMar>
                    <w:top w:w="0" w:type="dxa"/>
                    <w:left w:w="0" w:type="dxa"/>
                    <w:bottom w:w="0" w:type="dxa"/>
                    <w:right w:w="0" w:type="dxa"/>
                  </w:tcMar>
                  <w:vAlign w:val="center"/>
                </w:tcPr>
                <w:p w14:paraId="7520852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15.8</w:t>
                  </w:r>
                </w:p>
              </w:tc>
              <w:tc>
                <w:tcPr>
                  <w:tcW w:w="120" w:type="pct"/>
                  <w:tcBorders>
                    <w:tl2br w:val="nil"/>
                    <w:tr2bl w:val="nil"/>
                  </w:tcBorders>
                  <w:shd w:val="clear" w:color="auto" w:fill="auto"/>
                  <w:tcMar>
                    <w:top w:w="0" w:type="dxa"/>
                    <w:left w:w="0" w:type="dxa"/>
                    <w:bottom w:w="0" w:type="dxa"/>
                    <w:right w:w="0" w:type="dxa"/>
                  </w:tcMar>
                  <w:vAlign w:val="center"/>
                </w:tcPr>
                <w:p w14:paraId="49EC71D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287E521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99.6</w:t>
                  </w:r>
                </w:p>
              </w:tc>
              <w:tc>
                <w:tcPr>
                  <w:tcW w:w="211" w:type="pct"/>
                  <w:tcBorders>
                    <w:tl2br w:val="nil"/>
                    <w:tr2bl w:val="nil"/>
                  </w:tcBorders>
                  <w:shd w:val="clear" w:color="auto" w:fill="auto"/>
                  <w:tcMar>
                    <w:top w:w="0" w:type="dxa"/>
                    <w:left w:w="0" w:type="dxa"/>
                    <w:bottom w:w="0" w:type="dxa"/>
                    <w:right w:w="0" w:type="dxa"/>
                  </w:tcMar>
                  <w:vAlign w:val="center"/>
                </w:tcPr>
                <w:p w14:paraId="3DCF2AE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274.3</w:t>
                  </w:r>
                </w:p>
              </w:tc>
              <w:tc>
                <w:tcPr>
                  <w:tcW w:w="211" w:type="pct"/>
                  <w:tcBorders>
                    <w:tl2br w:val="nil"/>
                    <w:tr2bl w:val="nil"/>
                  </w:tcBorders>
                  <w:shd w:val="clear" w:color="auto" w:fill="auto"/>
                  <w:tcMar>
                    <w:top w:w="0" w:type="dxa"/>
                    <w:left w:w="0" w:type="dxa"/>
                    <w:bottom w:w="0" w:type="dxa"/>
                    <w:right w:w="0" w:type="dxa"/>
                  </w:tcMar>
                  <w:vAlign w:val="center"/>
                </w:tcPr>
                <w:p w14:paraId="4B7667C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200.7</w:t>
                  </w:r>
                </w:p>
              </w:tc>
              <w:tc>
                <w:tcPr>
                  <w:tcW w:w="211" w:type="pct"/>
                  <w:tcBorders>
                    <w:tl2br w:val="nil"/>
                    <w:tr2bl w:val="nil"/>
                  </w:tcBorders>
                  <w:shd w:val="clear" w:color="auto" w:fill="auto"/>
                  <w:tcMar>
                    <w:top w:w="0" w:type="dxa"/>
                    <w:left w:w="0" w:type="dxa"/>
                    <w:bottom w:w="0" w:type="dxa"/>
                    <w:right w:w="0" w:type="dxa"/>
                  </w:tcMar>
                  <w:vAlign w:val="center"/>
                </w:tcPr>
                <w:p w14:paraId="13A1DD7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167.4</w:t>
                  </w:r>
                </w:p>
              </w:tc>
              <w:tc>
                <w:tcPr>
                  <w:tcW w:w="166" w:type="pct"/>
                  <w:tcBorders>
                    <w:tl2br w:val="nil"/>
                    <w:tr2bl w:val="nil"/>
                  </w:tcBorders>
                  <w:shd w:val="clear" w:color="auto" w:fill="auto"/>
                  <w:tcMar>
                    <w:top w:w="0" w:type="dxa"/>
                    <w:left w:w="0" w:type="dxa"/>
                    <w:bottom w:w="0" w:type="dxa"/>
                    <w:right w:w="0" w:type="dxa"/>
                  </w:tcMar>
                  <w:vAlign w:val="center"/>
                </w:tcPr>
                <w:p w14:paraId="4F1B984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555E9E5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33804CE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04A365B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223" w:type="pct"/>
                  <w:tcBorders>
                    <w:tl2br w:val="nil"/>
                    <w:tr2bl w:val="nil"/>
                  </w:tcBorders>
                  <w:shd w:val="clear" w:color="auto" w:fill="auto"/>
                  <w:tcMar>
                    <w:top w:w="0" w:type="dxa"/>
                    <w:left w:w="0" w:type="dxa"/>
                    <w:bottom w:w="0" w:type="dxa"/>
                    <w:right w:w="0" w:type="dxa"/>
                  </w:tcMar>
                  <w:vAlign w:val="center"/>
                </w:tcPr>
                <w:p w14:paraId="76BDC51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7E1F006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F035CA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13F51A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92DD6E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B57307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09AAF27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0C0E654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5E92AB1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04" w:type="pct"/>
                  <w:tcBorders>
                    <w:tl2br w:val="nil"/>
                    <w:tr2bl w:val="nil"/>
                  </w:tcBorders>
                  <w:shd w:val="clear" w:color="auto" w:fill="auto"/>
                  <w:tcMar>
                    <w:top w:w="0" w:type="dxa"/>
                    <w:left w:w="0" w:type="dxa"/>
                    <w:bottom w:w="0" w:type="dxa"/>
                    <w:right w:w="0" w:type="dxa"/>
                  </w:tcMar>
                  <w:vAlign w:val="center"/>
                </w:tcPr>
                <w:p w14:paraId="31A7DC7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619E29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2E5AF73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522C72F">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2D7BD85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开收卷润滑泵,4台（按点声源组预测）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773D62B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90（等效后：96.0)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3D679C5">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A4C37C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63.4</w:t>
                  </w:r>
                </w:p>
              </w:tc>
              <w:tc>
                <w:tcPr>
                  <w:tcW w:w="242" w:type="pct"/>
                  <w:tcBorders>
                    <w:tl2br w:val="nil"/>
                    <w:tr2bl w:val="nil"/>
                  </w:tcBorders>
                  <w:shd w:val="clear" w:color="auto" w:fill="auto"/>
                  <w:tcMar>
                    <w:top w:w="0" w:type="dxa"/>
                    <w:left w:w="0" w:type="dxa"/>
                    <w:bottom w:w="0" w:type="dxa"/>
                    <w:right w:w="0" w:type="dxa"/>
                  </w:tcMar>
                  <w:vAlign w:val="center"/>
                </w:tcPr>
                <w:p w14:paraId="37D0AD7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17.8</w:t>
                  </w:r>
                </w:p>
              </w:tc>
              <w:tc>
                <w:tcPr>
                  <w:tcW w:w="120" w:type="pct"/>
                  <w:tcBorders>
                    <w:tl2br w:val="nil"/>
                    <w:tr2bl w:val="nil"/>
                  </w:tcBorders>
                  <w:shd w:val="clear" w:color="auto" w:fill="auto"/>
                  <w:tcMar>
                    <w:top w:w="0" w:type="dxa"/>
                    <w:left w:w="0" w:type="dxa"/>
                    <w:bottom w:w="0" w:type="dxa"/>
                    <w:right w:w="0" w:type="dxa"/>
                  </w:tcMar>
                  <w:vAlign w:val="center"/>
                </w:tcPr>
                <w:p w14:paraId="7EB0BCF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6267733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100.2</w:t>
                  </w:r>
                </w:p>
              </w:tc>
              <w:tc>
                <w:tcPr>
                  <w:tcW w:w="211" w:type="pct"/>
                  <w:tcBorders>
                    <w:tl2br w:val="nil"/>
                    <w:tr2bl w:val="nil"/>
                  </w:tcBorders>
                  <w:shd w:val="clear" w:color="auto" w:fill="auto"/>
                  <w:tcMar>
                    <w:top w:w="0" w:type="dxa"/>
                    <w:left w:w="0" w:type="dxa"/>
                    <w:bottom w:w="0" w:type="dxa"/>
                    <w:right w:w="0" w:type="dxa"/>
                  </w:tcMar>
                  <w:vAlign w:val="center"/>
                </w:tcPr>
                <w:p w14:paraId="7846643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276.2</w:t>
                  </w:r>
                </w:p>
              </w:tc>
              <w:tc>
                <w:tcPr>
                  <w:tcW w:w="211" w:type="pct"/>
                  <w:tcBorders>
                    <w:tl2br w:val="nil"/>
                    <w:tr2bl w:val="nil"/>
                  </w:tcBorders>
                  <w:shd w:val="clear" w:color="auto" w:fill="auto"/>
                  <w:tcMar>
                    <w:top w:w="0" w:type="dxa"/>
                    <w:left w:w="0" w:type="dxa"/>
                    <w:bottom w:w="0" w:type="dxa"/>
                    <w:right w:w="0" w:type="dxa"/>
                  </w:tcMar>
                  <w:vAlign w:val="center"/>
                </w:tcPr>
                <w:p w14:paraId="6309C1A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202.5</w:t>
                  </w:r>
                </w:p>
              </w:tc>
              <w:tc>
                <w:tcPr>
                  <w:tcW w:w="211" w:type="pct"/>
                  <w:tcBorders>
                    <w:tl2br w:val="nil"/>
                    <w:tr2bl w:val="nil"/>
                  </w:tcBorders>
                  <w:shd w:val="clear" w:color="auto" w:fill="auto"/>
                  <w:tcMar>
                    <w:top w:w="0" w:type="dxa"/>
                    <w:left w:w="0" w:type="dxa"/>
                    <w:bottom w:w="0" w:type="dxa"/>
                    <w:right w:w="0" w:type="dxa"/>
                  </w:tcMar>
                  <w:vAlign w:val="center"/>
                </w:tcPr>
                <w:p w14:paraId="5AF9603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165.6</w:t>
                  </w:r>
                </w:p>
              </w:tc>
              <w:tc>
                <w:tcPr>
                  <w:tcW w:w="166" w:type="pct"/>
                  <w:tcBorders>
                    <w:tl2br w:val="nil"/>
                    <w:tr2bl w:val="nil"/>
                  </w:tcBorders>
                  <w:shd w:val="clear" w:color="auto" w:fill="auto"/>
                  <w:tcMar>
                    <w:top w:w="0" w:type="dxa"/>
                    <w:left w:w="0" w:type="dxa"/>
                    <w:bottom w:w="0" w:type="dxa"/>
                    <w:right w:w="0" w:type="dxa"/>
                  </w:tcMar>
                  <w:vAlign w:val="center"/>
                </w:tcPr>
                <w:p w14:paraId="1A1EDF4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2798788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6064F30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1793A37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223" w:type="pct"/>
                  <w:tcBorders>
                    <w:tl2br w:val="nil"/>
                    <w:tr2bl w:val="nil"/>
                  </w:tcBorders>
                  <w:shd w:val="clear" w:color="auto" w:fill="auto"/>
                  <w:tcMar>
                    <w:top w:w="0" w:type="dxa"/>
                    <w:left w:w="0" w:type="dxa"/>
                    <w:bottom w:w="0" w:type="dxa"/>
                    <w:right w:w="0" w:type="dxa"/>
                  </w:tcMar>
                  <w:vAlign w:val="center"/>
                </w:tcPr>
                <w:p w14:paraId="4264045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44C4B08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002BE5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FF1A3B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EE13B3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DE0C65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57F5E18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02D195F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56AB084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04" w:type="pct"/>
                  <w:tcBorders>
                    <w:tl2br w:val="nil"/>
                    <w:tr2bl w:val="nil"/>
                  </w:tcBorders>
                  <w:shd w:val="clear" w:color="auto" w:fill="auto"/>
                  <w:tcMar>
                    <w:top w:w="0" w:type="dxa"/>
                    <w:left w:w="0" w:type="dxa"/>
                    <w:bottom w:w="0" w:type="dxa"/>
                    <w:right w:w="0" w:type="dxa"/>
                  </w:tcMar>
                  <w:vAlign w:val="center"/>
                </w:tcPr>
                <w:p w14:paraId="79E7362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7C6857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34AAC41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91</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58CB11A">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29822C7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2#刷洗/热水漂洗循环泵</w:t>
                  </w:r>
                </w:p>
              </w:tc>
              <w:tc>
                <w:tcPr>
                  <w:tcW w:w="264" w:type="pct"/>
                  <w:tcBorders>
                    <w:tl2br w:val="nil"/>
                    <w:tr2bl w:val="nil"/>
                  </w:tcBorders>
                  <w:shd w:val="clear" w:color="auto" w:fill="auto"/>
                  <w:tcMar>
                    <w:top w:w="0" w:type="dxa"/>
                    <w:left w:w="0" w:type="dxa"/>
                    <w:bottom w:w="0" w:type="dxa"/>
                    <w:right w:w="0" w:type="dxa"/>
                  </w:tcMar>
                  <w:vAlign w:val="center"/>
                </w:tcPr>
                <w:p w14:paraId="7AD788A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4170059">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3CAA064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63.8</w:t>
                  </w:r>
                </w:p>
              </w:tc>
              <w:tc>
                <w:tcPr>
                  <w:tcW w:w="242" w:type="pct"/>
                  <w:tcBorders>
                    <w:tl2br w:val="nil"/>
                    <w:tr2bl w:val="nil"/>
                  </w:tcBorders>
                  <w:shd w:val="clear" w:color="auto" w:fill="auto"/>
                  <w:tcMar>
                    <w:top w:w="0" w:type="dxa"/>
                    <w:left w:w="0" w:type="dxa"/>
                    <w:bottom w:w="0" w:type="dxa"/>
                    <w:right w:w="0" w:type="dxa"/>
                  </w:tcMar>
                  <w:vAlign w:val="center"/>
                </w:tcPr>
                <w:p w14:paraId="07F8466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16.5</w:t>
                  </w:r>
                </w:p>
              </w:tc>
              <w:tc>
                <w:tcPr>
                  <w:tcW w:w="120" w:type="pct"/>
                  <w:tcBorders>
                    <w:tl2br w:val="nil"/>
                    <w:tr2bl w:val="nil"/>
                  </w:tcBorders>
                  <w:shd w:val="clear" w:color="auto" w:fill="auto"/>
                  <w:tcMar>
                    <w:top w:w="0" w:type="dxa"/>
                    <w:left w:w="0" w:type="dxa"/>
                    <w:bottom w:w="0" w:type="dxa"/>
                    <w:right w:w="0" w:type="dxa"/>
                  </w:tcMar>
                  <w:vAlign w:val="center"/>
                </w:tcPr>
                <w:p w14:paraId="23AC545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063036D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99.4</w:t>
                  </w:r>
                </w:p>
              </w:tc>
              <w:tc>
                <w:tcPr>
                  <w:tcW w:w="211" w:type="pct"/>
                  <w:tcBorders>
                    <w:tl2br w:val="nil"/>
                    <w:tr2bl w:val="nil"/>
                  </w:tcBorders>
                  <w:shd w:val="clear" w:color="auto" w:fill="auto"/>
                  <w:tcMar>
                    <w:top w:w="0" w:type="dxa"/>
                    <w:left w:w="0" w:type="dxa"/>
                    <w:bottom w:w="0" w:type="dxa"/>
                    <w:right w:w="0" w:type="dxa"/>
                  </w:tcMar>
                  <w:vAlign w:val="center"/>
                </w:tcPr>
                <w:p w14:paraId="617EBF3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275.2</w:t>
                  </w:r>
                </w:p>
              </w:tc>
              <w:tc>
                <w:tcPr>
                  <w:tcW w:w="211" w:type="pct"/>
                  <w:tcBorders>
                    <w:tl2br w:val="nil"/>
                    <w:tr2bl w:val="nil"/>
                  </w:tcBorders>
                  <w:shd w:val="clear" w:color="auto" w:fill="auto"/>
                  <w:tcMar>
                    <w:top w:w="0" w:type="dxa"/>
                    <w:left w:w="0" w:type="dxa"/>
                    <w:bottom w:w="0" w:type="dxa"/>
                    <w:right w:w="0" w:type="dxa"/>
                  </w:tcMar>
                  <w:vAlign w:val="center"/>
                </w:tcPr>
                <w:p w14:paraId="12BD7C2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201.5</w:t>
                  </w:r>
                </w:p>
              </w:tc>
              <w:tc>
                <w:tcPr>
                  <w:tcW w:w="211" w:type="pct"/>
                  <w:tcBorders>
                    <w:tl2br w:val="nil"/>
                    <w:tr2bl w:val="nil"/>
                  </w:tcBorders>
                  <w:shd w:val="clear" w:color="auto" w:fill="auto"/>
                  <w:tcMar>
                    <w:top w:w="0" w:type="dxa"/>
                    <w:left w:w="0" w:type="dxa"/>
                    <w:bottom w:w="0" w:type="dxa"/>
                    <w:right w:w="0" w:type="dxa"/>
                  </w:tcMar>
                  <w:vAlign w:val="center"/>
                </w:tcPr>
                <w:p w14:paraId="23C1647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166.6</w:t>
                  </w:r>
                </w:p>
              </w:tc>
              <w:tc>
                <w:tcPr>
                  <w:tcW w:w="166" w:type="pct"/>
                  <w:tcBorders>
                    <w:tl2br w:val="nil"/>
                    <w:tr2bl w:val="nil"/>
                  </w:tcBorders>
                  <w:shd w:val="clear" w:color="auto" w:fill="auto"/>
                  <w:tcMar>
                    <w:top w:w="0" w:type="dxa"/>
                    <w:left w:w="0" w:type="dxa"/>
                    <w:bottom w:w="0" w:type="dxa"/>
                    <w:right w:w="0" w:type="dxa"/>
                  </w:tcMar>
                  <w:vAlign w:val="center"/>
                </w:tcPr>
                <w:p w14:paraId="3B0265C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E907D3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15CC03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8B9B81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39ED4FF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75391DC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9F7756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6585A7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321790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2B9369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724A0D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FD86E1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77BCC3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01D9B09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0E1573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6CA1665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92</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CEE6586">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41C07A8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2#刷洗/热水漂洗循环泵</w:t>
                  </w:r>
                </w:p>
              </w:tc>
              <w:tc>
                <w:tcPr>
                  <w:tcW w:w="264" w:type="pct"/>
                  <w:tcBorders>
                    <w:tl2br w:val="nil"/>
                    <w:tr2bl w:val="nil"/>
                  </w:tcBorders>
                  <w:shd w:val="clear" w:color="auto" w:fill="auto"/>
                  <w:tcMar>
                    <w:top w:w="0" w:type="dxa"/>
                    <w:left w:w="0" w:type="dxa"/>
                    <w:bottom w:w="0" w:type="dxa"/>
                    <w:right w:w="0" w:type="dxa"/>
                  </w:tcMar>
                  <w:vAlign w:val="center"/>
                </w:tcPr>
                <w:p w14:paraId="6791779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2A49FA3">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4D21190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64.3</w:t>
                  </w:r>
                </w:p>
              </w:tc>
              <w:tc>
                <w:tcPr>
                  <w:tcW w:w="242" w:type="pct"/>
                  <w:tcBorders>
                    <w:tl2br w:val="nil"/>
                    <w:tr2bl w:val="nil"/>
                  </w:tcBorders>
                  <w:shd w:val="clear" w:color="auto" w:fill="auto"/>
                  <w:tcMar>
                    <w:top w:w="0" w:type="dxa"/>
                    <w:left w:w="0" w:type="dxa"/>
                    <w:bottom w:w="0" w:type="dxa"/>
                    <w:right w:w="0" w:type="dxa"/>
                  </w:tcMar>
                  <w:vAlign w:val="center"/>
                </w:tcPr>
                <w:p w14:paraId="23BB9DD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16.4</w:t>
                  </w:r>
                </w:p>
              </w:tc>
              <w:tc>
                <w:tcPr>
                  <w:tcW w:w="120" w:type="pct"/>
                  <w:tcBorders>
                    <w:tl2br w:val="nil"/>
                    <w:tr2bl w:val="nil"/>
                  </w:tcBorders>
                  <w:shd w:val="clear" w:color="auto" w:fill="auto"/>
                  <w:tcMar>
                    <w:top w:w="0" w:type="dxa"/>
                    <w:left w:w="0" w:type="dxa"/>
                    <w:bottom w:w="0" w:type="dxa"/>
                    <w:right w:w="0" w:type="dxa"/>
                  </w:tcMar>
                  <w:vAlign w:val="center"/>
                </w:tcPr>
                <w:p w14:paraId="6BF5C60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65BE03E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98.9</w:t>
                  </w:r>
                </w:p>
              </w:tc>
              <w:tc>
                <w:tcPr>
                  <w:tcW w:w="211" w:type="pct"/>
                  <w:tcBorders>
                    <w:tl2br w:val="nil"/>
                    <w:tr2bl w:val="nil"/>
                  </w:tcBorders>
                  <w:shd w:val="clear" w:color="auto" w:fill="auto"/>
                  <w:tcMar>
                    <w:top w:w="0" w:type="dxa"/>
                    <w:left w:w="0" w:type="dxa"/>
                    <w:bottom w:w="0" w:type="dxa"/>
                    <w:right w:w="0" w:type="dxa"/>
                  </w:tcMar>
                  <w:vAlign w:val="center"/>
                </w:tcPr>
                <w:p w14:paraId="04A4F8A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275.3</w:t>
                  </w:r>
                </w:p>
              </w:tc>
              <w:tc>
                <w:tcPr>
                  <w:tcW w:w="211" w:type="pct"/>
                  <w:tcBorders>
                    <w:tl2br w:val="nil"/>
                    <w:tr2bl w:val="nil"/>
                  </w:tcBorders>
                  <w:shd w:val="clear" w:color="auto" w:fill="auto"/>
                  <w:tcMar>
                    <w:top w:w="0" w:type="dxa"/>
                    <w:left w:w="0" w:type="dxa"/>
                    <w:bottom w:w="0" w:type="dxa"/>
                    <w:right w:w="0" w:type="dxa"/>
                  </w:tcMar>
                  <w:vAlign w:val="center"/>
                </w:tcPr>
                <w:p w14:paraId="5A9D34A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201.6</w:t>
                  </w:r>
                </w:p>
              </w:tc>
              <w:tc>
                <w:tcPr>
                  <w:tcW w:w="211" w:type="pct"/>
                  <w:tcBorders>
                    <w:tl2br w:val="nil"/>
                    <w:tr2bl w:val="nil"/>
                  </w:tcBorders>
                  <w:shd w:val="clear" w:color="auto" w:fill="auto"/>
                  <w:tcMar>
                    <w:top w:w="0" w:type="dxa"/>
                    <w:left w:w="0" w:type="dxa"/>
                    <w:bottom w:w="0" w:type="dxa"/>
                    <w:right w:w="0" w:type="dxa"/>
                  </w:tcMar>
                  <w:vAlign w:val="center"/>
                </w:tcPr>
                <w:p w14:paraId="516697D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166.5</w:t>
                  </w:r>
                </w:p>
              </w:tc>
              <w:tc>
                <w:tcPr>
                  <w:tcW w:w="166" w:type="pct"/>
                  <w:tcBorders>
                    <w:tl2br w:val="nil"/>
                    <w:tr2bl w:val="nil"/>
                  </w:tcBorders>
                  <w:shd w:val="clear" w:color="auto" w:fill="auto"/>
                  <w:tcMar>
                    <w:top w:w="0" w:type="dxa"/>
                    <w:left w:w="0" w:type="dxa"/>
                    <w:bottom w:w="0" w:type="dxa"/>
                    <w:right w:w="0" w:type="dxa"/>
                  </w:tcMar>
                  <w:vAlign w:val="center"/>
                </w:tcPr>
                <w:p w14:paraId="21D4300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0DB58D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1EBFDB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B82F14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3F88932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7C29455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4B75F0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D216C2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881A54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0DDED9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08F649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0D955F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E94291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16AB91C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138DE2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3EB5A27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93</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16376EB">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2B37601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酸洗后漂洗循环泵,3台（按点声源组预测）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2E93494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90（等效后：94.8)</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F7A28AF">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CE10BD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64.2</w:t>
                  </w:r>
                </w:p>
              </w:tc>
              <w:tc>
                <w:tcPr>
                  <w:tcW w:w="242" w:type="pct"/>
                  <w:tcBorders>
                    <w:tl2br w:val="nil"/>
                    <w:tr2bl w:val="nil"/>
                  </w:tcBorders>
                  <w:shd w:val="clear" w:color="auto" w:fill="auto"/>
                  <w:tcMar>
                    <w:top w:w="0" w:type="dxa"/>
                    <w:left w:w="0" w:type="dxa"/>
                    <w:bottom w:w="0" w:type="dxa"/>
                    <w:right w:w="0" w:type="dxa"/>
                  </w:tcMar>
                  <w:vAlign w:val="center"/>
                </w:tcPr>
                <w:p w14:paraId="1CACA98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18.9</w:t>
                  </w:r>
                </w:p>
              </w:tc>
              <w:tc>
                <w:tcPr>
                  <w:tcW w:w="120" w:type="pct"/>
                  <w:tcBorders>
                    <w:tl2br w:val="nil"/>
                    <w:tr2bl w:val="nil"/>
                  </w:tcBorders>
                  <w:shd w:val="clear" w:color="auto" w:fill="auto"/>
                  <w:tcMar>
                    <w:top w:w="0" w:type="dxa"/>
                    <w:left w:w="0" w:type="dxa"/>
                    <w:bottom w:w="0" w:type="dxa"/>
                    <w:right w:w="0" w:type="dxa"/>
                  </w:tcMar>
                  <w:vAlign w:val="center"/>
                </w:tcPr>
                <w:p w14:paraId="258434B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04EE301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99.9</w:t>
                  </w:r>
                </w:p>
              </w:tc>
              <w:tc>
                <w:tcPr>
                  <w:tcW w:w="211" w:type="pct"/>
                  <w:tcBorders>
                    <w:tl2br w:val="nil"/>
                    <w:tr2bl w:val="nil"/>
                  </w:tcBorders>
                  <w:shd w:val="clear" w:color="auto" w:fill="auto"/>
                  <w:tcMar>
                    <w:top w:w="0" w:type="dxa"/>
                    <w:left w:w="0" w:type="dxa"/>
                    <w:bottom w:w="0" w:type="dxa"/>
                    <w:right w:w="0" w:type="dxa"/>
                  </w:tcMar>
                  <w:vAlign w:val="center"/>
                </w:tcPr>
                <w:p w14:paraId="6EC8A6A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277.5</w:t>
                  </w:r>
                </w:p>
              </w:tc>
              <w:tc>
                <w:tcPr>
                  <w:tcW w:w="211" w:type="pct"/>
                  <w:tcBorders>
                    <w:tl2br w:val="nil"/>
                    <w:tr2bl w:val="nil"/>
                  </w:tcBorders>
                  <w:shd w:val="clear" w:color="auto" w:fill="auto"/>
                  <w:tcMar>
                    <w:top w:w="0" w:type="dxa"/>
                    <w:left w:w="0" w:type="dxa"/>
                    <w:bottom w:w="0" w:type="dxa"/>
                    <w:right w:w="0" w:type="dxa"/>
                  </w:tcMar>
                  <w:vAlign w:val="center"/>
                </w:tcPr>
                <w:p w14:paraId="0295022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203.9</w:t>
                  </w:r>
                </w:p>
              </w:tc>
              <w:tc>
                <w:tcPr>
                  <w:tcW w:w="211" w:type="pct"/>
                  <w:tcBorders>
                    <w:tl2br w:val="nil"/>
                    <w:tr2bl w:val="nil"/>
                  </w:tcBorders>
                  <w:shd w:val="clear" w:color="auto" w:fill="auto"/>
                  <w:tcMar>
                    <w:top w:w="0" w:type="dxa"/>
                    <w:left w:w="0" w:type="dxa"/>
                    <w:bottom w:w="0" w:type="dxa"/>
                    <w:right w:w="0" w:type="dxa"/>
                  </w:tcMar>
                  <w:vAlign w:val="center"/>
                </w:tcPr>
                <w:p w14:paraId="0D79CA8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164.2</w:t>
                  </w:r>
                </w:p>
              </w:tc>
              <w:tc>
                <w:tcPr>
                  <w:tcW w:w="166" w:type="pct"/>
                  <w:tcBorders>
                    <w:tl2br w:val="nil"/>
                    <w:tr2bl w:val="nil"/>
                  </w:tcBorders>
                  <w:shd w:val="clear" w:color="auto" w:fill="auto"/>
                  <w:tcMar>
                    <w:top w:w="0" w:type="dxa"/>
                    <w:left w:w="0" w:type="dxa"/>
                    <w:bottom w:w="0" w:type="dxa"/>
                    <w:right w:w="0" w:type="dxa"/>
                  </w:tcMar>
                  <w:vAlign w:val="center"/>
                </w:tcPr>
                <w:p w14:paraId="75B0A31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71.9</w:t>
                  </w:r>
                </w:p>
              </w:tc>
              <w:tc>
                <w:tcPr>
                  <w:tcW w:w="166" w:type="pct"/>
                  <w:tcBorders>
                    <w:tl2br w:val="nil"/>
                    <w:tr2bl w:val="nil"/>
                  </w:tcBorders>
                  <w:shd w:val="clear" w:color="auto" w:fill="auto"/>
                  <w:tcMar>
                    <w:top w:w="0" w:type="dxa"/>
                    <w:left w:w="0" w:type="dxa"/>
                    <w:bottom w:w="0" w:type="dxa"/>
                    <w:right w:w="0" w:type="dxa"/>
                  </w:tcMar>
                  <w:vAlign w:val="center"/>
                </w:tcPr>
                <w:p w14:paraId="1A47927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71.9</w:t>
                  </w:r>
                </w:p>
              </w:tc>
              <w:tc>
                <w:tcPr>
                  <w:tcW w:w="166" w:type="pct"/>
                  <w:tcBorders>
                    <w:tl2br w:val="nil"/>
                    <w:tr2bl w:val="nil"/>
                  </w:tcBorders>
                  <w:shd w:val="clear" w:color="auto" w:fill="auto"/>
                  <w:tcMar>
                    <w:top w:w="0" w:type="dxa"/>
                    <w:left w:w="0" w:type="dxa"/>
                    <w:bottom w:w="0" w:type="dxa"/>
                    <w:right w:w="0" w:type="dxa"/>
                  </w:tcMar>
                  <w:vAlign w:val="center"/>
                </w:tcPr>
                <w:p w14:paraId="56AC384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71.9</w:t>
                  </w:r>
                </w:p>
              </w:tc>
              <w:tc>
                <w:tcPr>
                  <w:tcW w:w="166" w:type="pct"/>
                  <w:tcBorders>
                    <w:tl2br w:val="nil"/>
                    <w:tr2bl w:val="nil"/>
                  </w:tcBorders>
                  <w:shd w:val="clear" w:color="auto" w:fill="auto"/>
                  <w:tcMar>
                    <w:top w:w="0" w:type="dxa"/>
                    <w:left w:w="0" w:type="dxa"/>
                    <w:bottom w:w="0" w:type="dxa"/>
                    <w:right w:w="0" w:type="dxa"/>
                  </w:tcMar>
                  <w:vAlign w:val="center"/>
                </w:tcPr>
                <w:p w14:paraId="4E00F10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71.9</w:t>
                  </w:r>
                </w:p>
              </w:tc>
              <w:tc>
                <w:tcPr>
                  <w:tcW w:w="223" w:type="pct"/>
                  <w:tcBorders>
                    <w:tl2br w:val="nil"/>
                    <w:tr2bl w:val="nil"/>
                  </w:tcBorders>
                  <w:shd w:val="clear" w:color="auto" w:fill="auto"/>
                  <w:tcMar>
                    <w:top w:w="0" w:type="dxa"/>
                    <w:left w:w="0" w:type="dxa"/>
                    <w:bottom w:w="0" w:type="dxa"/>
                    <w:right w:w="0" w:type="dxa"/>
                  </w:tcMar>
                  <w:vAlign w:val="center"/>
                </w:tcPr>
                <w:p w14:paraId="3FDCF65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6002C36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53A932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4A84AA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985429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8606DC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50.9</w:t>
                  </w:r>
                </w:p>
              </w:tc>
              <w:tc>
                <w:tcPr>
                  <w:tcW w:w="166" w:type="pct"/>
                  <w:tcBorders>
                    <w:tl2br w:val="nil"/>
                    <w:tr2bl w:val="nil"/>
                  </w:tcBorders>
                  <w:shd w:val="clear" w:color="auto" w:fill="auto"/>
                  <w:tcMar>
                    <w:top w:w="0" w:type="dxa"/>
                    <w:left w:w="0" w:type="dxa"/>
                    <w:bottom w:w="0" w:type="dxa"/>
                    <w:right w:w="0" w:type="dxa"/>
                  </w:tcMar>
                  <w:vAlign w:val="center"/>
                </w:tcPr>
                <w:p w14:paraId="65D1015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50.9</w:t>
                  </w:r>
                </w:p>
              </w:tc>
              <w:tc>
                <w:tcPr>
                  <w:tcW w:w="166" w:type="pct"/>
                  <w:tcBorders>
                    <w:tl2br w:val="nil"/>
                    <w:tr2bl w:val="nil"/>
                  </w:tcBorders>
                  <w:shd w:val="clear" w:color="auto" w:fill="auto"/>
                  <w:tcMar>
                    <w:top w:w="0" w:type="dxa"/>
                    <w:left w:w="0" w:type="dxa"/>
                    <w:bottom w:w="0" w:type="dxa"/>
                    <w:right w:w="0" w:type="dxa"/>
                  </w:tcMar>
                  <w:vAlign w:val="center"/>
                </w:tcPr>
                <w:p w14:paraId="21ECE12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50.9</w:t>
                  </w:r>
                </w:p>
              </w:tc>
              <w:tc>
                <w:tcPr>
                  <w:tcW w:w="166" w:type="pct"/>
                  <w:tcBorders>
                    <w:tl2br w:val="nil"/>
                    <w:tr2bl w:val="nil"/>
                  </w:tcBorders>
                  <w:shd w:val="clear" w:color="auto" w:fill="auto"/>
                  <w:tcMar>
                    <w:top w:w="0" w:type="dxa"/>
                    <w:left w:w="0" w:type="dxa"/>
                    <w:bottom w:w="0" w:type="dxa"/>
                    <w:right w:w="0" w:type="dxa"/>
                  </w:tcMar>
                  <w:vAlign w:val="center"/>
                </w:tcPr>
                <w:p w14:paraId="3152204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50.9</w:t>
                  </w:r>
                </w:p>
              </w:tc>
              <w:tc>
                <w:tcPr>
                  <w:tcW w:w="104" w:type="pct"/>
                  <w:tcBorders>
                    <w:tl2br w:val="nil"/>
                    <w:tr2bl w:val="nil"/>
                  </w:tcBorders>
                  <w:shd w:val="clear" w:color="auto" w:fill="auto"/>
                  <w:tcMar>
                    <w:top w:w="0" w:type="dxa"/>
                    <w:left w:w="0" w:type="dxa"/>
                    <w:bottom w:w="0" w:type="dxa"/>
                    <w:right w:w="0" w:type="dxa"/>
                  </w:tcMar>
                  <w:vAlign w:val="center"/>
                </w:tcPr>
                <w:p w14:paraId="4D1F815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03B15E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BCAE36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94</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6D141D1">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53CC81C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MgO废水排污泵</w:t>
                  </w:r>
                </w:p>
              </w:tc>
              <w:tc>
                <w:tcPr>
                  <w:tcW w:w="264" w:type="pct"/>
                  <w:tcBorders>
                    <w:tl2br w:val="nil"/>
                    <w:tr2bl w:val="nil"/>
                  </w:tcBorders>
                  <w:shd w:val="clear" w:color="auto" w:fill="auto"/>
                  <w:tcMar>
                    <w:top w:w="0" w:type="dxa"/>
                    <w:left w:w="0" w:type="dxa"/>
                    <w:bottom w:w="0" w:type="dxa"/>
                    <w:right w:w="0" w:type="dxa"/>
                  </w:tcMar>
                  <w:vAlign w:val="center"/>
                </w:tcPr>
                <w:p w14:paraId="58D4120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193C1F6">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34965F0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63.9</w:t>
                  </w:r>
                </w:p>
              </w:tc>
              <w:tc>
                <w:tcPr>
                  <w:tcW w:w="242" w:type="pct"/>
                  <w:tcBorders>
                    <w:tl2br w:val="nil"/>
                    <w:tr2bl w:val="nil"/>
                  </w:tcBorders>
                  <w:shd w:val="clear" w:color="auto" w:fill="auto"/>
                  <w:tcMar>
                    <w:top w:w="0" w:type="dxa"/>
                    <w:left w:w="0" w:type="dxa"/>
                    <w:bottom w:w="0" w:type="dxa"/>
                    <w:right w:w="0" w:type="dxa"/>
                  </w:tcMar>
                  <w:vAlign w:val="center"/>
                </w:tcPr>
                <w:p w14:paraId="6B53E2F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19.5</w:t>
                  </w:r>
                </w:p>
              </w:tc>
              <w:tc>
                <w:tcPr>
                  <w:tcW w:w="120" w:type="pct"/>
                  <w:tcBorders>
                    <w:tl2br w:val="nil"/>
                    <w:tr2bl w:val="nil"/>
                  </w:tcBorders>
                  <w:shd w:val="clear" w:color="auto" w:fill="auto"/>
                  <w:tcMar>
                    <w:top w:w="0" w:type="dxa"/>
                    <w:left w:w="0" w:type="dxa"/>
                    <w:bottom w:w="0" w:type="dxa"/>
                    <w:right w:w="0" w:type="dxa"/>
                  </w:tcMar>
                  <w:vAlign w:val="center"/>
                </w:tcPr>
                <w:p w14:paraId="225B205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57C15A5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100.4</w:t>
                  </w:r>
                </w:p>
              </w:tc>
              <w:tc>
                <w:tcPr>
                  <w:tcW w:w="211" w:type="pct"/>
                  <w:tcBorders>
                    <w:tl2br w:val="nil"/>
                    <w:tr2bl w:val="nil"/>
                  </w:tcBorders>
                  <w:shd w:val="clear" w:color="auto" w:fill="auto"/>
                  <w:tcMar>
                    <w:top w:w="0" w:type="dxa"/>
                    <w:left w:w="0" w:type="dxa"/>
                    <w:bottom w:w="0" w:type="dxa"/>
                    <w:right w:w="0" w:type="dxa"/>
                  </w:tcMar>
                  <w:vAlign w:val="center"/>
                </w:tcPr>
                <w:p w14:paraId="7894489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278.0</w:t>
                  </w:r>
                </w:p>
              </w:tc>
              <w:tc>
                <w:tcPr>
                  <w:tcW w:w="211" w:type="pct"/>
                  <w:tcBorders>
                    <w:tl2br w:val="nil"/>
                    <w:tr2bl w:val="nil"/>
                  </w:tcBorders>
                  <w:shd w:val="clear" w:color="auto" w:fill="auto"/>
                  <w:tcMar>
                    <w:top w:w="0" w:type="dxa"/>
                    <w:left w:w="0" w:type="dxa"/>
                    <w:bottom w:w="0" w:type="dxa"/>
                    <w:right w:w="0" w:type="dxa"/>
                  </w:tcMar>
                  <w:vAlign w:val="center"/>
                </w:tcPr>
                <w:p w14:paraId="442598E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204.3</w:t>
                  </w:r>
                </w:p>
              </w:tc>
              <w:tc>
                <w:tcPr>
                  <w:tcW w:w="211" w:type="pct"/>
                  <w:tcBorders>
                    <w:tl2br w:val="nil"/>
                    <w:tr2bl w:val="nil"/>
                  </w:tcBorders>
                  <w:shd w:val="clear" w:color="auto" w:fill="auto"/>
                  <w:tcMar>
                    <w:top w:w="0" w:type="dxa"/>
                    <w:left w:w="0" w:type="dxa"/>
                    <w:bottom w:w="0" w:type="dxa"/>
                    <w:right w:w="0" w:type="dxa"/>
                  </w:tcMar>
                  <w:vAlign w:val="center"/>
                </w:tcPr>
                <w:p w14:paraId="1E2654D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163.8</w:t>
                  </w:r>
                </w:p>
              </w:tc>
              <w:tc>
                <w:tcPr>
                  <w:tcW w:w="166" w:type="pct"/>
                  <w:tcBorders>
                    <w:tl2br w:val="nil"/>
                    <w:tr2bl w:val="nil"/>
                  </w:tcBorders>
                  <w:shd w:val="clear" w:color="auto" w:fill="auto"/>
                  <w:tcMar>
                    <w:top w:w="0" w:type="dxa"/>
                    <w:left w:w="0" w:type="dxa"/>
                    <w:bottom w:w="0" w:type="dxa"/>
                    <w:right w:w="0" w:type="dxa"/>
                  </w:tcMar>
                  <w:vAlign w:val="center"/>
                </w:tcPr>
                <w:p w14:paraId="477C434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08822D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1C50AA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DA903D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04B5DF1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03412B6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D1E6D4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3ACB8F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3701C5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554885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8A4DC3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873297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7E074C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7BEBA17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78D45D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5FFF7F7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FE47BD5">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3D0D8D7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MgO废水排污泵</w:t>
                  </w:r>
                </w:p>
              </w:tc>
              <w:tc>
                <w:tcPr>
                  <w:tcW w:w="264" w:type="pct"/>
                  <w:tcBorders>
                    <w:tl2br w:val="nil"/>
                    <w:tr2bl w:val="nil"/>
                  </w:tcBorders>
                  <w:shd w:val="clear" w:color="auto" w:fill="auto"/>
                  <w:tcMar>
                    <w:top w:w="0" w:type="dxa"/>
                    <w:left w:w="0" w:type="dxa"/>
                    <w:bottom w:w="0" w:type="dxa"/>
                    <w:right w:w="0" w:type="dxa"/>
                  </w:tcMar>
                  <w:vAlign w:val="center"/>
                </w:tcPr>
                <w:p w14:paraId="4563E19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EF985C1">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645553D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64</w:t>
                  </w:r>
                </w:p>
              </w:tc>
              <w:tc>
                <w:tcPr>
                  <w:tcW w:w="242" w:type="pct"/>
                  <w:tcBorders>
                    <w:tl2br w:val="nil"/>
                    <w:tr2bl w:val="nil"/>
                  </w:tcBorders>
                  <w:shd w:val="clear" w:color="auto" w:fill="auto"/>
                  <w:tcMar>
                    <w:top w:w="0" w:type="dxa"/>
                    <w:left w:w="0" w:type="dxa"/>
                    <w:bottom w:w="0" w:type="dxa"/>
                    <w:right w:w="0" w:type="dxa"/>
                  </w:tcMar>
                  <w:vAlign w:val="center"/>
                </w:tcPr>
                <w:p w14:paraId="1E29A56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w:t>
                  </w:r>
                </w:p>
              </w:tc>
              <w:tc>
                <w:tcPr>
                  <w:tcW w:w="120" w:type="pct"/>
                  <w:tcBorders>
                    <w:tl2br w:val="nil"/>
                    <w:tr2bl w:val="nil"/>
                  </w:tcBorders>
                  <w:shd w:val="clear" w:color="auto" w:fill="auto"/>
                  <w:tcMar>
                    <w:top w:w="0" w:type="dxa"/>
                    <w:left w:w="0" w:type="dxa"/>
                    <w:bottom w:w="0" w:type="dxa"/>
                    <w:right w:w="0" w:type="dxa"/>
                  </w:tcMar>
                  <w:vAlign w:val="center"/>
                </w:tcPr>
                <w:p w14:paraId="3CA443A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0A45F00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100.5</w:t>
                  </w:r>
                </w:p>
              </w:tc>
              <w:tc>
                <w:tcPr>
                  <w:tcW w:w="211" w:type="pct"/>
                  <w:tcBorders>
                    <w:tl2br w:val="nil"/>
                    <w:tr2bl w:val="nil"/>
                  </w:tcBorders>
                  <w:shd w:val="clear" w:color="auto" w:fill="auto"/>
                  <w:tcMar>
                    <w:top w:w="0" w:type="dxa"/>
                    <w:left w:w="0" w:type="dxa"/>
                    <w:bottom w:w="0" w:type="dxa"/>
                    <w:right w:w="0" w:type="dxa"/>
                  </w:tcMar>
                  <w:vAlign w:val="center"/>
                </w:tcPr>
                <w:p w14:paraId="622E92A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278.5</w:t>
                  </w:r>
                </w:p>
              </w:tc>
              <w:tc>
                <w:tcPr>
                  <w:tcW w:w="211" w:type="pct"/>
                  <w:tcBorders>
                    <w:tl2br w:val="nil"/>
                    <w:tr2bl w:val="nil"/>
                  </w:tcBorders>
                  <w:shd w:val="clear" w:color="auto" w:fill="auto"/>
                  <w:tcMar>
                    <w:top w:w="0" w:type="dxa"/>
                    <w:left w:w="0" w:type="dxa"/>
                    <w:bottom w:w="0" w:type="dxa"/>
                    <w:right w:w="0" w:type="dxa"/>
                  </w:tcMar>
                  <w:vAlign w:val="center"/>
                </w:tcPr>
                <w:p w14:paraId="30D361A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204.8</w:t>
                  </w:r>
                </w:p>
              </w:tc>
              <w:tc>
                <w:tcPr>
                  <w:tcW w:w="211" w:type="pct"/>
                  <w:tcBorders>
                    <w:tl2br w:val="nil"/>
                    <w:tr2bl w:val="nil"/>
                  </w:tcBorders>
                  <w:shd w:val="clear" w:color="auto" w:fill="auto"/>
                  <w:tcMar>
                    <w:top w:w="0" w:type="dxa"/>
                    <w:left w:w="0" w:type="dxa"/>
                    <w:bottom w:w="0" w:type="dxa"/>
                    <w:right w:w="0" w:type="dxa"/>
                  </w:tcMar>
                  <w:vAlign w:val="center"/>
                </w:tcPr>
                <w:p w14:paraId="043E8F3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163.3</w:t>
                  </w:r>
                </w:p>
              </w:tc>
              <w:tc>
                <w:tcPr>
                  <w:tcW w:w="166" w:type="pct"/>
                  <w:tcBorders>
                    <w:tl2br w:val="nil"/>
                    <w:tr2bl w:val="nil"/>
                  </w:tcBorders>
                  <w:shd w:val="clear" w:color="auto" w:fill="auto"/>
                  <w:tcMar>
                    <w:top w:w="0" w:type="dxa"/>
                    <w:left w:w="0" w:type="dxa"/>
                    <w:bottom w:w="0" w:type="dxa"/>
                    <w:right w:w="0" w:type="dxa"/>
                  </w:tcMar>
                  <w:vAlign w:val="center"/>
                </w:tcPr>
                <w:p w14:paraId="03714E5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F0DB87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111B42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7F0C93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7634828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541F42D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8CAE57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63A8AB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EEF2F2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B6BF65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99B82F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4D8DB5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3478D8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77A8D9B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655E3C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3DEEA89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96</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4EA9288">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46CAF77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酸洗循环泵</w:t>
                  </w:r>
                </w:p>
              </w:tc>
              <w:tc>
                <w:tcPr>
                  <w:tcW w:w="264" w:type="pct"/>
                  <w:tcBorders>
                    <w:tl2br w:val="nil"/>
                    <w:tr2bl w:val="nil"/>
                  </w:tcBorders>
                  <w:shd w:val="clear" w:color="auto" w:fill="auto"/>
                  <w:tcMar>
                    <w:top w:w="0" w:type="dxa"/>
                    <w:left w:w="0" w:type="dxa"/>
                    <w:bottom w:w="0" w:type="dxa"/>
                    <w:right w:w="0" w:type="dxa"/>
                  </w:tcMar>
                  <w:vAlign w:val="center"/>
                </w:tcPr>
                <w:p w14:paraId="61A7498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43403A9">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7D6DA57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64.6</w:t>
                  </w:r>
                </w:p>
              </w:tc>
              <w:tc>
                <w:tcPr>
                  <w:tcW w:w="242" w:type="pct"/>
                  <w:tcBorders>
                    <w:tl2br w:val="nil"/>
                    <w:tr2bl w:val="nil"/>
                  </w:tcBorders>
                  <w:shd w:val="clear" w:color="auto" w:fill="auto"/>
                  <w:tcMar>
                    <w:top w:w="0" w:type="dxa"/>
                    <w:left w:w="0" w:type="dxa"/>
                    <w:bottom w:w="0" w:type="dxa"/>
                    <w:right w:w="0" w:type="dxa"/>
                  </w:tcMar>
                  <w:vAlign w:val="center"/>
                </w:tcPr>
                <w:p w14:paraId="6B7CAFE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19.8</w:t>
                  </w:r>
                </w:p>
              </w:tc>
              <w:tc>
                <w:tcPr>
                  <w:tcW w:w="120" w:type="pct"/>
                  <w:tcBorders>
                    <w:tl2br w:val="nil"/>
                    <w:tr2bl w:val="nil"/>
                  </w:tcBorders>
                  <w:shd w:val="clear" w:color="auto" w:fill="auto"/>
                  <w:tcMar>
                    <w:top w:w="0" w:type="dxa"/>
                    <w:left w:w="0" w:type="dxa"/>
                    <w:bottom w:w="0" w:type="dxa"/>
                    <w:right w:w="0" w:type="dxa"/>
                  </w:tcMar>
                  <w:vAlign w:val="center"/>
                </w:tcPr>
                <w:p w14:paraId="019C2F1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6E96CCB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99.8</w:t>
                  </w:r>
                </w:p>
              </w:tc>
              <w:tc>
                <w:tcPr>
                  <w:tcW w:w="211" w:type="pct"/>
                  <w:tcBorders>
                    <w:tl2br w:val="nil"/>
                    <w:tr2bl w:val="nil"/>
                  </w:tcBorders>
                  <w:shd w:val="clear" w:color="auto" w:fill="auto"/>
                  <w:tcMar>
                    <w:top w:w="0" w:type="dxa"/>
                    <w:left w:w="0" w:type="dxa"/>
                    <w:bottom w:w="0" w:type="dxa"/>
                    <w:right w:w="0" w:type="dxa"/>
                  </w:tcMar>
                  <w:vAlign w:val="center"/>
                </w:tcPr>
                <w:p w14:paraId="1CC8A3A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278.5</w:t>
                  </w:r>
                </w:p>
              </w:tc>
              <w:tc>
                <w:tcPr>
                  <w:tcW w:w="211" w:type="pct"/>
                  <w:tcBorders>
                    <w:tl2br w:val="nil"/>
                    <w:tr2bl w:val="nil"/>
                  </w:tcBorders>
                  <w:shd w:val="clear" w:color="auto" w:fill="auto"/>
                  <w:tcMar>
                    <w:top w:w="0" w:type="dxa"/>
                    <w:left w:w="0" w:type="dxa"/>
                    <w:bottom w:w="0" w:type="dxa"/>
                    <w:right w:w="0" w:type="dxa"/>
                  </w:tcMar>
                  <w:vAlign w:val="center"/>
                </w:tcPr>
                <w:p w14:paraId="130685F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204.8</w:t>
                  </w:r>
                </w:p>
              </w:tc>
              <w:tc>
                <w:tcPr>
                  <w:tcW w:w="211" w:type="pct"/>
                  <w:tcBorders>
                    <w:tl2br w:val="nil"/>
                    <w:tr2bl w:val="nil"/>
                  </w:tcBorders>
                  <w:shd w:val="clear" w:color="auto" w:fill="auto"/>
                  <w:tcMar>
                    <w:top w:w="0" w:type="dxa"/>
                    <w:left w:w="0" w:type="dxa"/>
                    <w:bottom w:w="0" w:type="dxa"/>
                    <w:right w:w="0" w:type="dxa"/>
                  </w:tcMar>
                  <w:vAlign w:val="center"/>
                </w:tcPr>
                <w:p w14:paraId="218A60B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163.2</w:t>
                  </w:r>
                </w:p>
              </w:tc>
              <w:tc>
                <w:tcPr>
                  <w:tcW w:w="166" w:type="pct"/>
                  <w:tcBorders>
                    <w:tl2br w:val="nil"/>
                    <w:tr2bl w:val="nil"/>
                  </w:tcBorders>
                  <w:shd w:val="clear" w:color="auto" w:fill="auto"/>
                  <w:tcMar>
                    <w:top w:w="0" w:type="dxa"/>
                    <w:left w:w="0" w:type="dxa"/>
                    <w:bottom w:w="0" w:type="dxa"/>
                    <w:right w:w="0" w:type="dxa"/>
                  </w:tcMar>
                  <w:vAlign w:val="center"/>
                </w:tcPr>
                <w:p w14:paraId="2219B4B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5A2801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89E245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624E58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12CC6DA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47D9A4F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1CA381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297202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5F1C82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A3A6EB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369F0C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6C0941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C9D30C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3F9F795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256E7D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2594ED1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97</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606D62C">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4392F08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酸洗循环泵</w:t>
                  </w:r>
                </w:p>
              </w:tc>
              <w:tc>
                <w:tcPr>
                  <w:tcW w:w="264" w:type="pct"/>
                  <w:tcBorders>
                    <w:tl2br w:val="nil"/>
                    <w:tr2bl w:val="nil"/>
                  </w:tcBorders>
                  <w:shd w:val="clear" w:color="auto" w:fill="auto"/>
                  <w:tcMar>
                    <w:top w:w="0" w:type="dxa"/>
                    <w:left w:w="0" w:type="dxa"/>
                    <w:bottom w:w="0" w:type="dxa"/>
                    <w:right w:w="0" w:type="dxa"/>
                  </w:tcMar>
                  <w:vAlign w:val="center"/>
                </w:tcPr>
                <w:p w14:paraId="785D4BA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6941B16">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E33B2A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64.2</w:t>
                  </w:r>
                </w:p>
              </w:tc>
              <w:tc>
                <w:tcPr>
                  <w:tcW w:w="242" w:type="pct"/>
                  <w:tcBorders>
                    <w:tl2br w:val="nil"/>
                    <w:tr2bl w:val="nil"/>
                  </w:tcBorders>
                  <w:shd w:val="clear" w:color="auto" w:fill="auto"/>
                  <w:tcMar>
                    <w:top w:w="0" w:type="dxa"/>
                    <w:left w:w="0" w:type="dxa"/>
                    <w:bottom w:w="0" w:type="dxa"/>
                    <w:right w:w="0" w:type="dxa"/>
                  </w:tcMar>
                  <w:vAlign w:val="center"/>
                </w:tcPr>
                <w:p w14:paraId="7922711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20.7</w:t>
                  </w:r>
                </w:p>
              </w:tc>
              <w:tc>
                <w:tcPr>
                  <w:tcW w:w="120" w:type="pct"/>
                  <w:tcBorders>
                    <w:tl2br w:val="nil"/>
                    <w:tr2bl w:val="nil"/>
                  </w:tcBorders>
                  <w:shd w:val="clear" w:color="auto" w:fill="auto"/>
                  <w:tcMar>
                    <w:top w:w="0" w:type="dxa"/>
                    <w:left w:w="0" w:type="dxa"/>
                    <w:bottom w:w="0" w:type="dxa"/>
                    <w:right w:w="0" w:type="dxa"/>
                  </w:tcMar>
                  <w:vAlign w:val="center"/>
                </w:tcPr>
                <w:p w14:paraId="5847340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17B2690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100.5</w:t>
                  </w:r>
                </w:p>
              </w:tc>
              <w:tc>
                <w:tcPr>
                  <w:tcW w:w="211" w:type="pct"/>
                  <w:tcBorders>
                    <w:tl2br w:val="nil"/>
                    <w:tr2bl w:val="nil"/>
                  </w:tcBorders>
                  <w:shd w:val="clear" w:color="auto" w:fill="auto"/>
                  <w:tcMar>
                    <w:top w:w="0" w:type="dxa"/>
                    <w:left w:w="0" w:type="dxa"/>
                    <w:bottom w:w="0" w:type="dxa"/>
                    <w:right w:w="0" w:type="dxa"/>
                  </w:tcMar>
                  <w:vAlign w:val="center"/>
                </w:tcPr>
                <w:p w14:paraId="69C6BB9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279.2</w:t>
                  </w:r>
                </w:p>
              </w:tc>
              <w:tc>
                <w:tcPr>
                  <w:tcW w:w="211" w:type="pct"/>
                  <w:tcBorders>
                    <w:tl2br w:val="nil"/>
                    <w:tr2bl w:val="nil"/>
                  </w:tcBorders>
                  <w:shd w:val="clear" w:color="auto" w:fill="auto"/>
                  <w:tcMar>
                    <w:top w:w="0" w:type="dxa"/>
                    <w:left w:w="0" w:type="dxa"/>
                    <w:bottom w:w="0" w:type="dxa"/>
                    <w:right w:w="0" w:type="dxa"/>
                  </w:tcMar>
                  <w:vAlign w:val="center"/>
                </w:tcPr>
                <w:p w14:paraId="0861816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205.5</w:t>
                  </w:r>
                </w:p>
              </w:tc>
              <w:tc>
                <w:tcPr>
                  <w:tcW w:w="211" w:type="pct"/>
                  <w:tcBorders>
                    <w:tl2br w:val="nil"/>
                    <w:tr2bl w:val="nil"/>
                  </w:tcBorders>
                  <w:shd w:val="clear" w:color="auto" w:fill="auto"/>
                  <w:tcMar>
                    <w:top w:w="0" w:type="dxa"/>
                    <w:left w:w="0" w:type="dxa"/>
                    <w:bottom w:w="0" w:type="dxa"/>
                    <w:right w:w="0" w:type="dxa"/>
                  </w:tcMar>
                  <w:vAlign w:val="center"/>
                </w:tcPr>
                <w:p w14:paraId="42B029A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162.6</w:t>
                  </w:r>
                </w:p>
              </w:tc>
              <w:tc>
                <w:tcPr>
                  <w:tcW w:w="166" w:type="pct"/>
                  <w:tcBorders>
                    <w:tl2br w:val="nil"/>
                    <w:tr2bl w:val="nil"/>
                  </w:tcBorders>
                  <w:shd w:val="clear" w:color="auto" w:fill="auto"/>
                  <w:tcMar>
                    <w:top w:w="0" w:type="dxa"/>
                    <w:left w:w="0" w:type="dxa"/>
                    <w:bottom w:w="0" w:type="dxa"/>
                    <w:right w:w="0" w:type="dxa"/>
                  </w:tcMar>
                  <w:vAlign w:val="center"/>
                </w:tcPr>
                <w:p w14:paraId="5C9E8A8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697C5B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07C8A6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454601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5CF563E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2C4BDF5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C884CE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1F8814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F98B4E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FE27D0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7DA3E9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16CF08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683376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6925192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1D10B7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426133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98</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65408EC">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0610AAB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酸雾净化离心风机</w:t>
                  </w:r>
                </w:p>
              </w:tc>
              <w:tc>
                <w:tcPr>
                  <w:tcW w:w="264" w:type="pct"/>
                  <w:tcBorders>
                    <w:tl2br w:val="nil"/>
                    <w:tr2bl w:val="nil"/>
                  </w:tcBorders>
                  <w:shd w:val="clear" w:color="auto" w:fill="auto"/>
                  <w:tcMar>
                    <w:top w:w="0" w:type="dxa"/>
                    <w:left w:w="0" w:type="dxa"/>
                    <w:bottom w:w="0" w:type="dxa"/>
                    <w:right w:w="0" w:type="dxa"/>
                  </w:tcMar>
                  <w:vAlign w:val="center"/>
                </w:tcPr>
                <w:p w14:paraId="7A84AB9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099FF41">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2F70918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64.5</w:t>
                  </w:r>
                </w:p>
              </w:tc>
              <w:tc>
                <w:tcPr>
                  <w:tcW w:w="242" w:type="pct"/>
                  <w:tcBorders>
                    <w:tl2br w:val="nil"/>
                    <w:tr2bl w:val="nil"/>
                  </w:tcBorders>
                  <w:shd w:val="clear" w:color="auto" w:fill="auto"/>
                  <w:tcMar>
                    <w:top w:w="0" w:type="dxa"/>
                    <w:left w:w="0" w:type="dxa"/>
                    <w:bottom w:w="0" w:type="dxa"/>
                    <w:right w:w="0" w:type="dxa"/>
                  </w:tcMar>
                  <w:vAlign w:val="center"/>
                </w:tcPr>
                <w:p w14:paraId="432452D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21.9</w:t>
                  </w:r>
                </w:p>
              </w:tc>
              <w:tc>
                <w:tcPr>
                  <w:tcW w:w="120" w:type="pct"/>
                  <w:tcBorders>
                    <w:tl2br w:val="nil"/>
                    <w:tr2bl w:val="nil"/>
                  </w:tcBorders>
                  <w:shd w:val="clear" w:color="auto" w:fill="auto"/>
                  <w:tcMar>
                    <w:top w:w="0" w:type="dxa"/>
                    <w:left w:w="0" w:type="dxa"/>
                    <w:bottom w:w="0" w:type="dxa"/>
                    <w:right w:w="0" w:type="dxa"/>
                  </w:tcMar>
                  <w:vAlign w:val="center"/>
                </w:tcPr>
                <w:p w14:paraId="49C9A3F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0C3A2E3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100.7</w:t>
                  </w:r>
                </w:p>
              </w:tc>
              <w:tc>
                <w:tcPr>
                  <w:tcW w:w="211" w:type="pct"/>
                  <w:tcBorders>
                    <w:tl2br w:val="nil"/>
                    <w:tr2bl w:val="nil"/>
                  </w:tcBorders>
                  <w:shd w:val="clear" w:color="auto" w:fill="auto"/>
                  <w:tcMar>
                    <w:top w:w="0" w:type="dxa"/>
                    <w:left w:w="0" w:type="dxa"/>
                    <w:bottom w:w="0" w:type="dxa"/>
                    <w:right w:w="0" w:type="dxa"/>
                  </w:tcMar>
                  <w:vAlign w:val="center"/>
                </w:tcPr>
                <w:p w14:paraId="5B1186C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280.4</w:t>
                  </w:r>
                </w:p>
              </w:tc>
              <w:tc>
                <w:tcPr>
                  <w:tcW w:w="211" w:type="pct"/>
                  <w:tcBorders>
                    <w:tl2br w:val="nil"/>
                    <w:tr2bl w:val="nil"/>
                  </w:tcBorders>
                  <w:shd w:val="clear" w:color="auto" w:fill="auto"/>
                  <w:tcMar>
                    <w:top w:w="0" w:type="dxa"/>
                    <w:left w:w="0" w:type="dxa"/>
                    <w:bottom w:w="0" w:type="dxa"/>
                    <w:right w:w="0" w:type="dxa"/>
                  </w:tcMar>
                  <w:vAlign w:val="center"/>
                </w:tcPr>
                <w:p w14:paraId="509CAB2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206.7</w:t>
                  </w:r>
                </w:p>
              </w:tc>
              <w:tc>
                <w:tcPr>
                  <w:tcW w:w="211" w:type="pct"/>
                  <w:tcBorders>
                    <w:tl2br w:val="nil"/>
                    <w:tr2bl w:val="nil"/>
                  </w:tcBorders>
                  <w:shd w:val="clear" w:color="auto" w:fill="auto"/>
                  <w:tcMar>
                    <w:top w:w="0" w:type="dxa"/>
                    <w:left w:w="0" w:type="dxa"/>
                    <w:bottom w:w="0" w:type="dxa"/>
                    <w:right w:w="0" w:type="dxa"/>
                  </w:tcMar>
                  <w:vAlign w:val="center"/>
                </w:tcPr>
                <w:p w14:paraId="2F61C55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161.4</w:t>
                  </w:r>
                </w:p>
              </w:tc>
              <w:tc>
                <w:tcPr>
                  <w:tcW w:w="166" w:type="pct"/>
                  <w:tcBorders>
                    <w:tl2br w:val="nil"/>
                    <w:tr2bl w:val="nil"/>
                  </w:tcBorders>
                  <w:shd w:val="clear" w:color="auto" w:fill="auto"/>
                  <w:tcMar>
                    <w:top w:w="0" w:type="dxa"/>
                    <w:left w:w="0" w:type="dxa"/>
                    <w:bottom w:w="0" w:type="dxa"/>
                    <w:right w:w="0" w:type="dxa"/>
                  </w:tcMar>
                  <w:vAlign w:val="center"/>
                </w:tcPr>
                <w:p w14:paraId="3C743EF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0367DB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71456A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8E6565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3225CCC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7B81EB2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7F5485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B0684F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6422DB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4F6B35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198676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6BA72C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A17295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5DAA765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4955A5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35DDA4D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D0E7AAD">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68A02E3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酸雾净化循环水泵</w:t>
                  </w:r>
                </w:p>
              </w:tc>
              <w:tc>
                <w:tcPr>
                  <w:tcW w:w="264" w:type="pct"/>
                  <w:tcBorders>
                    <w:tl2br w:val="nil"/>
                    <w:tr2bl w:val="nil"/>
                  </w:tcBorders>
                  <w:shd w:val="clear" w:color="auto" w:fill="auto"/>
                  <w:tcMar>
                    <w:top w:w="0" w:type="dxa"/>
                    <w:left w:w="0" w:type="dxa"/>
                    <w:bottom w:w="0" w:type="dxa"/>
                    <w:right w:w="0" w:type="dxa"/>
                  </w:tcMar>
                  <w:vAlign w:val="center"/>
                </w:tcPr>
                <w:p w14:paraId="0988F1B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B2556B3">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7D50557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64.8</w:t>
                  </w:r>
                </w:p>
              </w:tc>
              <w:tc>
                <w:tcPr>
                  <w:tcW w:w="242" w:type="pct"/>
                  <w:tcBorders>
                    <w:tl2br w:val="nil"/>
                    <w:tr2bl w:val="nil"/>
                  </w:tcBorders>
                  <w:shd w:val="clear" w:color="auto" w:fill="auto"/>
                  <w:tcMar>
                    <w:top w:w="0" w:type="dxa"/>
                    <w:left w:w="0" w:type="dxa"/>
                    <w:bottom w:w="0" w:type="dxa"/>
                    <w:right w:w="0" w:type="dxa"/>
                  </w:tcMar>
                  <w:vAlign w:val="center"/>
                </w:tcPr>
                <w:p w14:paraId="4697AB7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22.9</w:t>
                  </w:r>
                </w:p>
              </w:tc>
              <w:tc>
                <w:tcPr>
                  <w:tcW w:w="120" w:type="pct"/>
                  <w:tcBorders>
                    <w:tl2br w:val="nil"/>
                    <w:tr2bl w:val="nil"/>
                  </w:tcBorders>
                  <w:shd w:val="clear" w:color="auto" w:fill="auto"/>
                  <w:tcMar>
                    <w:top w:w="0" w:type="dxa"/>
                    <w:left w:w="0" w:type="dxa"/>
                    <w:bottom w:w="0" w:type="dxa"/>
                    <w:right w:w="0" w:type="dxa"/>
                  </w:tcMar>
                  <w:vAlign w:val="center"/>
                </w:tcPr>
                <w:p w14:paraId="76E7B1F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71D3A86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100.8</w:t>
                  </w:r>
                </w:p>
              </w:tc>
              <w:tc>
                <w:tcPr>
                  <w:tcW w:w="211" w:type="pct"/>
                  <w:tcBorders>
                    <w:tl2br w:val="nil"/>
                    <w:tr2bl w:val="nil"/>
                  </w:tcBorders>
                  <w:shd w:val="clear" w:color="auto" w:fill="auto"/>
                  <w:tcMar>
                    <w:top w:w="0" w:type="dxa"/>
                    <w:left w:w="0" w:type="dxa"/>
                    <w:bottom w:w="0" w:type="dxa"/>
                    <w:right w:w="0" w:type="dxa"/>
                  </w:tcMar>
                  <w:vAlign w:val="center"/>
                </w:tcPr>
                <w:p w14:paraId="7A4B22B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281.5</w:t>
                  </w:r>
                </w:p>
              </w:tc>
              <w:tc>
                <w:tcPr>
                  <w:tcW w:w="211" w:type="pct"/>
                  <w:tcBorders>
                    <w:tl2br w:val="nil"/>
                    <w:tr2bl w:val="nil"/>
                  </w:tcBorders>
                  <w:shd w:val="clear" w:color="auto" w:fill="auto"/>
                  <w:tcMar>
                    <w:top w:w="0" w:type="dxa"/>
                    <w:left w:w="0" w:type="dxa"/>
                    <w:bottom w:w="0" w:type="dxa"/>
                    <w:right w:w="0" w:type="dxa"/>
                  </w:tcMar>
                  <w:vAlign w:val="center"/>
                </w:tcPr>
                <w:p w14:paraId="66B517F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207.7</w:t>
                  </w:r>
                </w:p>
              </w:tc>
              <w:tc>
                <w:tcPr>
                  <w:tcW w:w="211" w:type="pct"/>
                  <w:tcBorders>
                    <w:tl2br w:val="nil"/>
                    <w:tr2bl w:val="nil"/>
                  </w:tcBorders>
                  <w:shd w:val="clear" w:color="auto" w:fill="auto"/>
                  <w:tcMar>
                    <w:top w:w="0" w:type="dxa"/>
                    <w:left w:w="0" w:type="dxa"/>
                    <w:bottom w:w="0" w:type="dxa"/>
                    <w:right w:w="0" w:type="dxa"/>
                  </w:tcMar>
                  <w:vAlign w:val="center"/>
                </w:tcPr>
                <w:p w14:paraId="1E0360C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160.3</w:t>
                  </w:r>
                </w:p>
              </w:tc>
              <w:tc>
                <w:tcPr>
                  <w:tcW w:w="166" w:type="pct"/>
                  <w:tcBorders>
                    <w:tl2br w:val="nil"/>
                    <w:tr2bl w:val="nil"/>
                  </w:tcBorders>
                  <w:shd w:val="clear" w:color="auto" w:fill="auto"/>
                  <w:tcMar>
                    <w:top w:w="0" w:type="dxa"/>
                    <w:left w:w="0" w:type="dxa"/>
                    <w:bottom w:w="0" w:type="dxa"/>
                    <w:right w:w="0" w:type="dxa"/>
                  </w:tcMar>
                  <w:vAlign w:val="center"/>
                </w:tcPr>
                <w:p w14:paraId="18E73FF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13DCCA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23D161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DE9F9F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6A6FC42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73E7945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938A81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9C689D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4FB00F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782777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CA31C3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47F0C2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C27EB2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4561185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42410D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FBF8C9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33D82BF">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46757F0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酸雾净化循环水泵</w:t>
                  </w:r>
                </w:p>
              </w:tc>
              <w:tc>
                <w:tcPr>
                  <w:tcW w:w="264" w:type="pct"/>
                  <w:tcBorders>
                    <w:tl2br w:val="nil"/>
                    <w:tr2bl w:val="nil"/>
                  </w:tcBorders>
                  <w:shd w:val="clear" w:color="auto" w:fill="auto"/>
                  <w:tcMar>
                    <w:top w:w="0" w:type="dxa"/>
                    <w:left w:w="0" w:type="dxa"/>
                    <w:bottom w:w="0" w:type="dxa"/>
                    <w:right w:w="0" w:type="dxa"/>
                  </w:tcMar>
                  <w:vAlign w:val="center"/>
                </w:tcPr>
                <w:p w14:paraId="6A45F45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A721AAF">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1BE58F1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65.5</w:t>
                  </w:r>
                </w:p>
              </w:tc>
              <w:tc>
                <w:tcPr>
                  <w:tcW w:w="242" w:type="pct"/>
                  <w:tcBorders>
                    <w:tl2br w:val="nil"/>
                    <w:tr2bl w:val="nil"/>
                  </w:tcBorders>
                  <w:shd w:val="clear" w:color="auto" w:fill="auto"/>
                  <w:tcMar>
                    <w:top w:w="0" w:type="dxa"/>
                    <w:left w:w="0" w:type="dxa"/>
                    <w:bottom w:w="0" w:type="dxa"/>
                    <w:right w:w="0" w:type="dxa"/>
                  </w:tcMar>
                  <w:vAlign w:val="center"/>
                </w:tcPr>
                <w:p w14:paraId="24BBAF5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22.6</w:t>
                  </w:r>
                </w:p>
              </w:tc>
              <w:tc>
                <w:tcPr>
                  <w:tcW w:w="120" w:type="pct"/>
                  <w:tcBorders>
                    <w:tl2br w:val="nil"/>
                    <w:tr2bl w:val="nil"/>
                  </w:tcBorders>
                  <w:shd w:val="clear" w:color="auto" w:fill="auto"/>
                  <w:tcMar>
                    <w:top w:w="0" w:type="dxa"/>
                    <w:left w:w="0" w:type="dxa"/>
                    <w:bottom w:w="0" w:type="dxa"/>
                    <w:right w:w="0" w:type="dxa"/>
                  </w:tcMar>
                  <w:vAlign w:val="center"/>
                </w:tcPr>
                <w:p w14:paraId="2E23167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5740854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100.0</w:t>
                  </w:r>
                </w:p>
              </w:tc>
              <w:tc>
                <w:tcPr>
                  <w:tcW w:w="211" w:type="pct"/>
                  <w:tcBorders>
                    <w:tl2br w:val="nil"/>
                    <w:tr2bl w:val="nil"/>
                  </w:tcBorders>
                  <w:shd w:val="clear" w:color="auto" w:fill="auto"/>
                  <w:tcMar>
                    <w:top w:w="0" w:type="dxa"/>
                    <w:left w:w="0" w:type="dxa"/>
                    <w:bottom w:w="0" w:type="dxa"/>
                    <w:right w:w="0" w:type="dxa"/>
                  </w:tcMar>
                  <w:vAlign w:val="center"/>
                </w:tcPr>
                <w:p w14:paraId="6CCFBF0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281.5</w:t>
                  </w:r>
                </w:p>
              </w:tc>
              <w:tc>
                <w:tcPr>
                  <w:tcW w:w="211" w:type="pct"/>
                  <w:tcBorders>
                    <w:tl2br w:val="nil"/>
                    <w:tr2bl w:val="nil"/>
                  </w:tcBorders>
                  <w:shd w:val="clear" w:color="auto" w:fill="auto"/>
                  <w:tcMar>
                    <w:top w:w="0" w:type="dxa"/>
                    <w:left w:w="0" w:type="dxa"/>
                    <w:bottom w:w="0" w:type="dxa"/>
                    <w:right w:w="0" w:type="dxa"/>
                  </w:tcMar>
                  <w:vAlign w:val="center"/>
                </w:tcPr>
                <w:p w14:paraId="60AB1C8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207.8</w:t>
                  </w:r>
                </w:p>
              </w:tc>
              <w:tc>
                <w:tcPr>
                  <w:tcW w:w="211" w:type="pct"/>
                  <w:tcBorders>
                    <w:tl2br w:val="nil"/>
                    <w:tr2bl w:val="nil"/>
                  </w:tcBorders>
                  <w:shd w:val="clear" w:color="auto" w:fill="auto"/>
                  <w:tcMar>
                    <w:top w:w="0" w:type="dxa"/>
                    <w:left w:w="0" w:type="dxa"/>
                    <w:bottom w:w="0" w:type="dxa"/>
                    <w:right w:w="0" w:type="dxa"/>
                  </w:tcMar>
                  <w:vAlign w:val="center"/>
                </w:tcPr>
                <w:p w14:paraId="1A9CE57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160.3</w:t>
                  </w:r>
                </w:p>
              </w:tc>
              <w:tc>
                <w:tcPr>
                  <w:tcW w:w="166" w:type="pct"/>
                  <w:tcBorders>
                    <w:tl2br w:val="nil"/>
                    <w:tr2bl w:val="nil"/>
                  </w:tcBorders>
                  <w:shd w:val="clear" w:color="auto" w:fill="auto"/>
                  <w:tcMar>
                    <w:top w:w="0" w:type="dxa"/>
                    <w:left w:w="0" w:type="dxa"/>
                    <w:bottom w:w="0" w:type="dxa"/>
                    <w:right w:w="0" w:type="dxa"/>
                  </w:tcMar>
                  <w:vAlign w:val="center"/>
                </w:tcPr>
                <w:p w14:paraId="6ED10C5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D0D440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DC3605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DE54F8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45555B4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5185979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9DAE60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A3DD83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9E69C8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5B0DEF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246D6A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F04618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6C1ACA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504C477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010A40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3019EC8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101</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1394C3D">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0840066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涂层液循环泵</w:t>
                  </w:r>
                </w:p>
              </w:tc>
              <w:tc>
                <w:tcPr>
                  <w:tcW w:w="264" w:type="pct"/>
                  <w:tcBorders>
                    <w:tl2br w:val="nil"/>
                    <w:tr2bl w:val="nil"/>
                  </w:tcBorders>
                  <w:shd w:val="clear" w:color="auto" w:fill="auto"/>
                  <w:tcMar>
                    <w:top w:w="0" w:type="dxa"/>
                    <w:left w:w="0" w:type="dxa"/>
                    <w:bottom w:w="0" w:type="dxa"/>
                    <w:right w:w="0" w:type="dxa"/>
                  </w:tcMar>
                  <w:vAlign w:val="center"/>
                </w:tcPr>
                <w:p w14:paraId="3FBC772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C3A833E">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121C962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65.5</w:t>
                  </w:r>
                </w:p>
              </w:tc>
              <w:tc>
                <w:tcPr>
                  <w:tcW w:w="242" w:type="pct"/>
                  <w:tcBorders>
                    <w:tl2br w:val="nil"/>
                    <w:tr2bl w:val="nil"/>
                  </w:tcBorders>
                  <w:shd w:val="clear" w:color="auto" w:fill="auto"/>
                  <w:tcMar>
                    <w:top w:w="0" w:type="dxa"/>
                    <w:left w:w="0" w:type="dxa"/>
                    <w:bottom w:w="0" w:type="dxa"/>
                    <w:right w:w="0" w:type="dxa"/>
                  </w:tcMar>
                  <w:vAlign w:val="center"/>
                </w:tcPr>
                <w:p w14:paraId="551E689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21.7</w:t>
                  </w:r>
                </w:p>
              </w:tc>
              <w:tc>
                <w:tcPr>
                  <w:tcW w:w="120" w:type="pct"/>
                  <w:tcBorders>
                    <w:tl2br w:val="nil"/>
                    <w:tr2bl w:val="nil"/>
                  </w:tcBorders>
                  <w:shd w:val="clear" w:color="auto" w:fill="auto"/>
                  <w:tcMar>
                    <w:top w:w="0" w:type="dxa"/>
                    <w:left w:w="0" w:type="dxa"/>
                    <w:bottom w:w="0" w:type="dxa"/>
                    <w:right w:w="0" w:type="dxa"/>
                  </w:tcMar>
                  <w:vAlign w:val="center"/>
                </w:tcPr>
                <w:p w14:paraId="1803AB7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2F8DEFB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99.7</w:t>
                  </w:r>
                </w:p>
              </w:tc>
              <w:tc>
                <w:tcPr>
                  <w:tcW w:w="211" w:type="pct"/>
                  <w:tcBorders>
                    <w:tl2br w:val="nil"/>
                    <w:tr2bl w:val="nil"/>
                  </w:tcBorders>
                  <w:shd w:val="clear" w:color="auto" w:fill="auto"/>
                  <w:tcMar>
                    <w:top w:w="0" w:type="dxa"/>
                    <w:left w:w="0" w:type="dxa"/>
                    <w:bottom w:w="0" w:type="dxa"/>
                    <w:right w:w="0" w:type="dxa"/>
                  </w:tcMar>
                  <w:vAlign w:val="center"/>
                </w:tcPr>
                <w:p w14:paraId="190A08B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280.6</w:t>
                  </w:r>
                </w:p>
              </w:tc>
              <w:tc>
                <w:tcPr>
                  <w:tcW w:w="211" w:type="pct"/>
                  <w:tcBorders>
                    <w:tl2br w:val="nil"/>
                    <w:tr2bl w:val="nil"/>
                  </w:tcBorders>
                  <w:shd w:val="clear" w:color="auto" w:fill="auto"/>
                  <w:tcMar>
                    <w:top w:w="0" w:type="dxa"/>
                    <w:left w:w="0" w:type="dxa"/>
                    <w:bottom w:w="0" w:type="dxa"/>
                    <w:right w:w="0" w:type="dxa"/>
                  </w:tcMar>
                  <w:vAlign w:val="center"/>
                </w:tcPr>
                <w:p w14:paraId="4336F2F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206.9</w:t>
                  </w:r>
                </w:p>
              </w:tc>
              <w:tc>
                <w:tcPr>
                  <w:tcW w:w="211" w:type="pct"/>
                  <w:tcBorders>
                    <w:tl2br w:val="nil"/>
                    <w:tr2bl w:val="nil"/>
                  </w:tcBorders>
                  <w:shd w:val="clear" w:color="auto" w:fill="auto"/>
                  <w:tcMar>
                    <w:top w:w="0" w:type="dxa"/>
                    <w:left w:w="0" w:type="dxa"/>
                    <w:bottom w:w="0" w:type="dxa"/>
                    <w:right w:w="0" w:type="dxa"/>
                  </w:tcMar>
                  <w:vAlign w:val="center"/>
                </w:tcPr>
                <w:p w14:paraId="195C0BE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161.1</w:t>
                  </w:r>
                </w:p>
              </w:tc>
              <w:tc>
                <w:tcPr>
                  <w:tcW w:w="166" w:type="pct"/>
                  <w:tcBorders>
                    <w:tl2br w:val="nil"/>
                    <w:tr2bl w:val="nil"/>
                  </w:tcBorders>
                  <w:shd w:val="clear" w:color="auto" w:fill="auto"/>
                  <w:tcMar>
                    <w:top w:w="0" w:type="dxa"/>
                    <w:left w:w="0" w:type="dxa"/>
                    <w:bottom w:w="0" w:type="dxa"/>
                    <w:right w:w="0" w:type="dxa"/>
                  </w:tcMar>
                  <w:vAlign w:val="center"/>
                </w:tcPr>
                <w:p w14:paraId="4065891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BA1DB9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EB0716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74866E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6C3E816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6E4A3A3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947948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26DF0A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4D601E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6A72B0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082813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AB89AE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9AD5D6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212EFE9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33E829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1F66A2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102</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DF53DB0">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1D87E5D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涂层液循环泵</w:t>
                  </w:r>
                </w:p>
              </w:tc>
              <w:tc>
                <w:tcPr>
                  <w:tcW w:w="264" w:type="pct"/>
                  <w:tcBorders>
                    <w:tl2br w:val="nil"/>
                    <w:tr2bl w:val="nil"/>
                  </w:tcBorders>
                  <w:shd w:val="clear" w:color="auto" w:fill="auto"/>
                  <w:tcMar>
                    <w:top w:w="0" w:type="dxa"/>
                    <w:left w:w="0" w:type="dxa"/>
                    <w:bottom w:w="0" w:type="dxa"/>
                    <w:right w:w="0" w:type="dxa"/>
                  </w:tcMar>
                  <w:vAlign w:val="center"/>
                </w:tcPr>
                <w:p w14:paraId="0ABBE05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99D5A96">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20673DF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65.2</w:t>
                  </w:r>
                </w:p>
              </w:tc>
              <w:tc>
                <w:tcPr>
                  <w:tcW w:w="242" w:type="pct"/>
                  <w:tcBorders>
                    <w:tl2br w:val="nil"/>
                    <w:tr2bl w:val="nil"/>
                  </w:tcBorders>
                  <w:shd w:val="clear" w:color="auto" w:fill="auto"/>
                  <w:tcMar>
                    <w:top w:w="0" w:type="dxa"/>
                    <w:left w:w="0" w:type="dxa"/>
                    <w:bottom w:w="0" w:type="dxa"/>
                    <w:right w:w="0" w:type="dxa"/>
                  </w:tcMar>
                  <w:vAlign w:val="center"/>
                </w:tcPr>
                <w:p w14:paraId="23A58C9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20.9</w:t>
                  </w:r>
                </w:p>
              </w:tc>
              <w:tc>
                <w:tcPr>
                  <w:tcW w:w="120" w:type="pct"/>
                  <w:tcBorders>
                    <w:tl2br w:val="nil"/>
                    <w:tr2bl w:val="nil"/>
                  </w:tcBorders>
                  <w:shd w:val="clear" w:color="auto" w:fill="auto"/>
                  <w:tcMar>
                    <w:top w:w="0" w:type="dxa"/>
                    <w:left w:w="0" w:type="dxa"/>
                    <w:bottom w:w="0" w:type="dxa"/>
                    <w:right w:w="0" w:type="dxa"/>
                  </w:tcMar>
                  <w:vAlign w:val="center"/>
                </w:tcPr>
                <w:p w14:paraId="62B58D5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481E6A5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99.7</w:t>
                  </w:r>
                </w:p>
              </w:tc>
              <w:tc>
                <w:tcPr>
                  <w:tcW w:w="211" w:type="pct"/>
                  <w:tcBorders>
                    <w:tl2br w:val="nil"/>
                    <w:tr2bl w:val="nil"/>
                  </w:tcBorders>
                  <w:shd w:val="clear" w:color="auto" w:fill="auto"/>
                  <w:tcMar>
                    <w:top w:w="0" w:type="dxa"/>
                    <w:left w:w="0" w:type="dxa"/>
                    <w:bottom w:w="0" w:type="dxa"/>
                    <w:right w:w="0" w:type="dxa"/>
                  </w:tcMar>
                  <w:vAlign w:val="center"/>
                </w:tcPr>
                <w:p w14:paraId="232CD15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279.8</w:t>
                  </w:r>
                </w:p>
              </w:tc>
              <w:tc>
                <w:tcPr>
                  <w:tcW w:w="211" w:type="pct"/>
                  <w:tcBorders>
                    <w:tl2br w:val="nil"/>
                    <w:tr2bl w:val="nil"/>
                  </w:tcBorders>
                  <w:shd w:val="clear" w:color="auto" w:fill="auto"/>
                  <w:tcMar>
                    <w:top w:w="0" w:type="dxa"/>
                    <w:left w:w="0" w:type="dxa"/>
                    <w:bottom w:w="0" w:type="dxa"/>
                    <w:right w:w="0" w:type="dxa"/>
                  </w:tcMar>
                  <w:vAlign w:val="center"/>
                </w:tcPr>
                <w:p w14:paraId="686A580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206.1</w:t>
                  </w:r>
                </w:p>
              </w:tc>
              <w:tc>
                <w:tcPr>
                  <w:tcW w:w="211" w:type="pct"/>
                  <w:tcBorders>
                    <w:tl2br w:val="nil"/>
                    <w:tr2bl w:val="nil"/>
                  </w:tcBorders>
                  <w:shd w:val="clear" w:color="auto" w:fill="auto"/>
                  <w:tcMar>
                    <w:top w:w="0" w:type="dxa"/>
                    <w:left w:w="0" w:type="dxa"/>
                    <w:bottom w:w="0" w:type="dxa"/>
                    <w:right w:w="0" w:type="dxa"/>
                  </w:tcMar>
                  <w:vAlign w:val="center"/>
                </w:tcPr>
                <w:p w14:paraId="2D3C266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162.0</w:t>
                  </w:r>
                </w:p>
              </w:tc>
              <w:tc>
                <w:tcPr>
                  <w:tcW w:w="166" w:type="pct"/>
                  <w:tcBorders>
                    <w:tl2br w:val="nil"/>
                    <w:tr2bl w:val="nil"/>
                  </w:tcBorders>
                  <w:shd w:val="clear" w:color="auto" w:fill="auto"/>
                  <w:tcMar>
                    <w:top w:w="0" w:type="dxa"/>
                    <w:left w:w="0" w:type="dxa"/>
                    <w:bottom w:w="0" w:type="dxa"/>
                    <w:right w:w="0" w:type="dxa"/>
                  </w:tcMar>
                  <w:vAlign w:val="center"/>
                </w:tcPr>
                <w:p w14:paraId="12CAD84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83714D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8C8509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216CA3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77EE833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6DAF693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6F192D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F33650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6D8268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7BE824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1C4462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B7BD8B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DDFBCC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0CE426D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67F7F8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17065E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103</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42A29A9">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4B785C1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涂层液废水泵</w:t>
                  </w:r>
                </w:p>
              </w:tc>
              <w:tc>
                <w:tcPr>
                  <w:tcW w:w="264" w:type="pct"/>
                  <w:tcBorders>
                    <w:tl2br w:val="nil"/>
                    <w:tr2bl w:val="nil"/>
                  </w:tcBorders>
                  <w:shd w:val="clear" w:color="auto" w:fill="auto"/>
                  <w:tcMar>
                    <w:top w:w="0" w:type="dxa"/>
                    <w:left w:w="0" w:type="dxa"/>
                    <w:bottom w:w="0" w:type="dxa"/>
                    <w:right w:w="0" w:type="dxa"/>
                  </w:tcMar>
                  <w:vAlign w:val="center"/>
                </w:tcPr>
                <w:p w14:paraId="09C186A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C3AFBCC">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85E187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65.9</w:t>
                  </w:r>
                </w:p>
              </w:tc>
              <w:tc>
                <w:tcPr>
                  <w:tcW w:w="242" w:type="pct"/>
                  <w:tcBorders>
                    <w:tl2br w:val="nil"/>
                    <w:tr2bl w:val="nil"/>
                  </w:tcBorders>
                  <w:shd w:val="clear" w:color="auto" w:fill="auto"/>
                  <w:tcMar>
                    <w:top w:w="0" w:type="dxa"/>
                    <w:left w:w="0" w:type="dxa"/>
                    <w:bottom w:w="0" w:type="dxa"/>
                    <w:right w:w="0" w:type="dxa"/>
                  </w:tcMar>
                  <w:vAlign w:val="center"/>
                </w:tcPr>
                <w:p w14:paraId="0149C3C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23.5</w:t>
                  </w:r>
                </w:p>
              </w:tc>
              <w:tc>
                <w:tcPr>
                  <w:tcW w:w="120" w:type="pct"/>
                  <w:tcBorders>
                    <w:tl2br w:val="nil"/>
                    <w:tr2bl w:val="nil"/>
                  </w:tcBorders>
                  <w:shd w:val="clear" w:color="auto" w:fill="auto"/>
                  <w:tcMar>
                    <w:top w:w="0" w:type="dxa"/>
                    <w:left w:w="0" w:type="dxa"/>
                    <w:bottom w:w="0" w:type="dxa"/>
                    <w:right w:w="0" w:type="dxa"/>
                  </w:tcMar>
                  <w:vAlign w:val="center"/>
                </w:tcPr>
                <w:p w14:paraId="78B15A0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774F720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100.0</w:t>
                  </w:r>
                </w:p>
              </w:tc>
              <w:tc>
                <w:tcPr>
                  <w:tcW w:w="211" w:type="pct"/>
                  <w:tcBorders>
                    <w:tl2br w:val="nil"/>
                    <w:tr2bl w:val="nil"/>
                  </w:tcBorders>
                  <w:shd w:val="clear" w:color="auto" w:fill="auto"/>
                  <w:tcMar>
                    <w:top w:w="0" w:type="dxa"/>
                    <w:left w:w="0" w:type="dxa"/>
                    <w:bottom w:w="0" w:type="dxa"/>
                    <w:right w:w="0" w:type="dxa"/>
                  </w:tcMar>
                  <w:vAlign w:val="center"/>
                </w:tcPr>
                <w:p w14:paraId="484DB41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282.4</w:t>
                  </w:r>
                </w:p>
              </w:tc>
              <w:tc>
                <w:tcPr>
                  <w:tcW w:w="211" w:type="pct"/>
                  <w:tcBorders>
                    <w:tl2br w:val="nil"/>
                    <w:tr2bl w:val="nil"/>
                  </w:tcBorders>
                  <w:shd w:val="clear" w:color="auto" w:fill="auto"/>
                  <w:tcMar>
                    <w:top w:w="0" w:type="dxa"/>
                    <w:left w:w="0" w:type="dxa"/>
                    <w:bottom w:w="0" w:type="dxa"/>
                    <w:right w:w="0" w:type="dxa"/>
                  </w:tcMar>
                  <w:vAlign w:val="center"/>
                </w:tcPr>
                <w:p w14:paraId="03E8B1D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208.7</w:t>
                  </w:r>
                </w:p>
              </w:tc>
              <w:tc>
                <w:tcPr>
                  <w:tcW w:w="211" w:type="pct"/>
                  <w:tcBorders>
                    <w:tl2br w:val="nil"/>
                    <w:tr2bl w:val="nil"/>
                  </w:tcBorders>
                  <w:shd w:val="clear" w:color="auto" w:fill="auto"/>
                  <w:tcMar>
                    <w:top w:w="0" w:type="dxa"/>
                    <w:left w:w="0" w:type="dxa"/>
                    <w:bottom w:w="0" w:type="dxa"/>
                    <w:right w:w="0" w:type="dxa"/>
                  </w:tcMar>
                  <w:vAlign w:val="center"/>
                </w:tcPr>
                <w:p w14:paraId="7BE90A9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159.3</w:t>
                  </w:r>
                </w:p>
              </w:tc>
              <w:tc>
                <w:tcPr>
                  <w:tcW w:w="166" w:type="pct"/>
                  <w:tcBorders>
                    <w:tl2br w:val="nil"/>
                    <w:tr2bl w:val="nil"/>
                  </w:tcBorders>
                  <w:shd w:val="clear" w:color="auto" w:fill="auto"/>
                  <w:tcMar>
                    <w:top w:w="0" w:type="dxa"/>
                    <w:left w:w="0" w:type="dxa"/>
                    <w:bottom w:w="0" w:type="dxa"/>
                    <w:right w:w="0" w:type="dxa"/>
                  </w:tcMar>
                  <w:vAlign w:val="center"/>
                </w:tcPr>
                <w:p w14:paraId="248E156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5D09DF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5B5935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984E89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5A56D81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0A2FB3A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B33505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1BB8EB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FC21B2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9D3882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EF5436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1AA30E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88C4F2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4EA5045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760D1D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E92690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104</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A8A80B1">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4B9124D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涂层液废水泵</w:t>
                  </w:r>
                </w:p>
              </w:tc>
              <w:tc>
                <w:tcPr>
                  <w:tcW w:w="264" w:type="pct"/>
                  <w:tcBorders>
                    <w:tl2br w:val="nil"/>
                    <w:tr2bl w:val="nil"/>
                  </w:tcBorders>
                  <w:shd w:val="clear" w:color="auto" w:fill="auto"/>
                  <w:tcMar>
                    <w:top w:w="0" w:type="dxa"/>
                    <w:left w:w="0" w:type="dxa"/>
                    <w:bottom w:w="0" w:type="dxa"/>
                    <w:right w:w="0" w:type="dxa"/>
                  </w:tcMar>
                  <w:vAlign w:val="center"/>
                </w:tcPr>
                <w:p w14:paraId="322FCE2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B85B4AE">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765DAC9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64.9</w:t>
                  </w:r>
                </w:p>
              </w:tc>
              <w:tc>
                <w:tcPr>
                  <w:tcW w:w="242" w:type="pct"/>
                  <w:tcBorders>
                    <w:tl2br w:val="nil"/>
                    <w:tr2bl w:val="nil"/>
                  </w:tcBorders>
                  <w:shd w:val="clear" w:color="auto" w:fill="auto"/>
                  <w:tcMar>
                    <w:top w:w="0" w:type="dxa"/>
                    <w:left w:w="0" w:type="dxa"/>
                    <w:bottom w:w="0" w:type="dxa"/>
                    <w:right w:w="0" w:type="dxa"/>
                  </w:tcMar>
                  <w:vAlign w:val="center"/>
                </w:tcPr>
                <w:p w14:paraId="324E66D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23.7</w:t>
                  </w:r>
                </w:p>
              </w:tc>
              <w:tc>
                <w:tcPr>
                  <w:tcW w:w="120" w:type="pct"/>
                  <w:tcBorders>
                    <w:tl2br w:val="nil"/>
                    <w:tr2bl w:val="nil"/>
                  </w:tcBorders>
                  <w:shd w:val="clear" w:color="auto" w:fill="auto"/>
                  <w:tcMar>
                    <w:top w:w="0" w:type="dxa"/>
                    <w:left w:w="0" w:type="dxa"/>
                    <w:bottom w:w="0" w:type="dxa"/>
                    <w:right w:w="0" w:type="dxa"/>
                  </w:tcMar>
                  <w:vAlign w:val="center"/>
                </w:tcPr>
                <w:p w14:paraId="15DCCEF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636D549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101.0</w:t>
                  </w:r>
                </w:p>
              </w:tc>
              <w:tc>
                <w:tcPr>
                  <w:tcW w:w="211" w:type="pct"/>
                  <w:tcBorders>
                    <w:tl2br w:val="nil"/>
                    <w:tr2bl w:val="nil"/>
                  </w:tcBorders>
                  <w:shd w:val="clear" w:color="auto" w:fill="auto"/>
                  <w:tcMar>
                    <w:top w:w="0" w:type="dxa"/>
                    <w:left w:w="0" w:type="dxa"/>
                    <w:bottom w:w="0" w:type="dxa"/>
                    <w:right w:w="0" w:type="dxa"/>
                  </w:tcMar>
                  <w:vAlign w:val="center"/>
                </w:tcPr>
                <w:p w14:paraId="6AFD5A6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282.2</w:t>
                  </w:r>
                </w:p>
              </w:tc>
              <w:tc>
                <w:tcPr>
                  <w:tcW w:w="211" w:type="pct"/>
                  <w:tcBorders>
                    <w:tl2br w:val="nil"/>
                    <w:tr2bl w:val="nil"/>
                  </w:tcBorders>
                  <w:shd w:val="clear" w:color="auto" w:fill="auto"/>
                  <w:tcMar>
                    <w:top w:w="0" w:type="dxa"/>
                    <w:left w:w="0" w:type="dxa"/>
                    <w:bottom w:w="0" w:type="dxa"/>
                    <w:right w:w="0" w:type="dxa"/>
                  </w:tcMar>
                  <w:vAlign w:val="center"/>
                </w:tcPr>
                <w:p w14:paraId="576674F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208.5</w:t>
                  </w:r>
                </w:p>
              </w:tc>
              <w:tc>
                <w:tcPr>
                  <w:tcW w:w="211" w:type="pct"/>
                  <w:tcBorders>
                    <w:tl2br w:val="nil"/>
                    <w:tr2bl w:val="nil"/>
                  </w:tcBorders>
                  <w:shd w:val="clear" w:color="auto" w:fill="auto"/>
                  <w:tcMar>
                    <w:top w:w="0" w:type="dxa"/>
                    <w:left w:w="0" w:type="dxa"/>
                    <w:bottom w:w="0" w:type="dxa"/>
                    <w:right w:w="0" w:type="dxa"/>
                  </w:tcMar>
                  <w:vAlign w:val="center"/>
                </w:tcPr>
                <w:p w14:paraId="2E3999B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159.6</w:t>
                  </w:r>
                </w:p>
              </w:tc>
              <w:tc>
                <w:tcPr>
                  <w:tcW w:w="166" w:type="pct"/>
                  <w:tcBorders>
                    <w:tl2br w:val="nil"/>
                    <w:tr2bl w:val="nil"/>
                  </w:tcBorders>
                  <w:shd w:val="clear" w:color="auto" w:fill="auto"/>
                  <w:tcMar>
                    <w:top w:w="0" w:type="dxa"/>
                    <w:left w:w="0" w:type="dxa"/>
                    <w:bottom w:w="0" w:type="dxa"/>
                    <w:right w:w="0" w:type="dxa"/>
                  </w:tcMar>
                  <w:vAlign w:val="center"/>
                </w:tcPr>
                <w:p w14:paraId="31EAFF3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6B6C42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14B2D5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AC887C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2226649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5A1EC5F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E35FC5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684DE8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3FBDEB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13192C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77943E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76E4DC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A00833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5EE803D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68CCEC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F2F858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637BD7D">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5C402A4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涂层酸雾洗涤系统风机</w:t>
                  </w:r>
                </w:p>
              </w:tc>
              <w:tc>
                <w:tcPr>
                  <w:tcW w:w="264" w:type="pct"/>
                  <w:tcBorders>
                    <w:tl2br w:val="nil"/>
                    <w:tr2bl w:val="nil"/>
                  </w:tcBorders>
                  <w:shd w:val="clear" w:color="auto" w:fill="auto"/>
                  <w:tcMar>
                    <w:top w:w="0" w:type="dxa"/>
                    <w:left w:w="0" w:type="dxa"/>
                    <w:bottom w:w="0" w:type="dxa"/>
                    <w:right w:w="0" w:type="dxa"/>
                  </w:tcMar>
                  <w:vAlign w:val="center"/>
                </w:tcPr>
                <w:p w14:paraId="05FADE7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7FEC893">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10FC32A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66.2</w:t>
                  </w:r>
                </w:p>
              </w:tc>
              <w:tc>
                <w:tcPr>
                  <w:tcW w:w="242" w:type="pct"/>
                  <w:tcBorders>
                    <w:tl2br w:val="nil"/>
                    <w:tr2bl w:val="nil"/>
                  </w:tcBorders>
                  <w:shd w:val="clear" w:color="auto" w:fill="auto"/>
                  <w:tcMar>
                    <w:top w:w="0" w:type="dxa"/>
                    <w:left w:w="0" w:type="dxa"/>
                    <w:bottom w:w="0" w:type="dxa"/>
                    <w:right w:w="0" w:type="dxa"/>
                  </w:tcMar>
                  <w:vAlign w:val="center"/>
                </w:tcPr>
                <w:p w14:paraId="13D210F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24.6</w:t>
                  </w:r>
                </w:p>
              </w:tc>
              <w:tc>
                <w:tcPr>
                  <w:tcW w:w="120" w:type="pct"/>
                  <w:tcBorders>
                    <w:tl2br w:val="nil"/>
                    <w:tr2bl w:val="nil"/>
                  </w:tcBorders>
                  <w:shd w:val="clear" w:color="auto" w:fill="auto"/>
                  <w:tcMar>
                    <w:top w:w="0" w:type="dxa"/>
                    <w:left w:w="0" w:type="dxa"/>
                    <w:bottom w:w="0" w:type="dxa"/>
                    <w:right w:w="0" w:type="dxa"/>
                  </w:tcMar>
                  <w:vAlign w:val="center"/>
                </w:tcPr>
                <w:p w14:paraId="0A05A40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035AAF0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100.1</w:t>
                  </w:r>
                </w:p>
              </w:tc>
              <w:tc>
                <w:tcPr>
                  <w:tcW w:w="211" w:type="pct"/>
                  <w:tcBorders>
                    <w:tl2br w:val="nil"/>
                    <w:tr2bl w:val="nil"/>
                  </w:tcBorders>
                  <w:shd w:val="clear" w:color="auto" w:fill="auto"/>
                  <w:tcMar>
                    <w:top w:w="0" w:type="dxa"/>
                    <w:left w:w="0" w:type="dxa"/>
                    <w:bottom w:w="0" w:type="dxa"/>
                    <w:right w:w="0" w:type="dxa"/>
                  </w:tcMar>
                  <w:vAlign w:val="center"/>
                </w:tcPr>
                <w:p w14:paraId="01924E5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283.6</w:t>
                  </w:r>
                </w:p>
              </w:tc>
              <w:tc>
                <w:tcPr>
                  <w:tcW w:w="211" w:type="pct"/>
                  <w:tcBorders>
                    <w:tl2br w:val="nil"/>
                    <w:tr2bl w:val="nil"/>
                  </w:tcBorders>
                  <w:shd w:val="clear" w:color="auto" w:fill="auto"/>
                  <w:tcMar>
                    <w:top w:w="0" w:type="dxa"/>
                    <w:left w:w="0" w:type="dxa"/>
                    <w:bottom w:w="0" w:type="dxa"/>
                    <w:right w:w="0" w:type="dxa"/>
                  </w:tcMar>
                  <w:vAlign w:val="center"/>
                </w:tcPr>
                <w:p w14:paraId="0CABBC5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209.9</w:t>
                  </w:r>
                </w:p>
              </w:tc>
              <w:tc>
                <w:tcPr>
                  <w:tcW w:w="211" w:type="pct"/>
                  <w:tcBorders>
                    <w:tl2br w:val="nil"/>
                    <w:tr2bl w:val="nil"/>
                  </w:tcBorders>
                  <w:shd w:val="clear" w:color="auto" w:fill="auto"/>
                  <w:tcMar>
                    <w:top w:w="0" w:type="dxa"/>
                    <w:left w:w="0" w:type="dxa"/>
                    <w:bottom w:w="0" w:type="dxa"/>
                    <w:right w:w="0" w:type="dxa"/>
                  </w:tcMar>
                  <w:vAlign w:val="center"/>
                </w:tcPr>
                <w:p w14:paraId="3BED922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158.2</w:t>
                  </w:r>
                </w:p>
              </w:tc>
              <w:tc>
                <w:tcPr>
                  <w:tcW w:w="166" w:type="pct"/>
                  <w:tcBorders>
                    <w:tl2br w:val="nil"/>
                    <w:tr2bl w:val="nil"/>
                  </w:tcBorders>
                  <w:shd w:val="clear" w:color="auto" w:fill="auto"/>
                  <w:tcMar>
                    <w:top w:w="0" w:type="dxa"/>
                    <w:left w:w="0" w:type="dxa"/>
                    <w:bottom w:w="0" w:type="dxa"/>
                    <w:right w:w="0" w:type="dxa"/>
                  </w:tcMar>
                  <w:vAlign w:val="center"/>
                </w:tcPr>
                <w:p w14:paraId="6AA6B7F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A0006E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F85225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5C32CE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230C339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65768AB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DD60F7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C2BD3C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138F5E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BAC0A7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CE7D02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AADE02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88D336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2C9CB00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11D203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28543AB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106</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84FD8B8">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7CD473C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涂层酸雾洗涤系统水泵</w:t>
                  </w:r>
                </w:p>
              </w:tc>
              <w:tc>
                <w:tcPr>
                  <w:tcW w:w="264" w:type="pct"/>
                  <w:tcBorders>
                    <w:tl2br w:val="nil"/>
                    <w:tr2bl w:val="nil"/>
                  </w:tcBorders>
                  <w:shd w:val="clear" w:color="auto" w:fill="auto"/>
                  <w:tcMar>
                    <w:top w:w="0" w:type="dxa"/>
                    <w:left w:w="0" w:type="dxa"/>
                    <w:bottom w:w="0" w:type="dxa"/>
                    <w:right w:w="0" w:type="dxa"/>
                  </w:tcMar>
                  <w:vAlign w:val="center"/>
                </w:tcPr>
                <w:p w14:paraId="5F61946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1F627CF">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332B002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65.5</w:t>
                  </w:r>
                </w:p>
              </w:tc>
              <w:tc>
                <w:tcPr>
                  <w:tcW w:w="242" w:type="pct"/>
                  <w:tcBorders>
                    <w:tl2br w:val="nil"/>
                    <w:tr2bl w:val="nil"/>
                  </w:tcBorders>
                  <w:shd w:val="clear" w:color="auto" w:fill="auto"/>
                  <w:tcMar>
                    <w:top w:w="0" w:type="dxa"/>
                    <w:left w:w="0" w:type="dxa"/>
                    <w:bottom w:w="0" w:type="dxa"/>
                    <w:right w:w="0" w:type="dxa"/>
                  </w:tcMar>
                  <w:vAlign w:val="center"/>
                </w:tcPr>
                <w:p w14:paraId="41C15EB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24.8</w:t>
                  </w:r>
                </w:p>
              </w:tc>
              <w:tc>
                <w:tcPr>
                  <w:tcW w:w="120" w:type="pct"/>
                  <w:tcBorders>
                    <w:tl2br w:val="nil"/>
                    <w:tr2bl w:val="nil"/>
                  </w:tcBorders>
                  <w:shd w:val="clear" w:color="auto" w:fill="auto"/>
                  <w:tcMar>
                    <w:top w:w="0" w:type="dxa"/>
                    <w:left w:w="0" w:type="dxa"/>
                    <w:bottom w:w="0" w:type="dxa"/>
                    <w:right w:w="0" w:type="dxa"/>
                  </w:tcMar>
                  <w:vAlign w:val="center"/>
                </w:tcPr>
                <w:p w14:paraId="4CACFA2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536F4C4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100.8</w:t>
                  </w:r>
                </w:p>
              </w:tc>
              <w:tc>
                <w:tcPr>
                  <w:tcW w:w="211" w:type="pct"/>
                  <w:tcBorders>
                    <w:tl2br w:val="nil"/>
                    <w:tr2bl w:val="nil"/>
                  </w:tcBorders>
                  <w:shd w:val="clear" w:color="auto" w:fill="auto"/>
                  <w:tcMar>
                    <w:top w:w="0" w:type="dxa"/>
                    <w:left w:w="0" w:type="dxa"/>
                    <w:bottom w:w="0" w:type="dxa"/>
                    <w:right w:w="0" w:type="dxa"/>
                  </w:tcMar>
                  <w:vAlign w:val="center"/>
                </w:tcPr>
                <w:p w14:paraId="086E1AD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283.5</w:t>
                  </w:r>
                </w:p>
              </w:tc>
              <w:tc>
                <w:tcPr>
                  <w:tcW w:w="211" w:type="pct"/>
                  <w:tcBorders>
                    <w:tl2br w:val="nil"/>
                    <w:tr2bl w:val="nil"/>
                  </w:tcBorders>
                  <w:shd w:val="clear" w:color="auto" w:fill="auto"/>
                  <w:tcMar>
                    <w:top w:w="0" w:type="dxa"/>
                    <w:left w:w="0" w:type="dxa"/>
                    <w:bottom w:w="0" w:type="dxa"/>
                    <w:right w:w="0" w:type="dxa"/>
                  </w:tcMar>
                  <w:vAlign w:val="center"/>
                </w:tcPr>
                <w:p w14:paraId="32D59A6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209.7</w:t>
                  </w:r>
                </w:p>
              </w:tc>
              <w:tc>
                <w:tcPr>
                  <w:tcW w:w="211" w:type="pct"/>
                  <w:tcBorders>
                    <w:tl2br w:val="nil"/>
                    <w:tr2bl w:val="nil"/>
                  </w:tcBorders>
                  <w:shd w:val="clear" w:color="auto" w:fill="auto"/>
                  <w:tcMar>
                    <w:top w:w="0" w:type="dxa"/>
                    <w:left w:w="0" w:type="dxa"/>
                    <w:bottom w:w="0" w:type="dxa"/>
                    <w:right w:w="0" w:type="dxa"/>
                  </w:tcMar>
                  <w:vAlign w:val="center"/>
                </w:tcPr>
                <w:p w14:paraId="6742ECD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158.3</w:t>
                  </w:r>
                </w:p>
              </w:tc>
              <w:tc>
                <w:tcPr>
                  <w:tcW w:w="166" w:type="pct"/>
                  <w:tcBorders>
                    <w:tl2br w:val="nil"/>
                    <w:tr2bl w:val="nil"/>
                  </w:tcBorders>
                  <w:shd w:val="clear" w:color="auto" w:fill="auto"/>
                  <w:tcMar>
                    <w:top w:w="0" w:type="dxa"/>
                    <w:left w:w="0" w:type="dxa"/>
                    <w:bottom w:w="0" w:type="dxa"/>
                    <w:right w:w="0" w:type="dxa"/>
                  </w:tcMar>
                  <w:vAlign w:val="center"/>
                </w:tcPr>
                <w:p w14:paraId="529109F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1EDB06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0ACBA7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071FD9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75F0A72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028FB2D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26D238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77BDF3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FFDD04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B303B4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089251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CAB193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079723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0E29067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10152A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51873C6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107</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3D9C402">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12E1537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涂层酸雾洗涤系统水泵</w:t>
                  </w:r>
                </w:p>
              </w:tc>
              <w:tc>
                <w:tcPr>
                  <w:tcW w:w="264" w:type="pct"/>
                  <w:tcBorders>
                    <w:tl2br w:val="nil"/>
                    <w:tr2bl w:val="nil"/>
                  </w:tcBorders>
                  <w:shd w:val="clear" w:color="auto" w:fill="auto"/>
                  <w:tcMar>
                    <w:top w:w="0" w:type="dxa"/>
                    <w:left w:w="0" w:type="dxa"/>
                    <w:bottom w:w="0" w:type="dxa"/>
                    <w:right w:w="0" w:type="dxa"/>
                  </w:tcMar>
                  <w:vAlign w:val="center"/>
                </w:tcPr>
                <w:p w14:paraId="2BC3863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6504596">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7956BBE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65.6</w:t>
                  </w:r>
                </w:p>
              </w:tc>
              <w:tc>
                <w:tcPr>
                  <w:tcW w:w="242" w:type="pct"/>
                  <w:tcBorders>
                    <w:tl2br w:val="nil"/>
                    <w:tr2bl w:val="nil"/>
                  </w:tcBorders>
                  <w:shd w:val="clear" w:color="auto" w:fill="auto"/>
                  <w:tcMar>
                    <w:top w:w="0" w:type="dxa"/>
                    <w:left w:w="0" w:type="dxa"/>
                    <w:bottom w:w="0" w:type="dxa"/>
                    <w:right w:w="0" w:type="dxa"/>
                  </w:tcMar>
                  <w:vAlign w:val="center"/>
                </w:tcPr>
                <w:p w14:paraId="09A73CD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w:t>
                  </w:r>
                </w:p>
              </w:tc>
              <w:tc>
                <w:tcPr>
                  <w:tcW w:w="120" w:type="pct"/>
                  <w:tcBorders>
                    <w:tl2br w:val="nil"/>
                    <w:tr2bl w:val="nil"/>
                  </w:tcBorders>
                  <w:shd w:val="clear" w:color="auto" w:fill="auto"/>
                  <w:tcMar>
                    <w:top w:w="0" w:type="dxa"/>
                    <w:left w:w="0" w:type="dxa"/>
                    <w:bottom w:w="0" w:type="dxa"/>
                    <w:right w:w="0" w:type="dxa"/>
                  </w:tcMar>
                  <w:vAlign w:val="center"/>
                </w:tcPr>
                <w:p w14:paraId="6AE9868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55E44AE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101.2</w:t>
                  </w:r>
                </w:p>
              </w:tc>
              <w:tc>
                <w:tcPr>
                  <w:tcW w:w="211" w:type="pct"/>
                  <w:tcBorders>
                    <w:tl2br w:val="nil"/>
                    <w:tr2bl w:val="nil"/>
                  </w:tcBorders>
                  <w:shd w:val="clear" w:color="auto" w:fill="auto"/>
                  <w:tcMar>
                    <w:top w:w="0" w:type="dxa"/>
                    <w:left w:w="0" w:type="dxa"/>
                    <w:bottom w:w="0" w:type="dxa"/>
                    <w:right w:w="0" w:type="dxa"/>
                  </w:tcMar>
                  <w:vAlign w:val="center"/>
                </w:tcPr>
                <w:p w14:paraId="793B41B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284.6</w:t>
                  </w:r>
                </w:p>
              </w:tc>
              <w:tc>
                <w:tcPr>
                  <w:tcW w:w="211" w:type="pct"/>
                  <w:tcBorders>
                    <w:tl2br w:val="nil"/>
                    <w:tr2bl w:val="nil"/>
                  </w:tcBorders>
                  <w:shd w:val="clear" w:color="auto" w:fill="auto"/>
                  <w:tcMar>
                    <w:top w:w="0" w:type="dxa"/>
                    <w:left w:w="0" w:type="dxa"/>
                    <w:bottom w:w="0" w:type="dxa"/>
                    <w:right w:w="0" w:type="dxa"/>
                  </w:tcMar>
                  <w:vAlign w:val="center"/>
                </w:tcPr>
                <w:p w14:paraId="0488E5B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210.9</w:t>
                  </w:r>
                </w:p>
              </w:tc>
              <w:tc>
                <w:tcPr>
                  <w:tcW w:w="211" w:type="pct"/>
                  <w:tcBorders>
                    <w:tl2br w:val="nil"/>
                    <w:tr2bl w:val="nil"/>
                  </w:tcBorders>
                  <w:shd w:val="clear" w:color="auto" w:fill="auto"/>
                  <w:tcMar>
                    <w:top w:w="0" w:type="dxa"/>
                    <w:left w:w="0" w:type="dxa"/>
                    <w:bottom w:w="0" w:type="dxa"/>
                    <w:right w:w="0" w:type="dxa"/>
                  </w:tcMar>
                  <w:vAlign w:val="center"/>
                </w:tcPr>
                <w:p w14:paraId="2C5B4D1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157.2</w:t>
                  </w:r>
                </w:p>
              </w:tc>
              <w:tc>
                <w:tcPr>
                  <w:tcW w:w="166" w:type="pct"/>
                  <w:tcBorders>
                    <w:tl2br w:val="nil"/>
                    <w:tr2bl w:val="nil"/>
                  </w:tcBorders>
                  <w:shd w:val="clear" w:color="auto" w:fill="auto"/>
                  <w:tcMar>
                    <w:top w:w="0" w:type="dxa"/>
                    <w:left w:w="0" w:type="dxa"/>
                    <w:bottom w:w="0" w:type="dxa"/>
                    <w:right w:w="0" w:type="dxa"/>
                  </w:tcMar>
                  <w:vAlign w:val="center"/>
                </w:tcPr>
                <w:p w14:paraId="608C672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0A0478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755E4B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05B2BA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2F4EDF1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2B53F9E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D2FA52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0D0049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93FA66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F9D796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612568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27F927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24F5FB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3AEAF90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484D6A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5859D70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108</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42E09B0">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27D5044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热风干燥风机</w:t>
                  </w:r>
                </w:p>
              </w:tc>
              <w:tc>
                <w:tcPr>
                  <w:tcW w:w="264" w:type="pct"/>
                  <w:tcBorders>
                    <w:tl2br w:val="nil"/>
                    <w:tr2bl w:val="nil"/>
                  </w:tcBorders>
                  <w:shd w:val="clear" w:color="auto" w:fill="auto"/>
                  <w:tcMar>
                    <w:top w:w="0" w:type="dxa"/>
                    <w:left w:w="0" w:type="dxa"/>
                    <w:bottom w:w="0" w:type="dxa"/>
                    <w:right w:w="0" w:type="dxa"/>
                  </w:tcMar>
                  <w:vAlign w:val="center"/>
                </w:tcPr>
                <w:p w14:paraId="0BE02AF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4CBC716">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72363B3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66.1</w:t>
                  </w:r>
                </w:p>
              </w:tc>
              <w:tc>
                <w:tcPr>
                  <w:tcW w:w="242" w:type="pct"/>
                  <w:tcBorders>
                    <w:tl2br w:val="nil"/>
                    <w:tr2bl w:val="nil"/>
                  </w:tcBorders>
                  <w:shd w:val="clear" w:color="auto" w:fill="auto"/>
                  <w:tcMar>
                    <w:top w:w="0" w:type="dxa"/>
                    <w:left w:w="0" w:type="dxa"/>
                    <w:bottom w:w="0" w:type="dxa"/>
                    <w:right w:w="0" w:type="dxa"/>
                  </w:tcMar>
                  <w:vAlign w:val="center"/>
                </w:tcPr>
                <w:p w14:paraId="096EAD3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27.5</w:t>
                  </w:r>
                </w:p>
              </w:tc>
              <w:tc>
                <w:tcPr>
                  <w:tcW w:w="120" w:type="pct"/>
                  <w:tcBorders>
                    <w:tl2br w:val="nil"/>
                    <w:tr2bl w:val="nil"/>
                  </w:tcBorders>
                  <w:shd w:val="clear" w:color="auto" w:fill="auto"/>
                  <w:tcMar>
                    <w:top w:w="0" w:type="dxa"/>
                    <w:left w:w="0" w:type="dxa"/>
                    <w:bottom w:w="0" w:type="dxa"/>
                    <w:right w:w="0" w:type="dxa"/>
                  </w:tcMar>
                  <w:vAlign w:val="center"/>
                </w:tcPr>
                <w:p w14:paraId="55A334C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4455BEA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101.3</w:t>
                  </w:r>
                </w:p>
              </w:tc>
              <w:tc>
                <w:tcPr>
                  <w:tcW w:w="211" w:type="pct"/>
                  <w:tcBorders>
                    <w:tl2br w:val="nil"/>
                    <w:tr2bl w:val="nil"/>
                  </w:tcBorders>
                  <w:shd w:val="clear" w:color="auto" w:fill="auto"/>
                  <w:tcMar>
                    <w:top w:w="0" w:type="dxa"/>
                    <w:left w:w="0" w:type="dxa"/>
                    <w:bottom w:w="0" w:type="dxa"/>
                    <w:right w:w="0" w:type="dxa"/>
                  </w:tcMar>
                  <w:vAlign w:val="center"/>
                </w:tcPr>
                <w:p w14:paraId="666E80C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286.2</w:t>
                  </w:r>
                </w:p>
              </w:tc>
              <w:tc>
                <w:tcPr>
                  <w:tcW w:w="211" w:type="pct"/>
                  <w:tcBorders>
                    <w:tl2br w:val="nil"/>
                    <w:tr2bl w:val="nil"/>
                  </w:tcBorders>
                  <w:shd w:val="clear" w:color="auto" w:fill="auto"/>
                  <w:tcMar>
                    <w:top w:w="0" w:type="dxa"/>
                    <w:left w:w="0" w:type="dxa"/>
                    <w:bottom w:w="0" w:type="dxa"/>
                    <w:right w:w="0" w:type="dxa"/>
                  </w:tcMar>
                  <w:vAlign w:val="center"/>
                </w:tcPr>
                <w:p w14:paraId="37B78E6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212.4</w:t>
                  </w:r>
                </w:p>
              </w:tc>
              <w:tc>
                <w:tcPr>
                  <w:tcW w:w="211" w:type="pct"/>
                  <w:tcBorders>
                    <w:tl2br w:val="nil"/>
                    <w:tr2bl w:val="nil"/>
                  </w:tcBorders>
                  <w:shd w:val="clear" w:color="auto" w:fill="auto"/>
                  <w:tcMar>
                    <w:top w:w="0" w:type="dxa"/>
                    <w:left w:w="0" w:type="dxa"/>
                    <w:bottom w:w="0" w:type="dxa"/>
                    <w:right w:w="0" w:type="dxa"/>
                  </w:tcMar>
                  <w:vAlign w:val="center"/>
                </w:tcPr>
                <w:p w14:paraId="377515A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155.6</w:t>
                  </w:r>
                </w:p>
              </w:tc>
              <w:tc>
                <w:tcPr>
                  <w:tcW w:w="166" w:type="pct"/>
                  <w:tcBorders>
                    <w:tl2br w:val="nil"/>
                    <w:tr2bl w:val="nil"/>
                  </w:tcBorders>
                  <w:shd w:val="clear" w:color="auto" w:fill="auto"/>
                  <w:tcMar>
                    <w:top w:w="0" w:type="dxa"/>
                    <w:left w:w="0" w:type="dxa"/>
                    <w:bottom w:w="0" w:type="dxa"/>
                    <w:right w:w="0" w:type="dxa"/>
                  </w:tcMar>
                  <w:vAlign w:val="center"/>
                </w:tcPr>
                <w:p w14:paraId="628103E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F93814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FFE163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A60B2A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62F27DA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4629F3E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A2CB9C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D99FD0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415F87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B54052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4A62F6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E971C7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3F6CEA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2B6447A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076905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237CBE0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109</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7F51FE9">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4E0ECBE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DF助燃风机</w:t>
                  </w:r>
                </w:p>
              </w:tc>
              <w:tc>
                <w:tcPr>
                  <w:tcW w:w="264" w:type="pct"/>
                  <w:tcBorders>
                    <w:tl2br w:val="nil"/>
                    <w:tr2bl w:val="nil"/>
                  </w:tcBorders>
                  <w:shd w:val="clear" w:color="auto" w:fill="auto"/>
                  <w:tcMar>
                    <w:top w:w="0" w:type="dxa"/>
                    <w:left w:w="0" w:type="dxa"/>
                    <w:bottom w:w="0" w:type="dxa"/>
                    <w:right w:w="0" w:type="dxa"/>
                  </w:tcMar>
                  <w:vAlign w:val="center"/>
                </w:tcPr>
                <w:p w14:paraId="5E7B2E9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5967943">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0E130C4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66.8</w:t>
                  </w:r>
                </w:p>
              </w:tc>
              <w:tc>
                <w:tcPr>
                  <w:tcW w:w="242" w:type="pct"/>
                  <w:tcBorders>
                    <w:tl2br w:val="nil"/>
                    <w:tr2bl w:val="nil"/>
                  </w:tcBorders>
                  <w:shd w:val="clear" w:color="auto" w:fill="auto"/>
                  <w:tcMar>
                    <w:top w:w="0" w:type="dxa"/>
                    <w:left w:w="0" w:type="dxa"/>
                    <w:bottom w:w="0" w:type="dxa"/>
                    <w:right w:w="0" w:type="dxa"/>
                  </w:tcMar>
                  <w:vAlign w:val="center"/>
                </w:tcPr>
                <w:p w14:paraId="1876C07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30</w:t>
                  </w:r>
                </w:p>
              </w:tc>
              <w:tc>
                <w:tcPr>
                  <w:tcW w:w="120" w:type="pct"/>
                  <w:tcBorders>
                    <w:tl2br w:val="nil"/>
                    <w:tr2bl w:val="nil"/>
                  </w:tcBorders>
                  <w:shd w:val="clear" w:color="auto" w:fill="auto"/>
                  <w:tcMar>
                    <w:top w:w="0" w:type="dxa"/>
                    <w:left w:w="0" w:type="dxa"/>
                    <w:bottom w:w="0" w:type="dxa"/>
                    <w:right w:w="0" w:type="dxa"/>
                  </w:tcMar>
                  <w:vAlign w:val="center"/>
                </w:tcPr>
                <w:p w14:paraId="006E0A6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6137798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101.5</w:t>
                  </w:r>
                </w:p>
              </w:tc>
              <w:tc>
                <w:tcPr>
                  <w:tcW w:w="211" w:type="pct"/>
                  <w:tcBorders>
                    <w:tl2br w:val="nil"/>
                    <w:tr2bl w:val="nil"/>
                  </w:tcBorders>
                  <w:shd w:val="clear" w:color="auto" w:fill="auto"/>
                  <w:tcMar>
                    <w:top w:w="0" w:type="dxa"/>
                    <w:left w:w="0" w:type="dxa"/>
                    <w:bottom w:w="0" w:type="dxa"/>
                    <w:right w:w="0" w:type="dxa"/>
                  </w:tcMar>
                  <w:vAlign w:val="center"/>
                </w:tcPr>
                <w:p w14:paraId="0AE44A7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288.8</w:t>
                  </w:r>
                </w:p>
              </w:tc>
              <w:tc>
                <w:tcPr>
                  <w:tcW w:w="211" w:type="pct"/>
                  <w:tcBorders>
                    <w:tl2br w:val="nil"/>
                    <w:tr2bl w:val="nil"/>
                  </w:tcBorders>
                  <w:shd w:val="clear" w:color="auto" w:fill="auto"/>
                  <w:tcMar>
                    <w:top w:w="0" w:type="dxa"/>
                    <w:left w:w="0" w:type="dxa"/>
                    <w:bottom w:w="0" w:type="dxa"/>
                    <w:right w:w="0" w:type="dxa"/>
                  </w:tcMar>
                  <w:vAlign w:val="center"/>
                </w:tcPr>
                <w:p w14:paraId="7C52B50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215.0</w:t>
                  </w:r>
                </w:p>
              </w:tc>
              <w:tc>
                <w:tcPr>
                  <w:tcW w:w="211" w:type="pct"/>
                  <w:tcBorders>
                    <w:tl2br w:val="nil"/>
                    <w:tr2bl w:val="nil"/>
                  </w:tcBorders>
                  <w:shd w:val="clear" w:color="auto" w:fill="auto"/>
                  <w:tcMar>
                    <w:top w:w="0" w:type="dxa"/>
                    <w:left w:w="0" w:type="dxa"/>
                    <w:bottom w:w="0" w:type="dxa"/>
                    <w:right w:w="0" w:type="dxa"/>
                  </w:tcMar>
                  <w:vAlign w:val="center"/>
                </w:tcPr>
                <w:p w14:paraId="2A13356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153.1</w:t>
                  </w:r>
                </w:p>
              </w:tc>
              <w:tc>
                <w:tcPr>
                  <w:tcW w:w="166" w:type="pct"/>
                  <w:tcBorders>
                    <w:tl2br w:val="nil"/>
                    <w:tr2bl w:val="nil"/>
                  </w:tcBorders>
                  <w:shd w:val="clear" w:color="auto" w:fill="auto"/>
                  <w:tcMar>
                    <w:top w:w="0" w:type="dxa"/>
                    <w:left w:w="0" w:type="dxa"/>
                    <w:bottom w:w="0" w:type="dxa"/>
                    <w:right w:w="0" w:type="dxa"/>
                  </w:tcMar>
                  <w:vAlign w:val="center"/>
                </w:tcPr>
                <w:p w14:paraId="71CA4B3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76145C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4659B7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E1C26A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03E7FE8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2C68C53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9F6B8C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7E47A8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C0F538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16DD42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97FFD3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E7A099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6F1D50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2640141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2CD34E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C02624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A9628F9">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2C46992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DF废气风机</w:t>
                  </w:r>
                </w:p>
              </w:tc>
              <w:tc>
                <w:tcPr>
                  <w:tcW w:w="264" w:type="pct"/>
                  <w:tcBorders>
                    <w:tl2br w:val="nil"/>
                    <w:tr2bl w:val="nil"/>
                  </w:tcBorders>
                  <w:shd w:val="clear" w:color="auto" w:fill="auto"/>
                  <w:tcMar>
                    <w:top w:w="0" w:type="dxa"/>
                    <w:left w:w="0" w:type="dxa"/>
                    <w:bottom w:w="0" w:type="dxa"/>
                    <w:right w:w="0" w:type="dxa"/>
                  </w:tcMar>
                  <w:vAlign w:val="center"/>
                </w:tcPr>
                <w:p w14:paraId="493AE09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8E0BDCA">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291FBCB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67.2</w:t>
                  </w:r>
                </w:p>
              </w:tc>
              <w:tc>
                <w:tcPr>
                  <w:tcW w:w="242" w:type="pct"/>
                  <w:tcBorders>
                    <w:tl2br w:val="nil"/>
                    <w:tr2bl w:val="nil"/>
                  </w:tcBorders>
                  <w:shd w:val="clear" w:color="auto" w:fill="auto"/>
                  <w:tcMar>
                    <w:top w:w="0" w:type="dxa"/>
                    <w:left w:w="0" w:type="dxa"/>
                    <w:bottom w:w="0" w:type="dxa"/>
                    <w:right w:w="0" w:type="dxa"/>
                  </w:tcMar>
                  <w:vAlign w:val="center"/>
                </w:tcPr>
                <w:p w14:paraId="6B1C08A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32.8</w:t>
                  </w:r>
                </w:p>
              </w:tc>
              <w:tc>
                <w:tcPr>
                  <w:tcW w:w="120" w:type="pct"/>
                  <w:tcBorders>
                    <w:tl2br w:val="nil"/>
                    <w:tr2bl w:val="nil"/>
                  </w:tcBorders>
                  <w:shd w:val="clear" w:color="auto" w:fill="auto"/>
                  <w:tcMar>
                    <w:top w:w="0" w:type="dxa"/>
                    <w:left w:w="0" w:type="dxa"/>
                    <w:bottom w:w="0" w:type="dxa"/>
                    <w:right w:w="0" w:type="dxa"/>
                  </w:tcMar>
                  <w:vAlign w:val="center"/>
                </w:tcPr>
                <w:p w14:paraId="4591C0E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580CD92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102.2</w:t>
                  </w:r>
                </w:p>
              </w:tc>
              <w:tc>
                <w:tcPr>
                  <w:tcW w:w="211" w:type="pct"/>
                  <w:tcBorders>
                    <w:tl2br w:val="nil"/>
                    <w:tr2bl w:val="nil"/>
                  </w:tcBorders>
                  <w:shd w:val="clear" w:color="auto" w:fill="auto"/>
                  <w:tcMar>
                    <w:top w:w="0" w:type="dxa"/>
                    <w:left w:w="0" w:type="dxa"/>
                    <w:bottom w:w="0" w:type="dxa"/>
                    <w:right w:w="0" w:type="dxa"/>
                  </w:tcMar>
                  <w:vAlign w:val="center"/>
                </w:tcPr>
                <w:p w14:paraId="4947F88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291.5</w:t>
                  </w:r>
                </w:p>
              </w:tc>
              <w:tc>
                <w:tcPr>
                  <w:tcW w:w="211" w:type="pct"/>
                  <w:tcBorders>
                    <w:tl2br w:val="nil"/>
                    <w:tr2bl w:val="nil"/>
                  </w:tcBorders>
                  <w:shd w:val="clear" w:color="auto" w:fill="auto"/>
                  <w:tcMar>
                    <w:top w:w="0" w:type="dxa"/>
                    <w:left w:w="0" w:type="dxa"/>
                    <w:bottom w:w="0" w:type="dxa"/>
                    <w:right w:w="0" w:type="dxa"/>
                  </w:tcMar>
                  <w:vAlign w:val="center"/>
                </w:tcPr>
                <w:p w14:paraId="7CAAB0F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217.7</w:t>
                  </w:r>
                </w:p>
              </w:tc>
              <w:tc>
                <w:tcPr>
                  <w:tcW w:w="211" w:type="pct"/>
                  <w:tcBorders>
                    <w:tl2br w:val="nil"/>
                    <w:tr2bl w:val="nil"/>
                  </w:tcBorders>
                  <w:shd w:val="clear" w:color="auto" w:fill="auto"/>
                  <w:tcMar>
                    <w:top w:w="0" w:type="dxa"/>
                    <w:left w:w="0" w:type="dxa"/>
                    <w:bottom w:w="0" w:type="dxa"/>
                    <w:right w:w="0" w:type="dxa"/>
                  </w:tcMar>
                  <w:vAlign w:val="center"/>
                </w:tcPr>
                <w:p w14:paraId="012E4A2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150.4</w:t>
                  </w:r>
                </w:p>
              </w:tc>
              <w:tc>
                <w:tcPr>
                  <w:tcW w:w="166" w:type="pct"/>
                  <w:tcBorders>
                    <w:tl2br w:val="nil"/>
                    <w:tr2bl w:val="nil"/>
                  </w:tcBorders>
                  <w:shd w:val="clear" w:color="auto" w:fill="auto"/>
                  <w:tcMar>
                    <w:top w:w="0" w:type="dxa"/>
                    <w:left w:w="0" w:type="dxa"/>
                    <w:bottom w:w="0" w:type="dxa"/>
                    <w:right w:w="0" w:type="dxa"/>
                  </w:tcMar>
                  <w:vAlign w:val="center"/>
                </w:tcPr>
                <w:p w14:paraId="069D1DF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196716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EDE471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8C31E4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29A558F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7CB2A29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7914A1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59FAC3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47DC7F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8BDE67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CB11D7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367DA9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3F47DA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2E14916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7A0178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0D496FE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111</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533FA8C">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56EEF68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DF排气风机</w:t>
                  </w:r>
                </w:p>
              </w:tc>
              <w:tc>
                <w:tcPr>
                  <w:tcW w:w="264" w:type="pct"/>
                  <w:tcBorders>
                    <w:tl2br w:val="nil"/>
                    <w:tr2bl w:val="nil"/>
                  </w:tcBorders>
                  <w:shd w:val="clear" w:color="auto" w:fill="auto"/>
                  <w:tcMar>
                    <w:top w:w="0" w:type="dxa"/>
                    <w:left w:w="0" w:type="dxa"/>
                    <w:bottom w:w="0" w:type="dxa"/>
                    <w:right w:w="0" w:type="dxa"/>
                  </w:tcMar>
                  <w:vAlign w:val="center"/>
                </w:tcPr>
                <w:p w14:paraId="0037755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BE5ADD0">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70882F3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68.1</w:t>
                  </w:r>
                </w:p>
              </w:tc>
              <w:tc>
                <w:tcPr>
                  <w:tcW w:w="242" w:type="pct"/>
                  <w:tcBorders>
                    <w:tl2br w:val="nil"/>
                    <w:tr2bl w:val="nil"/>
                  </w:tcBorders>
                  <w:shd w:val="clear" w:color="auto" w:fill="auto"/>
                  <w:tcMar>
                    <w:top w:w="0" w:type="dxa"/>
                    <w:left w:w="0" w:type="dxa"/>
                    <w:bottom w:w="0" w:type="dxa"/>
                    <w:right w:w="0" w:type="dxa"/>
                  </w:tcMar>
                  <w:vAlign w:val="center"/>
                </w:tcPr>
                <w:p w14:paraId="71297A0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35.4</w:t>
                  </w:r>
                </w:p>
              </w:tc>
              <w:tc>
                <w:tcPr>
                  <w:tcW w:w="120" w:type="pct"/>
                  <w:tcBorders>
                    <w:tl2br w:val="nil"/>
                    <w:tr2bl w:val="nil"/>
                  </w:tcBorders>
                  <w:shd w:val="clear" w:color="auto" w:fill="auto"/>
                  <w:tcMar>
                    <w:top w:w="0" w:type="dxa"/>
                    <w:left w:w="0" w:type="dxa"/>
                    <w:bottom w:w="0" w:type="dxa"/>
                    <w:right w:w="0" w:type="dxa"/>
                  </w:tcMar>
                  <w:vAlign w:val="center"/>
                </w:tcPr>
                <w:p w14:paraId="377ECE4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5178632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102.3</w:t>
                  </w:r>
                </w:p>
              </w:tc>
              <w:tc>
                <w:tcPr>
                  <w:tcW w:w="211" w:type="pct"/>
                  <w:tcBorders>
                    <w:tl2br w:val="nil"/>
                    <w:tr2bl w:val="nil"/>
                  </w:tcBorders>
                  <w:shd w:val="clear" w:color="auto" w:fill="auto"/>
                  <w:tcMar>
                    <w:top w:w="0" w:type="dxa"/>
                    <w:left w:w="0" w:type="dxa"/>
                    <w:bottom w:w="0" w:type="dxa"/>
                    <w:right w:w="0" w:type="dxa"/>
                  </w:tcMar>
                  <w:vAlign w:val="center"/>
                </w:tcPr>
                <w:p w14:paraId="60C7D0C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294.3</w:t>
                  </w:r>
                </w:p>
              </w:tc>
              <w:tc>
                <w:tcPr>
                  <w:tcW w:w="211" w:type="pct"/>
                  <w:tcBorders>
                    <w:tl2br w:val="nil"/>
                    <w:tr2bl w:val="nil"/>
                  </w:tcBorders>
                  <w:shd w:val="clear" w:color="auto" w:fill="auto"/>
                  <w:tcMar>
                    <w:top w:w="0" w:type="dxa"/>
                    <w:left w:w="0" w:type="dxa"/>
                    <w:bottom w:w="0" w:type="dxa"/>
                    <w:right w:w="0" w:type="dxa"/>
                  </w:tcMar>
                  <w:vAlign w:val="center"/>
                </w:tcPr>
                <w:p w14:paraId="69A82A8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220.4</w:t>
                  </w:r>
                </w:p>
              </w:tc>
              <w:tc>
                <w:tcPr>
                  <w:tcW w:w="211" w:type="pct"/>
                  <w:tcBorders>
                    <w:tl2br w:val="nil"/>
                    <w:tr2bl w:val="nil"/>
                  </w:tcBorders>
                  <w:shd w:val="clear" w:color="auto" w:fill="auto"/>
                  <w:tcMar>
                    <w:top w:w="0" w:type="dxa"/>
                    <w:left w:w="0" w:type="dxa"/>
                    <w:bottom w:w="0" w:type="dxa"/>
                    <w:right w:w="0" w:type="dxa"/>
                  </w:tcMar>
                  <w:vAlign w:val="center"/>
                </w:tcPr>
                <w:p w14:paraId="022AF55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147.6</w:t>
                  </w:r>
                </w:p>
              </w:tc>
              <w:tc>
                <w:tcPr>
                  <w:tcW w:w="166" w:type="pct"/>
                  <w:tcBorders>
                    <w:tl2br w:val="nil"/>
                    <w:tr2bl w:val="nil"/>
                  </w:tcBorders>
                  <w:shd w:val="clear" w:color="auto" w:fill="auto"/>
                  <w:tcMar>
                    <w:top w:w="0" w:type="dxa"/>
                    <w:left w:w="0" w:type="dxa"/>
                    <w:bottom w:w="0" w:type="dxa"/>
                    <w:right w:w="0" w:type="dxa"/>
                  </w:tcMar>
                  <w:vAlign w:val="center"/>
                </w:tcPr>
                <w:p w14:paraId="01675B1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66CB50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4AE34F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2AA85D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1D143FE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66636E9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0021AE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72030F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A98E33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62A4B2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0A6AF7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078EF8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C022E4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4C33AE8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07A7BC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32E674E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112</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2625FCE">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1976CEF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DF排气风机</w:t>
                  </w:r>
                </w:p>
              </w:tc>
              <w:tc>
                <w:tcPr>
                  <w:tcW w:w="264" w:type="pct"/>
                  <w:tcBorders>
                    <w:tl2br w:val="nil"/>
                    <w:tr2bl w:val="nil"/>
                  </w:tcBorders>
                  <w:shd w:val="clear" w:color="auto" w:fill="auto"/>
                  <w:tcMar>
                    <w:top w:w="0" w:type="dxa"/>
                    <w:left w:w="0" w:type="dxa"/>
                    <w:bottom w:w="0" w:type="dxa"/>
                    <w:right w:w="0" w:type="dxa"/>
                  </w:tcMar>
                  <w:vAlign w:val="center"/>
                </w:tcPr>
                <w:p w14:paraId="6564223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BD26338">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4E46010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68.5</w:t>
                  </w:r>
                </w:p>
              </w:tc>
              <w:tc>
                <w:tcPr>
                  <w:tcW w:w="242" w:type="pct"/>
                  <w:tcBorders>
                    <w:tl2br w:val="nil"/>
                    <w:tr2bl w:val="nil"/>
                  </w:tcBorders>
                  <w:shd w:val="clear" w:color="auto" w:fill="auto"/>
                  <w:tcMar>
                    <w:top w:w="0" w:type="dxa"/>
                    <w:left w:w="0" w:type="dxa"/>
                    <w:bottom w:w="0" w:type="dxa"/>
                    <w:right w:w="0" w:type="dxa"/>
                  </w:tcMar>
                  <w:vAlign w:val="center"/>
                </w:tcPr>
                <w:p w14:paraId="0927F54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36.7</w:t>
                  </w:r>
                </w:p>
              </w:tc>
              <w:tc>
                <w:tcPr>
                  <w:tcW w:w="120" w:type="pct"/>
                  <w:tcBorders>
                    <w:tl2br w:val="nil"/>
                    <w:tr2bl w:val="nil"/>
                  </w:tcBorders>
                  <w:shd w:val="clear" w:color="auto" w:fill="auto"/>
                  <w:tcMar>
                    <w:top w:w="0" w:type="dxa"/>
                    <w:left w:w="0" w:type="dxa"/>
                    <w:bottom w:w="0" w:type="dxa"/>
                    <w:right w:w="0" w:type="dxa"/>
                  </w:tcMar>
                  <w:vAlign w:val="center"/>
                </w:tcPr>
                <w:p w14:paraId="68783C5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6FD47AA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102.4</w:t>
                  </w:r>
                </w:p>
              </w:tc>
              <w:tc>
                <w:tcPr>
                  <w:tcW w:w="211" w:type="pct"/>
                  <w:tcBorders>
                    <w:tl2br w:val="nil"/>
                    <w:tr2bl w:val="nil"/>
                  </w:tcBorders>
                  <w:shd w:val="clear" w:color="auto" w:fill="auto"/>
                  <w:tcMar>
                    <w:top w:w="0" w:type="dxa"/>
                    <w:left w:w="0" w:type="dxa"/>
                    <w:bottom w:w="0" w:type="dxa"/>
                    <w:right w:w="0" w:type="dxa"/>
                  </w:tcMar>
                  <w:vAlign w:val="center"/>
                </w:tcPr>
                <w:p w14:paraId="2D33771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295.6</w:t>
                  </w:r>
                </w:p>
              </w:tc>
              <w:tc>
                <w:tcPr>
                  <w:tcW w:w="211" w:type="pct"/>
                  <w:tcBorders>
                    <w:tl2br w:val="nil"/>
                    <w:tr2bl w:val="nil"/>
                  </w:tcBorders>
                  <w:shd w:val="clear" w:color="auto" w:fill="auto"/>
                  <w:tcMar>
                    <w:top w:w="0" w:type="dxa"/>
                    <w:left w:w="0" w:type="dxa"/>
                    <w:bottom w:w="0" w:type="dxa"/>
                    <w:right w:w="0" w:type="dxa"/>
                  </w:tcMar>
                  <w:vAlign w:val="center"/>
                </w:tcPr>
                <w:p w14:paraId="02506A9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221.8</w:t>
                  </w:r>
                </w:p>
              </w:tc>
              <w:tc>
                <w:tcPr>
                  <w:tcW w:w="211" w:type="pct"/>
                  <w:tcBorders>
                    <w:tl2br w:val="nil"/>
                    <w:tr2bl w:val="nil"/>
                  </w:tcBorders>
                  <w:shd w:val="clear" w:color="auto" w:fill="auto"/>
                  <w:tcMar>
                    <w:top w:w="0" w:type="dxa"/>
                    <w:left w:w="0" w:type="dxa"/>
                    <w:bottom w:w="0" w:type="dxa"/>
                    <w:right w:w="0" w:type="dxa"/>
                  </w:tcMar>
                  <w:vAlign w:val="center"/>
                </w:tcPr>
                <w:p w14:paraId="21AF6C0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146.3</w:t>
                  </w:r>
                </w:p>
              </w:tc>
              <w:tc>
                <w:tcPr>
                  <w:tcW w:w="166" w:type="pct"/>
                  <w:tcBorders>
                    <w:tl2br w:val="nil"/>
                    <w:tr2bl w:val="nil"/>
                  </w:tcBorders>
                  <w:shd w:val="clear" w:color="auto" w:fill="auto"/>
                  <w:tcMar>
                    <w:top w:w="0" w:type="dxa"/>
                    <w:left w:w="0" w:type="dxa"/>
                    <w:bottom w:w="0" w:type="dxa"/>
                    <w:right w:w="0" w:type="dxa"/>
                  </w:tcMar>
                  <w:vAlign w:val="center"/>
                </w:tcPr>
                <w:p w14:paraId="4128370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9B30A5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2299B6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ADC5AF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08B1700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526DC10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DCEE8F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95F44B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1F7F7B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D66EF0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6F92D1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01B8D0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167485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78F07F7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4B8BF3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B3AE08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113</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A11544E">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254B609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RTF助燃风机</w:t>
                  </w:r>
                </w:p>
              </w:tc>
              <w:tc>
                <w:tcPr>
                  <w:tcW w:w="264" w:type="pct"/>
                  <w:tcBorders>
                    <w:tl2br w:val="nil"/>
                    <w:tr2bl w:val="nil"/>
                  </w:tcBorders>
                  <w:shd w:val="clear" w:color="auto" w:fill="auto"/>
                  <w:tcMar>
                    <w:top w:w="0" w:type="dxa"/>
                    <w:left w:w="0" w:type="dxa"/>
                    <w:bottom w:w="0" w:type="dxa"/>
                    <w:right w:w="0" w:type="dxa"/>
                  </w:tcMar>
                  <w:vAlign w:val="center"/>
                </w:tcPr>
                <w:p w14:paraId="3518EB4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E2F9F64">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61B58A0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69.4</w:t>
                  </w:r>
                </w:p>
              </w:tc>
              <w:tc>
                <w:tcPr>
                  <w:tcW w:w="242" w:type="pct"/>
                  <w:tcBorders>
                    <w:tl2br w:val="nil"/>
                    <w:tr2bl w:val="nil"/>
                  </w:tcBorders>
                  <w:shd w:val="clear" w:color="auto" w:fill="auto"/>
                  <w:tcMar>
                    <w:top w:w="0" w:type="dxa"/>
                    <w:left w:w="0" w:type="dxa"/>
                    <w:bottom w:w="0" w:type="dxa"/>
                    <w:right w:w="0" w:type="dxa"/>
                  </w:tcMar>
                  <w:vAlign w:val="center"/>
                </w:tcPr>
                <w:p w14:paraId="4E1810D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38.2</w:t>
                  </w:r>
                </w:p>
              </w:tc>
              <w:tc>
                <w:tcPr>
                  <w:tcW w:w="120" w:type="pct"/>
                  <w:tcBorders>
                    <w:tl2br w:val="nil"/>
                    <w:tr2bl w:val="nil"/>
                  </w:tcBorders>
                  <w:shd w:val="clear" w:color="auto" w:fill="auto"/>
                  <w:tcMar>
                    <w:top w:w="0" w:type="dxa"/>
                    <w:left w:w="0" w:type="dxa"/>
                    <w:bottom w:w="0" w:type="dxa"/>
                    <w:right w:w="0" w:type="dxa"/>
                  </w:tcMar>
                  <w:vAlign w:val="center"/>
                </w:tcPr>
                <w:p w14:paraId="3A0E55C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1F3D1BD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102.1</w:t>
                  </w:r>
                </w:p>
              </w:tc>
              <w:tc>
                <w:tcPr>
                  <w:tcW w:w="211" w:type="pct"/>
                  <w:tcBorders>
                    <w:tl2br w:val="nil"/>
                    <w:tr2bl w:val="nil"/>
                  </w:tcBorders>
                  <w:shd w:val="clear" w:color="auto" w:fill="auto"/>
                  <w:tcMar>
                    <w:top w:w="0" w:type="dxa"/>
                    <w:left w:w="0" w:type="dxa"/>
                    <w:bottom w:w="0" w:type="dxa"/>
                    <w:right w:w="0" w:type="dxa"/>
                  </w:tcMar>
                  <w:vAlign w:val="center"/>
                </w:tcPr>
                <w:p w14:paraId="1C6C276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297.4</w:t>
                  </w:r>
                </w:p>
              </w:tc>
              <w:tc>
                <w:tcPr>
                  <w:tcW w:w="211" w:type="pct"/>
                  <w:tcBorders>
                    <w:tl2br w:val="nil"/>
                    <w:tr2bl w:val="nil"/>
                  </w:tcBorders>
                  <w:shd w:val="clear" w:color="auto" w:fill="auto"/>
                  <w:tcMar>
                    <w:top w:w="0" w:type="dxa"/>
                    <w:left w:w="0" w:type="dxa"/>
                    <w:bottom w:w="0" w:type="dxa"/>
                    <w:right w:w="0" w:type="dxa"/>
                  </w:tcMar>
                  <w:vAlign w:val="center"/>
                </w:tcPr>
                <w:p w14:paraId="21ED5A8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223.5</w:t>
                  </w:r>
                </w:p>
              </w:tc>
              <w:tc>
                <w:tcPr>
                  <w:tcW w:w="211" w:type="pct"/>
                  <w:tcBorders>
                    <w:tl2br w:val="nil"/>
                    <w:tr2bl w:val="nil"/>
                  </w:tcBorders>
                  <w:shd w:val="clear" w:color="auto" w:fill="auto"/>
                  <w:tcMar>
                    <w:top w:w="0" w:type="dxa"/>
                    <w:left w:w="0" w:type="dxa"/>
                    <w:bottom w:w="0" w:type="dxa"/>
                    <w:right w:w="0" w:type="dxa"/>
                  </w:tcMar>
                  <w:vAlign w:val="center"/>
                </w:tcPr>
                <w:p w14:paraId="5412D31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144.5</w:t>
                  </w:r>
                </w:p>
              </w:tc>
              <w:tc>
                <w:tcPr>
                  <w:tcW w:w="166" w:type="pct"/>
                  <w:tcBorders>
                    <w:tl2br w:val="nil"/>
                    <w:tr2bl w:val="nil"/>
                  </w:tcBorders>
                  <w:shd w:val="clear" w:color="auto" w:fill="auto"/>
                  <w:tcMar>
                    <w:top w:w="0" w:type="dxa"/>
                    <w:left w:w="0" w:type="dxa"/>
                    <w:bottom w:w="0" w:type="dxa"/>
                    <w:right w:w="0" w:type="dxa"/>
                  </w:tcMar>
                  <w:vAlign w:val="center"/>
                </w:tcPr>
                <w:p w14:paraId="66A0447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FDB22C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BE78D6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2F70E7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3398085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32402AD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6ED000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5CC207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056E86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3B1CF8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CAA6E8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84228F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BEADDE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4BD3820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77F73C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331FBCB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114</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B58214A">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138A783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RTF排烟风机</w:t>
                  </w:r>
                </w:p>
              </w:tc>
              <w:tc>
                <w:tcPr>
                  <w:tcW w:w="264" w:type="pct"/>
                  <w:tcBorders>
                    <w:tl2br w:val="nil"/>
                    <w:tr2bl w:val="nil"/>
                  </w:tcBorders>
                  <w:shd w:val="clear" w:color="auto" w:fill="auto"/>
                  <w:tcMar>
                    <w:top w:w="0" w:type="dxa"/>
                    <w:left w:w="0" w:type="dxa"/>
                    <w:bottom w:w="0" w:type="dxa"/>
                    <w:right w:w="0" w:type="dxa"/>
                  </w:tcMar>
                  <w:vAlign w:val="center"/>
                </w:tcPr>
                <w:p w14:paraId="2140391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9B3A840">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6CFEB80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70.4</w:t>
                  </w:r>
                </w:p>
              </w:tc>
              <w:tc>
                <w:tcPr>
                  <w:tcW w:w="242" w:type="pct"/>
                  <w:tcBorders>
                    <w:tl2br w:val="nil"/>
                    <w:tr2bl w:val="nil"/>
                  </w:tcBorders>
                  <w:shd w:val="clear" w:color="auto" w:fill="auto"/>
                  <w:tcMar>
                    <w:top w:w="0" w:type="dxa"/>
                    <w:left w:w="0" w:type="dxa"/>
                    <w:bottom w:w="0" w:type="dxa"/>
                    <w:right w:w="0" w:type="dxa"/>
                  </w:tcMar>
                  <w:vAlign w:val="center"/>
                </w:tcPr>
                <w:p w14:paraId="70607F5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39.6</w:t>
                  </w:r>
                </w:p>
              </w:tc>
              <w:tc>
                <w:tcPr>
                  <w:tcW w:w="120" w:type="pct"/>
                  <w:tcBorders>
                    <w:tl2br w:val="nil"/>
                    <w:tr2bl w:val="nil"/>
                  </w:tcBorders>
                  <w:shd w:val="clear" w:color="auto" w:fill="auto"/>
                  <w:tcMar>
                    <w:top w:w="0" w:type="dxa"/>
                    <w:left w:w="0" w:type="dxa"/>
                    <w:bottom w:w="0" w:type="dxa"/>
                    <w:right w:w="0" w:type="dxa"/>
                  </w:tcMar>
                  <w:vAlign w:val="center"/>
                </w:tcPr>
                <w:p w14:paraId="61BE3F6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45EFA50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101.7</w:t>
                  </w:r>
                </w:p>
              </w:tc>
              <w:tc>
                <w:tcPr>
                  <w:tcW w:w="211" w:type="pct"/>
                  <w:tcBorders>
                    <w:tl2br w:val="nil"/>
                    <w:tr2bl w:val="nil"/>
                  </w:tcBorders>
                  <w:shd w:val="clear" w:color="auto" w:fill="auto"/>
                  <w:tcMar>
                    <w:top w:w="0" w:type="dxa"/>
                    <w:left w:w="0" w:type="dxa"/>
                    <w:bottom w:w="0" w:type="dxa"/>
                    <w:right w:w="0" w:type="dxa"/>
                  </w:tcMar>
                  <w:vAlign w:val="center"/>
                </w:tcPr>
                <w:p w14:paraId="72A2351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299.0</w:t>
                  </w:r>
                </w:p>
              </w:tc>
              <w:tc>
                <w:tcPr>
                  <w:tcW w:w="211" w:type="pct"/>
                  <w:tcBorders>
                    <w:tl2br w:val="nil"/>
                    <w:tr2bl w:val="nil"/>
                  </w:tcBorders>
                  <w:shd w:val="clear" w:color="auto" w:fill="auto"/>
                  <w:tcMar>
                    <w:top w:w="0" w:type="dxa"/>
                    <w:left w:w="0" w:type="dxa"/>
                    <w:bottom w:w="0" w:type="dxa"/>
                    <w:right w:w="0" w:type="dxa"/>
                  </w:tcMar>
                  <w:vAlign w:val="center"/>
                </w:tcPr>
                <w:p w14:paraId="45AC716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225.2</w:t>
                  </w:r>
                </w:p>
              </w:tc>
              <w:tc>
                <w:tcPr>
                  <w:tcW w:w="211" w:type="pct"/>
                  <w:tcBorders>
                    <w:tl2br w:val="nil"/>
                    <w:tr2bl w:val="nil"/>
                  </w:tcBorders>
                  <w:shd w:val="clear" w:color="auto" w:fill="auto"/>
                  <w:tcMar>
                    <w:top w:w="0" w:type="dxa"/>
                    <w:left w:w="0" w:type="dxa"/>
                    <w:bottom w:w="0" w:type="dxa"/>
                    <w:right w:w="0" w:type="dxa"/>
                  </w:tcMar>
                  <w:vAlign w:val="center"/>
                </w:tcPr>
                <w:p w14:paraId="52B7A59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142.8</w:t>
                  </w:r>
                </w:p>
              </w:tc>
              <w:tc>
                <w:tcPr>
                  <w:tcW w:w="166" w:type="pct"/>
                  <w:tcBorders>
                    <w:tl2br w:val="nil"/>
                    <w:tr2bl w:val="nil"/>
                  </w:tcBorders>
                  <w:shd w:val="clear" w:color="auto" w:fill="auto"/>
                  <w:tcMar>
                    <w:top w:w="0" w:type="dxa"/>
                    <w:left w:w="0" w:type="dxa"/>
                    <w:bottom w:w="0" w:type="dxa"/>
                    <w:right w:w="0" w:type="dxa"/>
                  </w:tcMar>
                  <w:vAlign w:val="center"/>
                </w:tcPr>
                <w:p w14:paraId="62950DC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899AD4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B52D49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A80041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42B4F87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4CBC81A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4EB4BC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B36728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42FE00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AAFA8D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2F24C2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9629B6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94FAE3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610BA09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42B9A1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4B4E025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BB3DFAA">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68C7E22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ATC排废风机,4台（按点声源组预测）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07E7DFF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90（等效后：96.0)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EDB24F6">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3C22283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71.7</w:t>
                  </w:r>
                </w:p>
              </w:tc>
              <w:tc>
                <w:tcPr>
                  <w:tcW w:w="242" w:type="pct"/>
                  <w:tcBorders>
                    <w:tl2br w:val="nil"/>
                    <w:tr2bl w:val="nil"/>
                  </w:tcBorders>
                  <w:shd w:val="clear" w:color="auto" w:fill="auto"/>
                  <w:tcMar>
                    <w:top w:w="0" w:type="dxa"/>
                    <w:left w:w="0" w:type="dxa"/>
                    <w:bottom w:w="0" w:type="dxa"/>
                    <w:right w:w="0" w:type="dxa"/>
                  </w:tcMar>
                  <w:vAlign w:val="center"/>
                </w:tcPr>
                <w:p w14:paraId="74C5184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38.8</w:t>
                  </w:r>
                </w:p>
              </w:tc>
              <w:tc>
                <w:tcPr>
                  <w:tcW w:w="120" w:type="pct"/>
                  <w:tcBorders>
                    <w:tl2br w:val="nil"/>
                    <w:tr2bl w:val="nil"/>
                  </w:tcBorders>
                  <w:shd w:val="clear" w:color="auto" w:fill="auto"/>
                  <w:tcMar>
                    <w:top w:w="0" w:type="dxa"/>
                    <w:left w:w="0" w:type="dxa"/>
                    <w:bottom w:w="0" w:type="dxa"/>
                    <w:right w:w="0" w:type="dxa"/>
                  </w:tcMar>
                  <w:vAlign w:val="center"/>
                </w:tcPr>
                <w:p w14:paraId="44CAA5A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604FDB8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100.2</w:t>
                  </w:r>
                </w:p>
              </w:tc>
              <w:tc>
                <w:tcPr>
                  <w:tcW w:w="211" w:type="pct"/>
                  <w:tcBorders>
                    <w:tl2br w:val="nil"/>
                    <w:tr2bl w:val="nil"/>
                  </w:tcBorders>
                  <w:shd w:val="clear" w:color="auto" w:fill="auto"/>
                  <w:tcMar>
                    <w:top w:w="0" w:type="dxa"/>
                    <w:left w:w="0" w:type="dxa"/>
                    <w:bottom w:w="0" w:type="dxa"/>
                    <w:right w:w="0" w:type="dxa"/>
                  </w:tcMar>
                  <w:vAlign w:val="center"/>
                </w:tcPr>
                <w:p w14:paraId="15AF55A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298.8</w:t>
                  </w:r>
                </w:p>
              </w:tc>
              <w:tc>
                <w:tcPr>
                  <w:tcW w:w="211" w:type="pct"/>
                  <w:tcBorders>
                    <w:tl2br w:val="nil"/>
                    <w:tr2bl w:val="nil"/>
                  </w:tcBorders>
                  <w:shd w:val="clear" w:color="auto" w:fill="auto"/>
                  <w:tcMar>
                    <w:top w:w="0" w:type="dxa"/>
                    <w:left w:w="0" w:type="dxa"/>
                    <w:bottom w:w="0" w:type="dxa"/>
                    <w:right w:w="0" w:type="dxa"/>
                  </w:tcMar>
                  <w:vAlign w:val="center"/>
                </w:tcPr>
                <w:p w14:paraId="07C6B42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225.0</w:t>
                  </w:r>
                </w:p>
              </w:tc>
              <w:tc>
                <w:tcPr>
                  <w:tcW w:w="211" w:type="pct"/>
                  <w:tcBorders>
                    <w:tl2br w:val="nil"/>
                    <w:tr2bl w:val="nil"/>
                  </w:tcBorders>
                  <w:shd w:val="clear" w:color="auto" w:fill="auto"/>
                  <w:tcMar>
                    <w:top w:w="0" w:type="dxa"/>
                    <w:left w:w="0" w:type="dxa"/>
                    <w:bottom w:w="0" w:type="dxa"/>
                    <w:right w:w="0" w:type="dxa"/>
                  </w:tcMar>
                  <w:vAlign w:val="center"/>
                </w:tcPr>
                <w:p w14:paraId="6ED6285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143.0</w:t>
                  </w:r>
                </w:p>
              </w:tc>
              <w:tc>
                <w:tcPr>
                  <w:tcW w:w="166" w:type="pct"/>
                  <w:tcBorders>
                    <w:tl2br w:val="nil"/>
                    <w:tr2bl w:val="nil"/>
                  </w:tcBorders>
                  <w:shd w:val="clear" w:color="auto" w:fill="auto"/>
                  <w:tcMar>
                    <w:top w:w="0" w:type="dxa"/>
                    <w:left w:w="0" w:type="dxa"/>
                    <w:bottom w:w="0" w:type="dxa"/>
                    <w:right w:w="0" w:type="dxa"/>
                  </w:tcMar>
                  <w:vAlign w:val="center"/>
                </w:tcPr>
                <w:p w14:paraId="62F339F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7C36738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54E7CC4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166" w:type="pct"/>
                  <w:tcBorders>
                    <w:tl2br w:val="nil"/>
                    <w:tr2bl w:val="nil"/>
                  </w:tcBorders>
                  <w:shd w:val="clear" w:color="auto" w:fill="auto"/>
                  <w:tcMar>
                    <w:top w:w="0" w:type="dxa"/>
                    <w:left w:w="0" w:type="dxa"/>
                    <w:bottom w:w="0" w:type="dxa"/>
                    <w:right w:w="0" w:type="dxa"/>
                  </w:tcMar>
                  <w:vAlign w:val="center"/>
                </w:tcPr>
                <w:p w14:paraId="5459413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73.1</w:t>
                  </w:r>
                </w:p>
              </w:tc>
              <w:tc>
                <w:tcPr>
                  <w:tcW w:w="223" w:type="pct"/>
                  <w:tcBorders>
                    <w:tl2br w:val="nil"/>
                    <w:tr2bl w:val="nil"/>
                  </w:tcBorders>
                  <w:shd w:val="clear" w:color="auto" w:fill="auto"/>
                  <w:tcMar>
                    <w:top w:w="0" w:type="dxa"/>
                    <w:left w:w="0" w:type="dxa"/>
                    <w:bottom w:w="0" w:type="dxa"/>
                    <w:right w:w="0" w:type="dxa"/>
                  </w:tcMar>
                  <w:vAlign w:val="center"/>
                </w:tcPr>
                <w:p w14:paraId="37FD1A9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0CD42D7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CDC136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EC27F3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2F45F3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588F11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60AA4BA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764E3FF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66" w:type="pct"/>
                  <w:tcBorders>
                    <w:tl2br w:val="nil"/>
                    <w:tr2bl w:val="nil"/>
                  </w:tcBorders>
                  <w:shd w:val="clear" w:color="auto" w:fill="auto"/>
                  <w:tcMar>
                    <w:top w:w="0" w:type="dxa"/>
                    <w:left w:w="0" w:type="dxa"/>
                    <w:bottom w:w="0" w:type="dxa"/>
                    <w:right w:w="0" w:type="dxa"/>
                  </w:tcMar>
                  <w:vAlign w:val="center"/>
                </w:tcPr>
                <w:p w14:paraId="4B526BF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52.1</w:t>
                  </w:r>
                </w:p>
              </w:tc>
              <w:tc>
                <w:tcPr>
                  <w:tcW w:w="104" w:type="pct"/>
                  <w:tcBorders>
                    <w:tl2br w:val="nil"/>
                    <w:tr2bl w:val="nil"/>
                  </w:tcBorders>
                  <w:shd w:val="clear" w:color="auto" w:fill="auto"/>
                  <w:tcMar>
                    <w:top w:w="0" w:type="dxa"/>
                    <w:left w:w="0" w:type="dxa"/>
                    <w:bottom w:w="0" w:type="dxa"/>
                    <w:right w:w="0" w:type="dxa"/>
                  </w:tcMar>
                  <w:vAlign w:val="center"/>
                </w:tcPr>
                <w:p w14:paraId="59A1633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3C7B0B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44A674D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116</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052D981">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1AA43B0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激光刻痕机</w:t>
                  </w:r>
                </w:p>
              </w:tc>
              <w:tc>
                <w:tcPr>
                  <w:tcW w:w="264" w:type="pct"/>
                  <w:tcBorders>
                    <w:tl2br w:val="nil"/>
                    <w:tr2bl w:val="nil"/>
                  </w:tcBorders>
                  <w:shd w:val="clear" w:color="auto" w:fill="auto"/>
                  <w:tcMar>
                    <w:top w:w="0" w:type="dxa"/>
                    <w:left w:w="0" w:type="dxa"/>
                    <w:bottom w:w="0" w:type="dxa"/>
                    <w:right w:w="0" w:type="dxa"/>
                  </w:tcMar>
                  <w:vAlign w:val="center"/>
                </w:tcPr>
                <w:p w14:paraId="1469332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EB98F81">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6B48766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72.3</w:t>
                  </w:r>
                </w:p>
              </w:tc>
              <w:tc>
                <w:tcPr>
                  <w:tcW w:w="242" w:type="pct"/>
                  <w:tcBorders>
                    <w:tl2br w:val="nil"/>
                    <w:tr2bl w:val="nil"/>
                  </w:tcBorders>
                  <w:shd w:val="clear" w:color="auto" w:fill="auto"/>
                  <w:tcMar>
                    <w:top w:w="0" w:type="dxa"/>
                    <w:left w:w="0" w:type="dxa"/>
                    <w:bottom w:w="0" w:type="dxa"/>
                    <w:right w:w="0" w:type="dxa"/>
                  </w:tcMar>
                  <w:vAlign w:val="center"/>
                </w:tcPr>
                <w:p w14:paraId="12C4F7F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40</w:t>
                  </w:r>
                </w:p>
              </w:tc>
              <w:tc>
                <w:tcPr>
                  <w:tcW w:w="120" w:type="pct"/>
                  <w:tcBorders>
                    <w:tl2br w:val="nil"/>
                    <w:tr2bl w:val="nil"/>
                  </w:tcBorders>
                  <w:shd w:val="clear" w:color="auto" w:fill="auto"/>
                  <w:tcMar>
                    <w:top w:w="0" w:type="dxa"/>
                    <w:left w:w="0" w:type="dxa"/>
                    <w:bottom w:w="0" w:type="dxa"/>
                    <w:right w:w="0" w:type="dxa"/>
                  </w:tcMar>
                  <w:vAlign w:val="center"/>
                </w:tcPr>
                <w:p w14:paraId="581E132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2E952AD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100.1</w:t>
                  </w:r>
                </w:p>
              </w:tc>
              <w:tc>
                <w:tcPr>
                  <w:tcW w:w="211" w:type="pct"/>
                  <w:tcBorders>
                    <w:tl2br w:val="nil"/>
                    <w:tr2bl w:val="nil"/>
                  </w:tcBorders>
                  <w:shd w:val="clear" w:color="auto" w:fill="auto"/>
                  <w:tcMar>
                    <w:top w:w="0" w:type="dxa"/>
                    <w:left w:w="0" w:type="dxa"/>
                    <w:bottom w:w="0" w:type="dxa"/>
                    <w:right w:w="0" w:type="dxa"/>
                  </w:tcMar>
                  <w:vAlign w:val="center"/>
                </w:tcPr>
                <w:p w14:paraId="4912E51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300.1</w:t>
                  </w:r>
                </w:p>
              </w:tc>
              <w:tc>
                <w:tcPr>
                  <w:tcW w:w="211" w:type="pct"/>
                  <w:tcBorders>
                    <w:tl2br w:val="nil"/>
                    <w:tr2bl w:val="nil"/>
                  </w:tcBorders>
                  <w:shd w:val="clear" w:color="auto" w:fill="auto"/>
                  <w:tcMar>
                    <w:top w:w="0" w:type="dxa"/>
                    <w:left w:w="0" w:type="dxa"/>
                    <w:bottom w:w="0" w:type="dxa"/>
                    <w:right w:w="0" w:type="dxa"/>
                  </w:tcMar>
                  <w:vAlign w:val="center"/>
                </w:tcPr>
                <w:p w14:paraId="10844ED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226.4</w:t>
                  </w:r>
                </w:p>
              </w:tc>
              <w:tc>
                <w:tcPr>
                  <w:tcW w:w="211" w:type="pct"/>
                  <w:tcBorders>
                    <w:tl2br w:val="nil"/>
                    <w:tr2bl w:val="nil"/>
                  </w:tcBorders>
                  <w:shd w:val="clear" w:color="auto" w:fill="auto"/>
                  <w:tcMar>
                    <w:top w:w="0" w:type="dxa"/>
                    <w:left w:w="0" w:type="dxa"/>
                    <w:bottom w:w="0" w:type="dxa"/>
                    <w:right w:w="0" w:type="dxa"/>
                  </w:tcMar>
                  <w:vAlign w:val="center"/>
                </w:tcPr>
                <w:p w14:paraId="06292DE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141.7</w:t>
                  </w:r>
                </w:p>
              </w:tc>
              <w:tc>
                <w:tcPr>
                  <w:tcW w:w="166" w:type="pct"/>
                  <w:tcBorders>
                    <w:tl2br w:val="nil"/>
                    <w:tr2bl w:val="nil"/>
                  </w:tcBorders>
                  <w:shd w:val="clear" w:color="auto" w:fill="auto"/>
                  <w:tcMar>
                    <w:top w:w="0" w:type="dxa"/>
                    <w:left w:w="0" w:type="dxa"/>
                    <w:bottom w:w="0" w:type="dxa"/>
                    <w:right w:w="0" w:type="dxa"/>
                  </w:tcMar>
                  <w:vAlign w:val="center"/>
                </w:tcPr>
                <w:p w14:paraId="54FDF21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0A5010F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7705950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30D0043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223" w:type="pct"/>
                  <w:tcBorders>
                    <w:tl2br w:val="nil"/>
                    <w:tr2bl w:val="nil"/>
                  </w:tcBorders>
                  <w:shd w:val="clear" w:color="auto" w:fill="auto"/>
                  <w:tcMar>
                    <w:top w:w="0" w:type="dxa"/>
                    <w:left w:w="0" w:type="dxa"/>
                    <w:bottom w:w="0" w:type="dxa"/>
                    <w:right w:w="0" w:type="dxa"/>
                  </w:tcMar>
                  <w:vAlign w:val="center"/>
                </w:tcPr>
                <w:p w14:paraId="551CD9F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295CE4F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0F59A9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AC0672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388C1E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233798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0103530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566CDAF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2730F78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04" w:type="pct"/>
                  <w:tcBorders>
                    <w:tl2br w:val="nil"/>
                    <w:tr2bl w:val="nil"/>
                  </w:tcBorders>
                  <w:shd w:val="clear" w:color="auto" w:fill="auto"/>
                  <w:tcMar>
                    <w:top w:w="0" w:type="dxa"/>
                    <w:left w:w="0" w:type="dxa"/>
                    <w:bottom w:w="0" w:type="dxa"/>
                    <w:right w:w="0" w:type="dxa"/>
                  </w:tcMar>
                  <w:vAlign w:val="center"/>
                </w:tcPr>
                <w:p w14:paraId="7B6237A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6789E0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9BB91A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117</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99CB0FA">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1530C9A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开卷机</w:t>
                  </w:r>
                </w:p>
              </w:tc>
              <w:tc>
                <w:tcPr>
                  <w:tcW w:w="264" w:type="pct"/>
                  <w:tcBorders>
                    <w:tl2br w:val="nil"/>
                    <w:tr2bl w:val="nil"/>
                  </w:tcBorders>
                  <w:shd w:val="clear" w:color="auto" w:fill="auto"/>
                  <w:tcMar>
                    <w:top w:w="0" w:type="dxa"/>
                    <w:left w:w="0" w:type="dxa"/>
                    <w:bottom w:w="0" w:type="dxa"/>
                    <w:right w:w="0" w:type="dxa"/>
                  </w:tcMar>
                  <w:vAlign w:val="center"/>
                </w:tcPr>
                <w:p w14:paraId="34EC1C4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AF85DD0">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29F820F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79.3</w:t>
                  </w:r>
                </w:p>
              </w:tc>
              <w:tc>
                <w:tcPr>
                  <w:tcW w:w="242" w:type="pct"/>
                  <w:tcBorders>
                    <w:tl2br w:val="nil"/>
                    <w:tr2bl w:val="nil"/>
                  </w:tcBorders>
                  <w:shd w:val="clear" w:color="auto" w:fill="auto"/>
                  <w:tcMar>
                    <w:top w:w="0" w:type="dxa"/>
                    <w:left w:w="0" w:type="dxa"/>
                    <w:bottom w:w="0" w:type="dxa"/>
                    <w:right w:w="0" w:type="dxa"/>
                  </w:tcMar>
                  <w:vAlign w:val="center"/>
                </w:tcPr>
                <w:p w14:paraId="272278B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56.7</w:t>
                  </w:r>
                </w:p>
              </w:tc>
              <w:tc>
                <w:tcPr>
                  <w:tcW w:w="120" w:type="pct"/>
                  <w:tcBorders>
                    <w:tl2br w:val="nil"/>
                    <w:tr2bl w:val="nil"/>
                  </w:tcBorders>
                  <w:shd w:val="clear" w:color="auto" w:fill="auto"/>
                  <w:tcMar>
                    <w:top w:w="0" w:type="dxa"/>
                    <w:left w:w="0" w:type="dxa"/>
                    <w:bottom w:w="0" w:type="dxa"/>
                    <w:right w:w="0" w:type="dxa"/>
                  </w:tcMar>
                  <w:vAlign w:val="center"/>
                </w:tcPr>
                <w:p w14:paraId="523A35C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0206674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99.8</w:t>
                  </w:r>
                </w:p>
              </w:tc>
              <w:tc>
                <w:tcPr>
                  <w:tcW w:w="211" w:type="pct"/>
                  <w:tcBorders>
                    <w:tl2br w:val="nil"/>
                    <w:tr2bl w:val="nil"/>
                  </w:tcBorders>
                  <w:shd w:val="clear" w:color="auto" w:fill="auto"/>
                  <w:tcMar>
                    <w:top w:w="0" w:type="dxa"/>
                    <w:left w:w="0" w:type="dxa"/>
                    <w:bottom w:w="0" w:type="dxa"/>
                    <w:right w:w="0" w:type="dxa"/>
                  </w:tcMar>
                  <w:vAlign w:val="center"/>
                </w:tcPr>
                <w:p w14:paraId="74DBFAD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318.2</w:t>
                  </w:r>
                </w:p>
              </w:tc>
              <w:tc>
                <w:tcPr>
                  <w:tcW w:w="211" w:type="pct"/>
                  <w:tcBorders>
                    <w:tl2br w:val="nil"/>
                    <w:tr2bl w:val="nil"/>
                  </w:tcBorders>
                  <w:shd w:val="clear" w:color="auto" w:fill="auto"/>
                  <w:tcMar>
                    <w:top w:w="0" w:type="dxa"/>
                    <w:left w:w="0" w:type="dxa"/>
                    <w:bottom w:w="0" w:type="dxa"/>
                    <w:right w:w="0" w:type="dxa"/>
                  </w:tcMar>
                  <w:vAlign w:val="center"/>
                </w:tcPr>
                <w:p w14:paraId="3FA8748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244.5</w:t>
                  </w:r>
                </w:p>
              </w:tc>
              <w:tc>
                <w:tcPr>
                  <w:tcW w:w="211" w:type="pct"/>
                  <w:tcBorders>
                    <w:tl2br w:val="nil"/>
                    <w:tr2bl w:val="nil"/>
                  </w:tcBorders>
                  <w:shd w:val="clear" w:color="auto" w:fill="auto"/>
                  <w:tcMar>
                    <w:top w:w="0" w:type="dxa"/>
                    <w:left w:w="0" w:type="dxa"/>
                    <w:bottom w:w="0" w:type="dxa"/>
                    <w:right w:w="0" w:type="dxa"/>
                  </w:tcMar>
                  <w:vAlign w:val="center"/>
                </w:tcPr>
                <w:p w14:paraId="79E56B7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123.6</w:t>
                  </w:r>
                </w:p>
              </w:tc>
              <w:tc>
                <w:tcPr>
                  <w:tcW w:w="166" w:type="pct"/>
                  <w:tcBorders>
                    <w:tl2br w:val="nil"/>
                    <w:tr2bl w:val="nil"/>
                  </w:tcBorders>
                  <w:shd w:val="clear" w:color="auto" w:fill="auto"/>
                  <w:tcMar>
                    <w:top w:w="0" w:type="dxa"/>
                    <w:left w:w="0" w:type="dxa"/>
                    <w:bottom w:w="0" w:type="dxa"/>
                    <w:right w:w="0" w:type="dxa"/>
                  </w:tcMar>
                  <w:vAlign w:val="center"/>
                </w:tcPr>
                <w:p w14:paraId="392D148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76615C0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3C07C0B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4CB1FB0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223" w:type="pct"/>
                  <w:tcBorders>
                    <w:tl2br w:val="nil"/>
                    <w:tr2bl w:val="nil"/>
                  </w:tcBorders>
                  <w:shd w:val="clear" w:color="auto" w:fill="auto"/>
                  <w:tcMar>
                    <w:top w:w="0" w:type="dxa"/>
                    <w:left w:w="0" w:type="dxa"/>
                    <w:bottom w:w="0" w:type="dxa"/>
                    <w:right w:w="0" w:type="dxa"/>
                  </w:tcMar>
                  <w:vAlign w:val="center"/>
                </w:tcPr>
                <w:p w14:paraId="6A053FA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23B678F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8ECD12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0AFABA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5B3178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4D174F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2C7F28B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42DC1DE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6D97969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04" w:type="pct"/>
                  <w:tcBorders>
                    <w:tl2br w:val="nil"/>
                    <w:tr2bl w:val="nil"/>
                  </w:tcBorders>
                  <w:shd w:val="clear" w:color="auto" w:fill="auto"/>
                  <w:tcMar>
                    <w:top w:w="0" w:type="dxa"/>
                    <w:left w:w="0" w:type="dxa"/>
                    <w:bottom w:w="0" w:type="dxa"/>
                    <w:right w:w="0" w:type="dxa"/>
                  </w:tcMar>
                  <w:vAlign w:val="center"/>
                </w:tcPr>
                <w:p w14:paraId="2D86033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7D26A9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3F2601B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118</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3112E79">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3C68966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切头机</w:t>
                  </w:r>
                </w:p>
              </w:tc>
              <w:tc>
                <w:tcPr>
                  <w:tcW w:w="264" w:type="pct"/>
                  <w:tcBorders>
                    <w:tl2br w:val="nil"/>
                    <w:tr2bl w:val="nil"/>
                  </w:tcBorders>
                  <w:shd w:val="clear" w:color="auto" w:fill="auto"/>
                  <w:tcMar>
                    <w:top w:w="0" w:type="dxa"/>
                    <w:left w:w="0" w:type="dxa"/>
                    <w:bottom w:w="0" w:type="dxa"/>
                    <w:right w:w="0" w:type="dxa"/>
                  </w:tcMar>
                  <w:vAlign w:val="center"/>
                </w:tcPr>
                <w:p w14:paraId="7495A7A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B642D05">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61A527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81</w:t>
                  </w:r>
                </w:p>
              </w:tc>
              <w:tc>
                <w:tcPr>
                  <w:tcW w:w="242" w:type="pct"/>
                  <w:tcBorders>
                    <w:tl2br w:val="nil"/>
                    <w:tr2bl w:val="nil"/>
                  </w:tcBorders>
                  <w:shd w:val="clear" w:color="auto" w:fill="auto"/>
                  <w:tcMar>
                    <w:top w:w="0" w:type="dxa"/>
                    <w:left w:w="0" w:type="dxa"/>
                    <w:bottom w:w="0" w:type="dxa"/>
                    <w:right w:w="0" w:type="dxa"/>
                  </w:tcMar>
                  <w:vAlign w:val="center"/>
                </w:tcPr>
                <w:p w14:paraId="6EF70C7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60.6</w:t>
                  </w:r>
                </w:p>
              </w:tc>
              <w:tc>
                <w:tcPr>
                  <w:tcW w:w="120" w:type="pct"/>
                  <w:tcBorders>
                    <w:tl2br w:val="nil"/>
                    <w:tr2bl w:val="nil"/>
                  </w:tcBorders>
                  <w:shd w:val="clear" w:color="auto" w:fill="auto"/>
                  <w:tcMar>
                    <w:top w:w="0" w:type="dxa"/>
                    <w:left w:w="0" w:type="dxa"/>
                    <w:bottom w:w="0" w:type="dxa"/>
                    <w:right w:w="0" w:type="dxa"/>
                  </w:tcMar>
                  <w:vAlign w:val="center"/>
                </w:tcPr>
                <w:p w14:paraId="0774C44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7769813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99.6</w:t>
                  </w:r>
                </w:p>
              </w:tc>
              <w:tc>
                <w:tcPr>
                  <w:tcW w:w="211" w:type="pct"/>
                  <w:tcBorders>
                    <w:tl2br w:val="nil"/>
                    <w:tr2bl w:val="nil"/>
                  </w:tcBorders>
                  <w:shd w:val="clear" w:color="auto" w:fill="auto"/>
                  <w:tcMar>
                    <w:top w:w="0" w:type="dxa"/>
                    <w:left w:w="0" w:type="dxa"/>
                    <w:bottom w:w="0" w:type="dxa"/>
                    <w:right w:w="0" w:type="dxa"/>
                  </w:tcMar>
                  <w:vAlign w:val="center"/>
                </w:tcPr>
                <w:p w14:paraId="0CD09E3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322.5</w:t>
                  </w:r>
                </w:p>
              </w:tc>
              <w:tc>
                <w:tcPr>
                  <w:tcW w:w="211" w:type="pct"/>
                  <w:tcBorders>
                    <w:tl2br w:val="nil"/>
                    <w:tr2bl w:val="nil"/>
                  </w:tcBorders>
                  <w:shd w:val="clear" w:color="auto" w:fill="auto"/>
                  <w:tcMar>
                    <w:top w:w="0" w:type="dxa"/>
                    <w:left w:w="0" w:type="dxa"/>
                    <w:bottom w:w="0" w:type="dxa"/>
                    <w:right w:w="0" w:type="dxa"/>
                  </w:tcMar>
                  <w:vAlign w:val="center"/>
                </w:tcPr>
                <w:p w14:paraId="3D72AD3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248.7</w:t>
                  </w:r>
                </w:p>
              </w:tc>
              <w:tc>
                <w:tcPr>
                  <w:tcW w:w="211" w:type="pct"/>
                  <w:tcBorders>
                    <w:tl2br w:val="nil"/>
                    <w:tr2bl w:val="nil"/>
                  </w:tcBorders>
                  <w:shd w:val="clear" w:color="auto" w:fill="auto"/>
                  <w:tcMar>
                    <w:top w:w="0" w:type="dxa"/>
                    <w:left w:w="0" w:type="dxa"/>
                    <w:bottom w:w="0" w:type="dxa"/>
                    <w:right w:w="0" w:type="dxa"/>
                  </w:tcMar>
                  <w:vAlign w:val="center"/>
                </w:tcPr>
                <w:p w14:paraId="780E13C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119.3</w:t>
                  </w:r>
                </w:p>
              </w:tc>
              <w:tc>
                <w:tcPr>
                  <w:tcW w:w="166" w:type="pct"/>
                  <w:tcBorders>
                    <w:tl2br w:val="nil"/>
                    <w:tr2bl w:val="nil"/>
                  </w:tcBorders>
                  <w:shd w:val="clear" w:color="auto" w:fill="auto"/>
                  <w:tcMar>
                    <w:top w:w="0" w:type="dxa"/>
                    <w:left w:w="0" w:type="dxa"/>
                    <w:bottom w:w="0" w:type="dxa"/>
                    <w:right w:w="0" w:type="dxa"/>
                  </w:tcMar>
                  <w:vAlign w:val="center"/>
                </w:tcPr>
                <w:p w14:paraId="0F23F35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6BE9964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3069394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3C15C62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223" w:type="pct"/>
                  <w:tcBorders>
                    <w:tl2br w:val="nil"/>
                    <w:tr2bl w:val="nil"/>
                  </w:tcBorders>
                  <w:shd w:val="clear" w:color="auto" w:fill="auto"/>
                  <w:tcMar>
                    <w:top w:w="0" w:type="dxa"/>
                    <w:left w:w="0" w:type="dxa"/>
                    <w:bottom w:w="0" w:type="dxa"/>
                    <w:right w:w="0" w:type="dxa"/>
                  </w:tcMar>
                  <w:vAlign w:val="center"/>
                </w:tcPr>
                <w:p w14:paraId="75E6270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62C03E7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0F8C80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22AE1C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F856A0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67BEC4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2FE7E73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2491C7D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6E6EA0E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04" w:type="pct"/>
                  <w:tcBorders>
                    <w:tl2br w:val="nil"/>
                    <w:tr2bl w:val="nil"/>
                  </w:tcBorders>
                  <w:shd w:val="clear" w:color="auto" w:fill="auto"/>
                  <w:tcMar>
                    <w:top w:w="0" w:type="dxa"/>
                    <w:left w:w="0" w:type="dxa"/>
                    <w:bottom w:w="0" w:type="dxa"/>
                    <w:right w:w="0" w:type="dxa"/>
                  </w:tcMar>
                  <w:vAlign w:val="center"/>
                </w:tcPr>
                <w:p w14:paraId="48B2A25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34A6F6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540E5B0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119</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22823D5">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7E06EBD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出口剪</w:t>
                  </w:r>
                </w:p>
              </w:tc>
              <w:tc>
                <w:tcPr>
                  <w:tcW w:w="264" w:type="pct"/>
                  <w:tcBorders>
                    <w:tl2br w:val="nil"/>
                    <w:tr2bl w:val="nil"/>
                  </w:tcBorders>
                  <w:shd w:val="clear" w:color="auto" w:fill="auto"/>
                  <w:tcMar>
                    <w:top w:w="0" w:type="dxa"/>
                    <w:left w:w="0" w:type="dxa"/>
                    <w:bottom w:w="0" w:type="dxa"/>
                    <w:right w:w="0" w:type="dxa"/>
                  </w:tcMar>
                  <w:vAlign w:val="center"/>
                </w:tcPr>
                <w:p w14:paraId="00C5B89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A639B19">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2D379A1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82.3</w:t>
                  </w:r>
                </w:p>
              </w:tc>
              <w:tc>
                <w:tcPr>
                  <w:tcW w:w="242" w:type="pct"/>
                  <w:tcBorders>
                    <w:tl2br w:val="nil"/>
                    <w:tr2bl w:val="nil"/>
                  </w:tcBorders>
                  <w:shd w:val="clear" w:color="auto" w:fill="auto"/>
                  <w:tcMar>
                    <w:top w:w="0" w:type="dxa"/>
                    <w:left w:w="0" w:type="dxa"/>
                    <w:bottom w:w="0" w:type="dxa"/>
                    <w:right w:w="0" w:type="dxa"/>
                  </w:tcMar>
                  <w:vAlign w:val="center"/>
                </w:tcPr>
                <w:p w14:paraId="528C711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64.4</w:t>
                  </w:r>
                </w:p>
              </w:tc>
              <w:tc>
                <w:tcPr>
                  <w:tcW w:w="120" w:type="pct"/>
                  <w:tcBorders>
                    <w:tl2br w:val="nil"/>
                    <w:tr2bl w:val="nil"/>
                  </w:tcBorders>
                  <w:shd w:val="clear" w:color="auto" w:fill="auto"/>
                  <w:tcMar>
                    <w:top w:w="0" w:type="dxa"/>
                    <w:left w:w="0" w:type="dxa"/>
                    <w:bottom w:w="0" w:type="dxa"/>
                    <w:right w:w="0" w:type="dxa"/>
                  </w:tcMar>
                  <w:vAlign w:val="center"/>
                </w:tcPr>
                <w:p w14:paraId="71D051F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42EB1F8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99.8</w:t>
                  </w:r>
                </w:p>
              </w:tc>
              <w:tc>
                <w:tcPr>
                  <w:tcW w:w="211" w:type="pct"/>
                  <w:tcBorders>
                    <w:tl2br w:val="nil"/>
                    <w:tr2bl w:val="nil"/>
                  </w:tcBorders>
                  <w:shd w:val="clear" w:color="auto" w:fill="auto"/>
                  <w:tcMar>
                    <w:top w:w="0" w:type="dxa"/>
                    <w:left w:w="0" w:type="dxa"/>
                    <w:bottom w:w="0" w:type="dxa"/>
                    <w:right w:w="0" w:type="dxa"/>
                  </w:tcMar>
                  <w:vAlign w:val="center"/>
                </w:tcPr>
                <w:p w14:paraId="7B696AD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326.5</w:t>
                  </w:r>
                </w:p>
              </w:tc>
              <w:tc>
                <w:tcPr>
                  <w:tcW w:w="211" w:type="pct"/>
                  <w:tcBorders>
                    <w:tl2br w:val="nil"/>
                    <w:tr2bl w:val="nil"/>
                  </w:tcBorders>
                  <w:shd w:val="clear" w:color="auto" w:fill="auto"/>
                  <w:tcMar>
                    <w:top w:w="0" w:type="dxa"/>
                    <w:left w:w="0" w:type="dxa"/>
                    <w:bottom w:w="0" w:type="dxa"/>
                    <w:right w:w="0" w:type="dxa"/>
                  </w:tcMar>
                  <w:vAlign w:val="center"/>
                </w:tcPr>
                <w:p w14:paraId="5A44D20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252.7</w:t>
                  </w:r>
                </w:p>
              </w:tc>
              <w:tc>
                <w:tcPr>
                  <w:tcW w:w="211" w:type="pct"/>
                  <w:tcBorders>
                    <w:tl2br w:val="nil"/>
                    <w:tr2bl w:val="nil"/>
                  </w:tcBorders>
                  <w:shd w:val="clear" w:color="auto" w:fill="auto"/>
                  <w:tcMar>
                    <w:top w:w="0" w:type="dxa"/>
                    <w:left w:w="0" w:type="dxa"/>
                    <w:bottom w:w="0" w:type="dxa"/>
                    <w:right w:w="0" w:type="dxa"/>
                  </w:tcMar>
                  <w:vAlign w:val="center"/>
                </w:tcPr>
                <w:p w14:paraId="3D1C9A5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115.3</w:t>
                  </w:r>
                </w:p>
              </w:tc>
              <w:tc>
                <w:tcPr>
                  <w:tcW w:w="166" w:type="pct"/>
                  <w:tcBorders>
                    <w:tl2br w:val="nil"/>
                    <w:tr2bl w:val="nil"/>
                  </w:tcBorders>
                  <w:shd w:val="clear" w:color="auto" w:fill="auto"/>
                  <w:tcMar>
                    <w:top w:w="0" w:type="dxa"/>
                    <w:left w:w="0" w:type="dxa"/>
                    <w:bottom w:w="0" w:type="dxa"/>
                    <w:right w:w="0" w:type="dxa"/>
                  </w:tcMar>
                  <w:vAlign w:val="center"/>
                </w:tcPr>
                <w:p w14:paraId="6DEED21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514FEF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6F1857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027D87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0621E18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4E1AABD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9F3F60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BB2EF2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4599FF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F80D12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36273B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855A58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4FFBDF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448B247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1F2F43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399C997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D25D50E">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213E15F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卷取机</w:t>
                  </w:r>
                </w:p>
              </w:tc>
              <w:tc>
                <w:tcPr>
                  <w:tcW w:w="264" w:type="pct"/>
                  <w:tcBorders>
                    <w:tl2br w:val="nil"/>
                    <w:tr2bl w:val="nil"/>
                  </w:tcBorders>
                  <w:shd w:val="clear" w:color="auto" w:fill="auto"/>
                  <w:tcMar>
                    <w:top w:w="0" w:type="dxa"/>
                    <w:left w:w="0" w:type="dxa"/>
                    <w:bottom w:w="0" w:type="dxa"/>
                    <w:right w:w="0" w:type="dxa"/>
                  </w:tcMar>
                  <w:vAlign w:val="center"/>
                </w:tcPr>
                <w:p w14:paraId="4362A81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3445D53">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4F103A9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84.2</w:t>
                  </w:r>
                </w:p>
              </w:tc>
              <w:tc>
                <w:tcPr>
                  <w:tcW w:w="242" w:type="pct"/>
                  <w:tcBorders>
                    <w:tl2br w:val="nil"/>
                    <w:tr2bl w:val="nil"/>
                  </w:tcBorders>
                  <w:shd w:val="clear" w:color="auto" w:fill="auto"/>
                  <w:tcMar>
                    <w:top w:w="0" w:type="dxa"/>
                    <w:left w:w="0" w:type="dxa"/>
                    <w:bottom w:w="0" w:type="dxa"/>
                    <w:right w:w="0" w:type="dxa"/>
                  </w:tcMar>
                  <w:vAlign w:val="center"/>
                </w:tcPr>
                <w:p w14:paraId="4C81513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68.7</w:t>
                  </w:r>
                </w:p>
              </w:tc>
              <w:tc>
                <w:tcPr>
                  <w:tcW w:w="120" w:type="pct"/>
                  <w:tcBorders>
                    <w:tl2br w:val="nil"/>
                    <w:tr2bl w:val="nil"/>
                  </w:tcBorders>
                  <w:shd w:val="clear" w:color="auto" w:fill="auto"/>
                  <w:tcMar>
                    <w:top w:w="0" w:type="dxa"/>
                    <w:left w:w="0" w:type="dxa"/>
                    <w:bottom w:w="0" w:type="dxa"/>
                    <w:right w:w="0" w:type="dxa"/>
                  </w:tcMar>
                  <w:vAlign w:val="center"/>
                </w:tcPr>
                <w:p w14:paraId="151855A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54A81D6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99.6</w:t>
                  </w:r>
                </w:p>
              </w:tc>
              <w:tc>
                <w:tcPr>
                  <w:tcW w:w="211" w:type="pct"/>
                  <w:tcBorders>
                    <w:tl2br w:val="nil"/>
                    <w:tr2bl w:val="nil"/>
                  </w:tcBorders>
                  <w:shd w:val="clear" w:color="auto" w:fill="auto"/>
                  <w:tcMar>
                    <w:top w:w="0" w:type="dxa"/>
                    <w:left w:w="0" w:type="dxa"/>
                    <w:bottom w:w="0" w:type="dxa"/>
                    <w:right w:w="0" w:type="dxa"/>
                  </w:tcMar>
                  <w:vAlign w:val="center"/>
                </w:tcPr>
                <w:p w14:paraId="5592ED6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331.2</w:t>
                  </w:r>
                </w:p>
              </w:tc>
              <w:tc>
                <w:tcPr>
                  <w:tcW w:w="211" w:type="pct"/>
                  <w:tcBorders>
                    <w:tl2br w:val="nil"/>
                    <w:tr2bl w:val="nil"/>
                  </w:tcBorders>
                  <w:shd w:val="clear" w:color="auto" w:fill="auto"/>
                  <w:tcMar>
                    <w:top w:w="0" w:type="dxa"/>
                    <w:left w:w="0" w:type="dxa"/>
                    <w:bottom w:w="0" w:type="dxa"/>
                    <w:right w:w="0" w:type="dxa"/>
                  </w:tcMar>
                  <w:vAlign w:val="center"/>
                </w:tcPr>
                <w:p w14:paraId="576A834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257.4</w:t>
                  </w:r>
                </w:p>
              </w:tc>
              <w:tc>
                <w:tcPr>
                  <w:tcW w:w="211" w:type="pct"/>
                  <w:tcBorders>
                    <w:tl2br w:val="nil"/>
                    <w:tr2bl w:val="nil"/>
                  </w:tcBorders>
                  <w:shd w:val="clear" w:color="auto" w:fill="auto"/>
                  <w:tcMar>
                    <w:top w:w="0" w:type="dxa"/>
                    <w:left w:w="0" w:type="dxa"/>
                    <w:bottom w:w="0" w:type="dxa"/>
                    <w:right w:w="0" w:type="dxa"/>
                  </w:tcMar>
                  <w:vAlign w:val="center"/>
                </w:tcPr>
                <w:p w14:paraId="2C362EE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110.6</w:t>
                  </w:r>
                </w:p>
              </w:tc>
              <w:tc>
                <w:tcPr>
                  <w:tcW w:w="166" w:type="pct"/>
                  <w:tcBorders>
                    <w:tl2br w:val="nil"/>
                    <w:tr2bl w:val="nil"/>
                  </w:tcBorders>
                  <w:shd w:val="clear" w:color="auto" w:fill="auto"/>
                  <w:tcMar>
                    <w:top w:w="0" w:type="dxa"/>
                    <w:left w:w="0" w:type="dxa"/>
                    <w:bottom w:w="0" w:type="dxa"/>
                    <w:right w:w="0" w:type="dxa"/>
                  </w:tcMar>
                  <w:vAlign w:val="center"/>
                </w:tcPr>
                <w:p w14:paraId="1AB46AB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072B8EB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056A015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409849C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223" w:type="pct"/>
                  <w:tcBorders>
                    <w:tl2br w:val="nil"/>
                    <w:tr2bl w:val="nil"/>
                  </w:tcBorders>
                  <w:shd w:val="clear" w:color="auto" w:fill="auto"/>
                  <w:tcMar>
                    <w:top w:w="0" w:type="dxa"/>
                    <w:left w:w="0" w:type="dxa"/>
                    <w:bottom w:w="0" w:type="dxa"/>
                    <w:right w:w="0" w:type="dxa"/>
                  </w:tcMar>
                  <w:vAlign w:val="center"/>
                </w:tcPr>
                <w:p w14:paraId="42BF006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42FEF50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934145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155186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518655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7D4203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1176FB2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089ED23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6BB7F94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04" w:type="pct"/>
                  <w:tcBorders>
                    <w:tl2br w:val="nil"/>
                    <w:tr2bl w:val="nil"/>
                  </w:tcBorders>
                  <w:shd w:val="clear" w:color="auto" w:fill="auto"/>
                  <w:tcMar>
                    <w:top w:w="0" w:type="dxa"/>
                    <w:left w:w="0" w:type="dxa"/>
                    <w:bottom w:w="0" w:type="dxa"/>
                    <w:right w:w="0" w:type="dxa"/>
                  </w:tcMar>
                  <w:vAlign w:val="center"/>
                </w:tcPr>
                <w:p w14:paraId="75EAE5C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6C22FD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3840582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121</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49CBF1B">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54FAD26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液压主泵,3台（按点声源组预测）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7342B7B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90（等效后：94.8)</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C6D8424">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0C65AAE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91</w:t>
                  </w:r>
                </w:p>
              </w:tc>
              <w:tc>
                <w:tcPr>
                  <w:tcW w:w="242" w:type="pct"/>
                  <w:tcBorders>
                    <w:tl2br w:val="nil"/>
                    <w:tr2bl w:val="nil"/>
                  </w:tcBorders>
                  <w:shd w:val="clear" w:color="auto" w:fill="auto"/>
                  <w:tcMar>
                    <w:top w:w="0" w:type="dxa"/>
                    <w:left w:w="0" w:type="dxa"/>
                    <w:bottom w:w="0" w:type="dxa"/>
                    <w:right w:w="0" w:type="dxa"/>
                  </w:tcMar>
                  <w:vAlign w:val="center"/>
                </w:tcPr>
                <w:p w14:paraId="1D8771C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72.9</w:t>
                  </w:r>
                </w:p>
              </w:tc>
              <w:tc>
                <w:tcPr>
                  <w:tcW w:w="120" w:type="pct"/>
                  <w:tcBorders>
                    <w:tl2br w:val="nil"/>
                    <w:tr2bl w:val="nil"/>
                  </w:tcBorders>
                  <w:shd w:val="clear" w:color="auto" w:fill="auto"/>
                  <w:tcMar>
                    <w:top w:w="0" w:type="dxa"/>
                    <w:left w:w="0" w:type="dxa"/>
                    <w:bottom w:w="0" w:type="dxa"/>
                    <w:right w:w="0" w:type="dxa"/>
                  </w:tcMar>
                  <w:vAlign w:val="center"/>
                </w:tcPr>
                <w:p w14:paraId="532D350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1C608DA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94.8</w:t>
                  </w:r>
                </w:p>
              </w:tc>
              <w:tc>
                <w:tcPr>
                  <w:tcW w:w="211" w:type="pct"/>
                  <w:tcBorders>
                    <w:tl2br w:val="nil"/>
                    <w:tr2bl w:val="nil"/>
                  </w:tcBorders>
                  <w:shd w:val="clear" w:color="auto" w:fill="auto"/>
                  <w:tcMar>
                    <w:top w:w="0" w:type="dxa"/>
                    <w:left w:w="0" w:type="dxa"/>
                    <w:bottom w:w="0" w:type="dxa"/>
                    <w:right w:w="0" w:type="dxa"/>
                  </w:tcMar>
                  <w:vAlign w:val="center"/>
                </w:tcPr>
                <w:p w14:paraId="32EE391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337.7</w:t>
                  </w:r>
                </w:p>
              </w:tc>
              <w:tc>
                <w:tcPr>
                  <w:tcW w:w="211" w:type="pct"/>
                  <w:tcBorders>
                    <w:tl2br w:val="nil"/>
                    <w:tr2bl w:val="nil"/>
                  </w:tcBorders>
                  <w:shd w:val="clear" w:color="auto" w:fill="auto"/>
                  <w:tcMar>
                    <w:top w:w="0" w:type="dxa"/>
                    <w:left w:w="0" w:type="dxa"/>
                    <w:bottom w:w="0" w:type="dxa"/>
                    <w:right w:w="0" w:type="dxa"/>
                  </w:tcMar>
                  <w:vAlign w:val="center"/>
                </w:tcPr>
                <w:p w14:paraId="2410862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264.1</w:t>
                  </w:r>
                </w:p>
              </w:tc>
              <w:tc>
                <w:tcPr>
                  <w:tcW w:w="211" w:type="pct"/>
                  <w:tcBorders>
                    <w:tl2br w:val="nil"/>
                    <w:tr2bl w:val="nil"/>
                  </w:tcBorders>
                  <w:shd w:val="clear" w:color="auto" w:fill="auto"/>
                  <w:tcMar>
                    <w:top w:w="0" w:type="dxa"/>
                    <w:left w:w="0" w:type="dxa"/>
                    <w:bottom w:w="0" w:type="dxa"/>
                    <w:right w:w="0" w:type="dxa"/>
                  </w:tcMar>
                  <w:vAlign w:val="center"/>
                </w:tcPr>
                <w:p w14:paraId="37012EA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104.0</w:t>
                  </w:r>
                </w:p>
              </w:tc>
              <w:tc>
                <w:tcPr>
                  <w:tcW w:w="166" w:type="pct"/>
                  <w:tcBorders>
                    <w:tl2br w:val="nil"/>
                    <w:tr2bl w:val="nil"/>
                  </w:tcBorders>
                  <w:shd w:val="clear" w:color="auto" w:fill="auto"/>
                  <w:tcMar>
                    <w:top w:w="0" w:type="dxa"/>
                    <w:left w:w="0" w:type="dxa"/>
                    <w:bottom w:w="0" w:type="dxa"/>
                    <w:right w:w="0" w:type="dxa"/>
                  </w:tcMar>
                  <w:vAlign w:val="center"/>
                </w:tcPr>
                <w:p w14:paraId="37A5DA8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71.9</w:t>
                  </w:r>
                </w:p>
              </w:tc>
              <w:tc>
                <w:tcPr>
                  <w:tcW w:w="166" w:type="pct"/>
                  <w:tcBorders>
                    <w:tl2br w:val="nil"/>
                    <w:tr2bl w:val="nil"/>
                  </w:tcBorders>
                  <w:shd w:val="clear" w:color="auto" w:fill="auto"/>
                  <w:tcMar>
                    <w:top w:w="0" w:type="dxa"/>
                    <w:left w:w="0" w:type="dxa"/>
                    <w:bottom w:w="0" w:type="dxa"/>
                    <w:right w:w="0" w:type="dxa"/>
                  </w:tcMar>
                  <w:vAlign w:val="center"/>
                </w:tcPr>
                <w:p w14:paraId="5CE0A05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71.9</w:t>
                  </w:r>
                </w:p>
              </w:tc>
              <w:tc>
                <w:tcPr>
                  <w:tcW w:w="166" w:type="pct"/>
                  <w:tcBorders>
                    <w:tl2br w:val="nil"/>
                    <w:tr2bl w:val="nil"/>
                  </w:tcBorders>
                  <w:shd w:val="clear" w:color="auto" w:fill="auto"/>
                  <w:tcMar>
                    <w:top w:w="0" w:type="dxa"/>
                    <w:left w:w="0" w:type="dxa"/>
                    <w:bottom w:w="0" w:type="dxa"/>
                    <w:right w:w="0" w:type="dxa"/>
                  </w:tcMar>
                  <w:vAlign w:val="center"/>
                </w:tcPr>
                <w:p w14:paraId="1A8853C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71.9</w:t>
                  </w:r>
                </w:p>
              </w:tc>
              <w:tc>
                <w:tcPr>
                  <w:tcW w:w="166" w:type="pct"/>
                  <w:tcBorders>
                    <w:tl2br w:val="nil"/>
                    <w:tr2bl w:val="nil"/>
                  </w:tcBorders>
                  <w:shd w:val="clear" w:color="auto" w:fill="auto"/>
                  <w:tcMar>
                    <w:top w:w="0" w:type="dxa"/>
                    <w:left w:w="0" w:type="dxa"/>
                    <w:bottom w:w="0" w:type="dxa"/>
                    <w:right w:w="0" w:type="dxa"/>
                  </w:tcMar>
                  <w:vAlign w:val="center"/>
                </w:tcPr>
                <w:p w14:paraId="7F3BEA5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71.9</w:t>
                  </w:r>
                </w:p>
              </w:tc>
              <w:tc>
                <w:tcPr>
                  <w:tcW w:w="223" w:type="pct"/>
                  <w:tcBorders>
                    <w:tl2br w:val="nil"/>
                    <w:tr2bl w:val="nil"/>
                  </w:tcBorders>
                  <w:shd w:val="clear" w:color="auto" w:fill="auto"/>
                  <w:tcMar>
                    <w:top w:w="0" w:type="dxa"/>
                    <w:left w:w="0" w:type="dxa"/>
                    <w:bottom w:w="0" w:type="dxa"/>
                    <w:right w:w="0" w:type="dxa"/>
                  </w:tcMar>
                  <w:vAlign w:val="center"/>
                </w:tcPr>
                <w:p w14:paraId="330C3F6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385D4E0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C59173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295562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2D1532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1D98E1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50.9</w:t>
                  </w:r>
                </w:p>
              </w:tc>
              <w:tc>
                <w:tcPr>
                  <w:tcW w:w="166" w:type="pct"/>
                  <w:tcBorders>
                    <w:tl2br w:val="nil"/>
                    <w:tr2bl w:val="nil"/>
                  </w:tcBorders>
                  <w:shd w:val="clear" w:color="auto" w:fill="auto"/>
                  <w:tcMar>
                    <w:top w:w="0" w:type="dxa"/>
                    <w:left w:w="0" w:type="dxa"/>
                    <w:bottom w:w="0" w:type="dxa"/>
                    <w:right w:w="0" w:type="dxa"/>
                  </w:tcMar>
                  <w:vAlign w:val="center"/>
                </w:tcPr>
                <w:p w14:paraId="58A9C8A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50.9</w:t>
                  </w:r>
                </w:p>
              </w:tc>
              <w:tc>
                <w:tcPr>
                  <w:tcW w:w="166" w:type="pct"/>
                  <w:tcBorders>
                    <w:tl2br w:val="nil"/>
                    <w:tr2bl w:val="nil"/>
                  </w:tcBorders>
                  <w:shd w:val="clear" w:color="auto" w:fill="auto"/>
                  <w:tcMar>
                    <w:top w:w="0" w:type="dxa"/>
                    <w:left w:w="0" w:type="dxa"/>
                    <w:bottom w:w="0" w:type="dxa"/>
                    <w:right w:w="0" w:type="dxa"/>
                  </w:tcMar>
                  <w:vAlign w:val="center"/>
                </w:tcPr>
                <w:p w14:paraId="7355715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50.9</w:t>
                  </w:r>
                </w:p>
              </w:tc>
              <w:tc>
                <w:tcPr>
                  <w:tcW w:w="166" w:type="pct"/>
                  <w:tcBorders>
                    <w:tl2br w:val="nil"/>
                    <w:tr2bl w:val="nil"/>
                  </w:tcBorders>
                  <w:shd w:val="clear" w:color="auto" w:fill="auto"/>
                  <w:tcMar>
                    <w:top w:w="0" w:type="dxa"/>
                    <w:left w:w="0" w:type="dxa"/>
                    <w:bottom w:w="0" w:type="dxa"/>
                    <w:right w:w="0" w:type="dxa"/>
                  </w:tcMar>
                  <w:vAlign w:val="center"/>
                </w:tcPr>
                <w:p w14:paraId="2ED2C23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50.9</w:t>
                  </w:r>
                </w:p>
              </w:tc>
              <w:tc>
                <w:tcPr>
                  <w:tcW w:w="104" w:type="pct"/>
                  <w:tcBorders>
                    <w:tl2br w:val="nil"/>
                    <w:tr2bl w:val="nil"/>
                  </w:tcBorders>
                  <w:shd w:val="clear" w:color="auto" w:fill="auto"/>
                  <w:tcMar>
                    <w:top w:w="0" w:type="dxa"/>
                    <w:left w:w="0" w:type="dxa"/>
                    <w:bottom w:w="0" w:type="dxa"/>
                    <w:right w:w="0" w:type="dxa"/>
                  </w:tcMar>
                  <w:vAlign w:val="center"/>
                </w:tcPr>
                <w:p w14:paraId="476EA10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5F7DF3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B4B404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122</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CFEFA6B">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7950898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稀油主泵</w:t>
                  </w:r>
                </w:p>
              </w:tc>
              <w:tc>
                <w:tcPr>
                  <w:tcW w:w="264" w:type="pct"/>
                  <w:tcBorders>
                    <w:tl2br w:val="nil"/>
                    <w:tr2bl w:val="nil"/>
                  </w:tcBorders>
                  <w:shd w:val="clear" w:color="auto" w:fill="auto"/>
                  <w:tcMar>
                    <w:top w:w="0" w:type="dxa"/>
                    <w:left w:w="0" w:type="dxa"/>
                    <w:bottom w:w="0" w:type="dxa"/>
                    <w:right w:w="0" w:type="dxa"/>
                  </w:tcMar>
                  <w:vAlign w:val="center"/>
                </w:tcPr>
                <w:p w14:paraId="567541C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2DEF672">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2273D34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93.7</w:t>
                  </w:r>
                </w:p>
              </w:tc>
              <w:tc>
                <w:tcPr>
                  <w:tcW w:w="242" w:type="pct"/>
                  <w:tcBorders>
                    <w:tl2br w:val="nil"/>
                    <w:tr2bl w:val="nil"/>
                  </w:tcBorders>
                  <w:shd w:val="clear" w:color="auto" w:fill="auto"/>
                  <w:tcMar>
                    <w:top w:w="0" w:type="dxa"/>
                    <w:left w:w="0" w:type="dxa"/>
                    <w:bottom w:w="0" w:type="dxa"/>
                    <w:right w:w="0" w:type="dxa"/>
                  </w:tcMar>
                  <w:vAlign w:val="center"/>
                </w:tcPr>
                <w:p w14:paraId="14D6515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82.2</w:t>
                  </w:r>
                </w:p>
              </w:tc>
              <w:tc>
                <w:tcPr>
                  <w:tcW w:w="120" w:type="pct"/>
                  <w:tcBorders>
                    <w:tl2br w:val="nil"/>
                    <w:tr2bl w:val="nil"/>
                  </w:tcBorders>
                  <w:shd w:val="clear" w:color="auto" w:fill="auto"/>
                  <w:tcMar>
                    <w:top w:w="0" w:type="dxa"/>
                    <w:left w:w="0" w:type="dxa"/>
                    <w:bottom w:w="0" w:type="dxa"/>
                    <w:right w:w="0" w:type="dxa"/>
                  </w:tcMar>
                  <w:vAlign w:val="center"/>
                </w:tcPr>
                <w:p w14:paraId="16F0471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5058F07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95.7</w:t>
                  </w:r>
                </w:p>
              </w:tc>
              <w:tc>
                <w:tcPr>
                  <w:tcW w:w="211" w:type="pct"/>
                  <w:tcBorders>
                    <w:tl2br w:val="nil"/>
                    <w:tr2bl w:val="nil"/>
                  </w:tcBorders>
                  <w:shd w:val="clear" w:color="auto" w:fill="auto"/>
                  <w:tcMar>
                    <w:top w:w="0" w:type="dxa"/>
                    <w:left w:w="0" w:type="dxa"/>
                    <w:bottom w:w="0" w:type="dxa"/>
                    <w:right w:w="0" w:type="dxa"/>
                  </w:tcMar>
                  <w:vAlign w:val="center"/>
                </w:tcPr>
                <w:p w14:paraId="362A1BB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347.3</w:t>
                  </w:r>
                </w:p>
              </w:tc>
              <w:tc>
                <w:tcPr>
                  <w:tcW w:w="211" w:type="pct"/>
                  <w:tcBorders>
                    <w:tl2br w:val="nil"/>
                    <w:tr2bl w:val="nil"/>
                  </w:tcBorders>
                  <w:shd w:val="clear" w:color="auto" w:fill="auto"/>
                  <w:tcMar>
                    <w:top w:w="0" w:type="dxa"/>
                    <w:left w:w="0" w:type="dxa"/>
                    <w:bottom w:w="0" w:type="dxa"/>
                    <w:right w:w="0" w:type="dxa"/>
                  </w:tcMar>
                  <w:vAlign w:val="center"/>
                </w:tcPr>
                <w:p w14:paraId="063EFA1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273.7</w:t>
                  </w:r>
                </w:p>
              </w:tc>
              <w:tc>
                <w:tcPr>
                  <w:tcW w:w="211" w:type="pct"/>
                  <w:tcBorders>
                    <w:tl2br w:val="nil"/>
                    <w:tr2bl w:val="nil"/>
                  </w:tcBorders>
                  <w:shd w:val="clear" w:color="auto" w:fill="auto"/>
                  <w:tcMar>
                    <w:top w:w="0" w:type="dxa"/>
                    <w:left w:w="0" w:type="dxa"/>
                    <w:bottom w:w="0" w:type="dxa"/>
                    <w:right w:w="0" w:type="dxa"/>
                  </w:tcMar>
                  <w:vAlign w:val="center"/>
                </w:tcPr>
                <w:p w14:paraId="6E42447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94.4</w:t>
                  </w:r>
                </w:p>
              </w:tc>
              <w:tc>
                <w:tcPr>
                  <w:tcW w:w="166" w:type="pct"/>
                  <w:tcBorders>
                    <w:tl2br w:val="nil"/>
                    <w:tr2bl w:val="nil"/>
                  </w:tcBorders>
                  <w:shd w:val="clear" w:color="auto" w:fill="auto"/>
                  <w:tcMar>
                    <w:top w:w="0" w:type="dxa"/>
                    <w:left w:w="0" w:type="dxa"/>
                    <w:bottom w:w="0" w:type="dxa"/>
                    <w:right w:w="0" w:type="dxa"/>
                  </w:tcMar>
                  <w:vAlign w:val="center"/>
                </w:tcPr>
                <w:p w14:paraId="24A3B1A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59E244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1D6572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236416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2CC1333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381D95B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BB735D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1F614C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0EAD4D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7BB7A9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2F6721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B6F3DF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E9590B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16037F6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36DB2F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069265F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123</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F0A0FB2">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5EAD333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稀油主泵</w:t>
                  </w:r>
                </w:p>
              </w:tc>
              <w:tc>
                <w:tcPr>
                  <w:tcW w:w="264" w:type="pct"/>
                  <w:tcBorders>
                    <w:tl2br w:val="nil"/>
                    <w:tr2bl w:val="nil"/>
                  </w:tcBorders>
                  <w:shd w:val="clear" w:color="auto" w:fill="auto"/>
                  <w:tcMar>
                    <w:top w:w="0" w:type="dxa"/>
                    <w:left w:w="0" w:type="dxa"/>
                    <w:bottom w:w="0" w:type="dxa"/>
                    <w:right w:w="0" w:type="dxa"/>
                  </w:tcMar>
                  <w:vAlign w:val="center"/>
                </w:tcPr>
                <w:p w14:paraId="1152CE6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1E4CB05">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46E8A3C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94.7</w:t>
                  </w:r>
                </w:p>
              </w:tc>
              <w:tc>
                <w:tcPr>
                  <w:tcW w:w="242" w:type="pct"/>
                  <w:tcBorders>
                    <w:tl2br w:val="nil"/>
                    <w:tr2bl w:val="nil"/>
                  </w:tcBorders>
                  <w:shd w:val="clear" w:color="auto" w:fill="auto"/>
                  <w:tcMar>
                    <w:top w:w="0" w:type="dxa"/>
                    <w:left w:w="0" w:type="dxa"/>
                    <w:bottom w:w="0" w:type="dxa"/>
                    <w:right w:w="0" w:type="dxa"/>
                  </w:tcMar>
                  <w:vAlign w:val="center"/>
                </w:tcPr>
                <w:p w14:paraId="54BE315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86.1</w:t>
                  </w:r>
                </w:p>
              </w:tc>
              <w:tc>
                <w:tcPr>
                  <w:tcW w:w="120" w:type="pct"/>
                  <w:tcBorders>
                    <w:tl2br w:val="nil"/>
                    <w:tr2bl w:val="nil"/>
                  </w:tcBorders>
                  <w:shd w:val="clear" w:color="auto" w:fill="auto"/>
                  <w:tcMar>
                    <w:top w:w="0" w:type="dxa"/>
                    <w:left w:w="0" w:type="dxa"/>
                    <w:bottom w:w="0" w:type="dxa"/>
                    <w:right w:w="0" w:type="dxa"/>
                  </w:tcMar>
                  <w:vAlign w:val="center"/>
                </w:tcPr>
                <w:p w14:paraId="707B27E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003D747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96.2</w:t>
                  </w:r>
                </w:p>
              </w:tc>
              <w:tc>
                <w:tcPr>
                  <w:tcW w:w="211" w:type="pct"/>
                  <w:tcBorders>
                    <w:tl2br w:val="nil"/>
                    <w:tr2bl w:val="nil"/>
                  </w:tcBorders>
                  <w:shd w:val="clear" w:color="auto" w:fill="auto"/>
                  <w:tcMar>
                    <w:top w:w="0" w:type="dxa"/>
                    <w:left w:w="0" w:type="dxa"/>
                    <w:bottom w:w="0" w:type="dxa"/>
                    <w:right w:w="0" w:type="dxa"/>
                  </w:tcMar>
                  <w:vAlign w:val="center"/>
                </w:tcPr>
                <w:p w14:paraId="39F98A6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351.3</w:t>
                  </w:r>
                </w:p>
              </w:tc>
              <w:tc>
                <w:tcPr>
                  <w:tcW w:w="211" w:type="pct"/>
                  <w:tcBorders>
                    <w:tl2br w:val="nil"/>
                    <w:tr2bl w:val="nil"/>
                  </w:tcBorders>
                  <w:shd w:val="clear" w:color="auto" w:fill="auto"/>
                  <w:tcMar>
                    <w:top w:w="0" w:type="dxa"/>
                    <w:left w:w="0" w:type="dxa"/>
                    <w:bottom w:w="0" w:type="dxa"/>
                    <w:right w:w="0" w:type="dxa"/>
                  </w:tcMar>
                  <w:vAlign w:val="center"/>
                </w:tcPr>
                <w:p w14:paraId="762FD7E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277.6</w:t>
                  </w:r>
                </w:p>
              </w:tc>
              <w:tc>
                <w:tcPr>
                  <w:tcW w:w="211" w:type="pct"/>
                  <w:tcBorders>
                    <w:tl2br w:val="nil"/>
                    <w:tr2bl w:val="nil"/>
                  </w:tcBorders>
                  <w:shd w:val="clear" w:color="auto" w:fill="auto"/>
                  <w:tcMar>
                    <w:top w:w="0" w:type="dxa"/>
                    <w:left w:w="0" w:type="dxa"/>
                    <w:bottom w:w="0" w:type="dxa"/>
                    <w:right w:w="0" w:type="dxa"/>
                  </w:tcMar>
                  <w:vAlign w:val="center"/>
                </w:tcPr>
                <w:p w14:paraId="60BDDE3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90.4</w:t>
                  </w:r>
                </w:p>
              </w:tc>
              <w:tc>
                <w:tcPr>
                  <w:tcW w:w="166" w:type="pct"/>
                  <w:tcBorders>
                    <w:tl2br w:val="nil"/>
                    <w:tr2bl w:val="nil"/>
                  </w:tcBorders>
                  <w:shd w:val="clear" w:color="auto" w:fill="auto"/>
                  <w:tcMar>
                    <w:top w:w="0" w:type="dxa"/>
                    <w:left w:w="0" w:type="dxa"/>
                    <w:bottom w:w="0" w:type="dxa"/>
                    <w:right w:w="0" w:type="dxa"/>
                  </w:tcMar>
                  <w:vAlign w:val="center"/>
                </w:tcPr>
                <w:p w14:paraId="664FDCE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41B5F3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CDCBA6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F07E1A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5138173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421F3F0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469B27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B789A7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7BF197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ABEAD6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70098F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0BDD87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60C894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7DF3DFD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6EB7C5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05582F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124</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351201A">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0CA5CAC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提升机</w:t>
                  </w:r>
                </w:p>
              </w:tc>
              <w:tc>
                <w:tcPr>
                  <w:tcW w:w="264" w:type="pct"/>
                  <w:tcBorders>
                    <w:tl2br w:val="nil"/>
                    <w:tr2bl w:val="nil"/>
                  </w:tcBorders>
                  <w:shd w:val="clear" w:color="auto" w:fill="auto"/>
                  <w:tcMar>
                    <w:top w:w="0" w:type="dxa"/>
                    <w:left w:w="0" w:type="dxa"/>
                    <w:bottom w:w="0" w:type="dxa"/>
                    <w:right w:w="0" w:type="dxa"/>
                  </w:tcMar>
                  <w:vAlign w:val="center"/>
                </w:tcPr>
                <w:p w14:paraId="71E9F06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E89DDE8">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09096DE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98.6</w:t>
                  </w:r>
                </w:p>
              </w:tc>
              <w:tc>
                <w:tcPr>
                  <w:tcW w:w="242" w:type="pct"/>
                  <w:tcBorders>
                    <w:tl2br w:val="nil"/>
                    <w:tr2bl w:val="nil"/>
                  </w:tcBorders>
                  <w:shd w:val="clear" w:color="auto" w:fill="auto"/>
                  <w:tcMar>
                    <w:top w:w="0" w:type="dxa"/>
                    <w:left w:w="0" w:type="dxa"/>
                    <w:bottom w:w="0" w:type="dxa"/>
                    <w:right w:w="0" w:type="dxa"/>
                  </w:tcMar>
                  <w:vAlign w:val="center"/>
                </w:tcPr>
                <w:p w14:paraId="03863D5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94.4</w:t>
                  </w:r>
                </w:p>
              </w:tc>
              <w:tc>
                <w:tcPr>
                  <w:tcW w:w="120" w:type="pct"/>
                  <w:tcBorders>
                    <w:tl2br w:val="nil"/>
                    <w:tr2bl w:val="nil"/>
                  </w:tcBorders>
                  <w:shd w:val="clear" w:color="auto" w:fill="auto"/>
                  <w:tcMar>
                    <w:top w:w="0" w:type="dxa"/>
                    <w:left w:w="0" w:type="dxa"/>
                    <w:bottom w:w="0" w:type="dxa"/>
                    <w:right w:w="0" w:type="dxa"/>
                  </w:tcMar>
                  <w:vAlign w:val="center"/>
                </w:tcPr>
                <w:p w14:paraId="055B672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2F74750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95.7</w:t>
                  </w:r>
                </w:p>
              </w:tc>
              <w:tc>
                <w:tcPr>
                  <w:tcW w:w="211" w:type="pct"/>
                  <w:tcBorders>
                    <w:tl2br w:val="nil"/>
                    <w:tr2bl w:val="nil"/>
                  </w:tcBorders>
                  <w:shd w:val="clear" w:color="auto" w:fill="auto"/>
                  <w:tcMar>
                    <w:top w:w="0" w:type="dxa"/>
                    <w:left w:w="0" w:type="dxa"/>
                    <w:bottom w:w="0" w:type="dxa"/>
                    <w:right w:w="0" w:type="dxa"/>
                  </w:tcMar>
                  <w:vAlign w:val="center"/>
                </w:tcPr>
                <w:p w14:paraId="0D80927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360.5</w:t>
                  </w:r>
                </w:p>
              </w:tc>
              <w:tc>
                <w:tcPr>
                  <w:tcW w:w="211" w:type="pct"/>
                  <w:tcBorders>
                    <w:tl2br w:val="nil"/>
                    <w:tr2bl w:val="nil"/>
                  </w:tcBorders>
                  <w:shd w:val="clear" w:color="auto" w:fill="auto"/>
                  <w:tcMar>
                    <w:top w:w="0" w:type="dxa"/>
                    <w:left w:w="0" w:type="dxa"/>
                    <w:bottom w:w="0" w:type="dxa"/>
                    <w:right w:w="0" w:type="dxa"/>
                  </w:tcMar>
                  <w:vAlign w:val="center"/>
                </w:tcPr>
                <w:p w14:paraId="5CB1313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286.8</w:t>
                  </w:r>
                </w:p>
              </w:tc>
              <w:tc>
                <w:tcPr>
                  <w:tcW w:w="211" w:type="pct"/>
                  <w:tcBorders>
                    <w:tl2br w:val="nil"/>
                    <w:tr2bl w:val="nil"/>
                  </w:tcBorders>
                  <w:shd w:val="clear" w:color="auto" w:fill="auto"/>
                  <w:tcMar>
                    <w:top w:w="0" w:type="dxa"/>
                    <w:left w:w="0" w:type="dxa"/>
                    <w:bottom w:w="0" w:type="dxa"/>
                    <w:right w:w="0" w:type="dxa"/>
                  </w:tcMar>
                  <w:vAlign w:val="center"/>
                </w:tcPr>
                <w:p w14:paraId="0D2F3CE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81.3</w:t>
                  </w:r>
                </w:p>
              </w:tc>
              <w:tc>
                <w:tcPr>
                  <w:tcW w:w="166" w:type="pct"/>
                  <w:tcBorders>
                    <w:tl2br w:val="nil"/>
                    <w:tr2bl w:val="nil"/>
                  </w:tcBorders>
                  <w:shd w:val="clear" w:color="auto" w:fill="auto"/>
                  <w:tcMar>
                    <w:top w:w="0" w:type="dxa"/>
                    <w:left w:w="0" w:type="dxa"/>
                    <w:bottom w:w="0" w:type="dxa"/>
                    <w:right w:w="0" w:type="dxa"/>
                  </w:tcMar>
                  <w:vAlign w:val="center"/>
                </w:tcPr>
                <w:p w14:paraId="7F582EB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4C3A42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B67BE9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BEF963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35F0791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2C77125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900ED0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C74CB6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D99DF1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C63044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5C6860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29B49E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FD7FAC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0604C27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538C4F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E6225F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6B6790B">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4FF1479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剪切机</w:t>
                  </w:r>
                </w:p>
              </w:tc>
              <w:tc>
                <w:tcPr>
                  <w:tcW w:w="264" w:type="pct"/>
                  <w:tcBorders>
                    <w:tl2br w:val="nil"/>
                    <w:tr2bl w:val="nil"/>
                  </w:tcBorders>
                  <w:shd w:val="clear" w:color="auto" w:fill="auto"/>
                  <w:tcMar>
                    <w:top w:w="0" w:type="dxa"/>
                    <w:left w:w="0" w:type="dxa"/>
                    <w:bottom w:w="0" w:type="dxa"/>
                    <w:right w:w="0" w:type="dxa"/>
                  </w:tcMar>
                  <w:vAlign w:val="center"/>
                </w:tcPr>
                <w:p w14:paraId="7E8CACD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E78A6F1">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48A28F3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102</w:t>
                  </w:r>
                </w:p>
              </w:tc>
              <w:tc>
                <w:tcPr>
                  <w:tcW w:w="242" w:type="pct"/>
                  <w:tcBorders>
                    <w:tl2br w:val="nil"/>
                    <w:tr2bl w:val="nil"/>
                  </w:tcBorders>
                  <w:shd w:val="clear" w:color="auto" w:fill="auto"/>
                  <w:tcMar>
                    <w:top w:w="0" w:type="dxa"/>
                    <w:left w:w="0" w:type="dxa"/>
                    <w:bottom w:w="0" w:type="dxa"/>
                    <w:right w:w="0" w:type="dxa"/>
                  </w:tcMar>
                  <w:vAlign w:val="center"/>
                </w:tcPr>
                <w:p w14:paraId="509EA2A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103</w:t>
                  </w:r>
                </w:p>
              </w:tc>
              <w:tc>
                <w:tcPr>
                  <w:tcW w:w="120" w:type="pct"/>
                  <w:tcBorders>
                    <w:tl2br w:val="nil"/>
                    <w:tr2bl w:val="nil"/>
                  </w:tcBorders>
                  <w:shd w:val="clear" w:color="auto" w:fill="auto"/>
                  <w:tcMar>
                    <w:top w:w="0" w:type="dxa"/>
                    <w:left w:w="0" w:type="dxa"/>
                    <w:bottom w:w="0" w:type="dxa"/>
                    <w:right w:w="0" w:type="dxa"/>
                  </w:tcMar>
                  <w:vAlign w:val="center"/>
                </w:tcPr>
                <w:p w14:paraId="74474FA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11" w:type="pct"/>
                  <w:tcBorders>
                    <w:tl2br w:val="nil"/>
                    <w:tr2bl w:val="nil"/>
                  </w:tcBorders>
                  <w:shd w:val="clear" w:color="auto" w:fill="auto"/>
                  <w:tcMar>
                    <w:top w:w="0" w:type="dxa"/>
                    <w:left w:w="0" w:type="dxa"/>
                    <w:bottom w:w="0" w:type="dxa"/>
                    <w:right w:w="0" w:type="dxa"/>
                  </w:tcMar>
                  <w:vAlign w:val="center"/>
                </w:tcPr>
                <w:p w14:paraId="7764AC0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95.7</w:t>
                  </w:r>
                </w:p>
              </w:tc>
              <w:tc>
                <w:tcPr>
                  <w:tcW w:w="211" w:type="pct"/>
                  <w:tcBorders>
                    <w:tl2br w:val="nil"/>
                    <w:tr2bl w:val="nil"/>
                  </w:tcBorders>
                  <w:shd w:val="clear" w:color="auto" w:fill="auto"/>
                  <w:tcMar>
                    <w:top w:w="0" w:type="dxa"/>
                    <w:left w:w="0" w:type="dxa"/>
                    <w:bottom w:w="0" w:type="dxa"/>
                    <w:right w:w="0" w:type="dxa"/>
                  </w:tcMar>
                  <w:vAlign w:val="center"/>
                </w:tcPr>
                <w:p w14:paraId="32FD627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369.7</w:t>
                  </w:r>
                </w:p>
              </w:tc>
              <w:tc>
                <w:tcPr>
                  <w:tcW w:w="211" w:type="pct"/>
                  <w:tcBorders>
                    <w:tl2br w:val="nil"/>
                    <w:tr2bl w:val="nil"/>
                  </w:tcBorders>
                  <w:shd w:val="clear" w:color="auto" w:fill="auto"/>
                  <w:tcMar>
                    <w:top w:w="0" w:type="dxa"/>
                    <w:left w:w="0" w:type="dxa"/>
                    <w:bottom w:w="0" w:type="dxa"/>
                    <w:right w:w="0" w:type="dxa"/>
                  </w:tcMar>
                  <w:vAlign w:val="center"/>
                </w:tcPr>
                <w:p w14:paraId="1D149DA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296.0</w:t>
                  </w:r>
                </w:p>
              </w:tc>
              <w:tc>
                <w:tcPr>
                  <w:tcW w:w="211" w:type="pct"/>
                  <w:tcBorders>
                    <w:tl2br w:val="nil"/>
                    <w:tr2bl w:val="nil"/>
                  </w:tcBorders>
                  <w:shd w:val="clear" w:color="auto" w:fill="auto"/>
                  <w:tcMar>
                    <w:top w:w="0" w:type="dxa"/>
                    <w:left w:w="0" w:type="dxa"/>
                    <w:bottom w:w="0" w:type="dxa"/>
                    <w:right w:w="0" w:type="dxa"/>
                  </w:tcMar>
                  <w:vAlign w:val="center"/>
                </w:tcPr>
                <w:p w14:paraId="398DF02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72.0</w:t>
                  </w:r>
                </w:p>
              </w:tc>
              <w:tc>
                <w:tcPr>
                  <w:tcW w:w="166" w:type="pct"/>
                  <w:tcBorders>
                    <w:tl2br w:val="nil"/>
                    <w:tr2bl w:val="nil"/>
                  </w:tcBorders>
                  <w:shd w:val="clear" w:color="auto" w:fill="auto"/>
                  <w:tcMar>
                    <w:top w:w="0" w:type="dxa"/>
                    <w:left w:w="0" w:type="dxa"/>
                    <w:bottom w:w="0" w:type="dxa"/>
                    <w:right w:w="0" w:type="dxa"/>
                  </w:tcMar>
                  <w:vAlign w:val="center"/>
                </w:tcPr>
                <w:p w14:paraId="4F7CF80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72BB27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D0914E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EACD4D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5C955E7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15A02B3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72B909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E92842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F1019D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5E9D31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3549A3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60E3D3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46F40A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0232A1F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45099D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42BEC17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126</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77E7B39">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7DC940F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打捆机</w:t>
                  </w:r>
                </w:p>
              </w:tc>
              <w:tc>
                <w:tcPr>
                  <w:tcW w:w="264" w:type="pct"/>
                  <w:tcBorders>
                    <w:tl2br w:val="nil"/>
                    <w:tr2bl w:val="nil"/>
                  </w:tcBorders>
                  <w:shd w:val="clear" w:color="auto" w:fill="auto"/>
                  <w:tcMar>
                    <w:top w:w="0" w:type="dxa"/>
                    <w:left w:w="0" w:type="dxa"/>
                    <w:bottom w:w="0" w:type="dxa"/>
                    <w:right w:w="0" w:type="dxa"/>
                  </w:tcMar>
                  <w:vAlign w:val="center"/>
                </w:tcPr>
                <w:p w14:paraId="5B472E0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D447417">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025ECFA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105</w:t>
                  </w:r>
                </w:p>
              </w:tc>
              <w:tc>
                <w:tcPr>
                  <w:tcW w:w="242" w:type="pct"/>
                  <w:tcBorders>
                    <w:tl2br w:val="nil"/>
                    <w:tr2bl w:val="nil"/>
                  </w:tcBorders>
                  <w:shd w:val="clear" w:color="auto" w:fill="auto"/>
                  <w:tcMar>
                    <w:top w:w="0" w:type="dxa"/>
                    <w:left w:w="0" w:type="dxa"/>
                    <w:bottom w:w="0" w:type="dxa"/>
                    <w:right w:w="0" w:type="dxa"/>
                  </w:tcMar>
                  <w:vAlign w:val="center"/>
                </w:tcPr>
                <w:p w14:paraId="450383B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110.7</w:t>
                  </w:r>
                </w:p>
              </w:tc>
              <w:tc>
                <w:tcPr>
                  <w:tcW w:w="120" w:type="pct"/>
                  <w:tcBorders>
                    <w:tl2br w:val="nil"/>
                    <w:tr2bl w:val="nil"/>
                  </w:tcBorders>
                  <w:shd w:val="clear" w:color="auto" w:fill="auto"/>
                  <w:tcMar>
                    <w:top w:w="0" w:type="dxa"/>
                    <w:left w:w="0" w:type="dxa"/>
                    <w:bottom w:w="0" w:type="dxa"/>
                    <w:right w:w="0" w:type="dxa"/>
                  </w:tcMar>
                  <w:vAlign w:val="center"/>
                </w:tcPr>
                <w:p w14:paraId="4E2AFB6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0.5</w:t>
                  </w:r>
                </w:p>
              </w:tc>
              <w:tc>
                <w:tcPr>
                  <w:tcW w:w="211" w:type="pct"/>
                  <w:tcBorders>
                    <w:tl2br w:val="nil"/>
                    <w:tr2bl w:val="nil"/>
                  </w:tcBorders>
                  <w:shd w:val="clear" w:color="auto" w:fill="auto"/>
                  <w:tcMar>
                    <w:top w:w="0" w:type="dxa"/>
                    <w:left w:w="0" w:type="dxa"/>
                    <w:bottom w:w="0" w:type="dxa"/>
                    <w:right w:w="0" w:type="dxa"/>
                  </w:tcMar>
                  <w:vAlign w:val="center"/>
                </w:tcPr>
                <w:p w14:paraId="46F63A4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95.7</w:t>
                  </w:r>
                </w:p>
              </w:tc>
              <w:tc>
                <w:tcPr>
                  <w:tcW w:w="211" w:type="pct"/>
                  <w:tcBorders>
                    <w:tl2br w:val="nil"/>
                    <w:tr2bl w:val="nil"/>
                  </w:tcBorders>
                  <w:shd w:val="clear" w:color="auto" w:fill="auto"/>
                  <w:tcMar>
                    <w:top w:w="0" w:type="dxa"/>
                    <w:left w:w="0" w:type="dxa"/>
                    <w:bottom w:w="0" w:type="dxa"/>
                    <w:right w:w="0" w:type="dxa"/>
                  </w:tcMar>
                  <w:vAlign w:val="center"/>
                </w:tcPr>
                <w:p w14:paraId="3173D42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378.0</w:t>
                  </w:r>
                </w:p>
              </w:tc>
              <w:tc>
                <w:tcPr>
                  <w:tcW w:w="211" w:type="pct"/>
                  <w:tcBorders>
                    <w:tl2br w:val="nil"/>
                    <w:tr2bl w:val="nil"/>
                  </w:tcBorders>
                  <w:shd w:val="clear" w:color="auto" w:fill="auto"/>
                  <w:tcMar>
                    <w:top w:w="0" w:type="dxa"/>
                    <w:left w:w="0" w:type="dxa"/>
                    <w:bottom w:w="0" w:type="dxa"/>
                    <w:right w:w="0" w:type="dxa"/>
                  </w:tcMar>
                  <w:vAlign w:val="center"/>
                </w:tcPr>
                <w:p w14:paraId="0FEDD25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304.3</w:t>
                  </w:r>
                </w:p>
              </w:tc>
              <w:tc>
                <w:tcPr>
                  <w:tcW w:w="211" w:type="pct"/>
                  <w:tcBorders>
                    <w:tl2br w:val="nil"/>
                    <w:tr2bl w:val="nil"/>
                  </w:tcBorders>
                  <w:shd w:val="clear" w:color="auto" w:fill="auto"/>
                  <w:tcMar>
                    <w:top w:w="0" w:type="dxa"/>
                    <w:left w:w="0" w:type="dxa"/>
                    <w:bottom w:w="0" w:type="dxa"/>
                    <w:right w:w="0" w:type="dxa"/>
                  </w:tcMar>
                  <w:vAlign w:val="center"/>
                </w:tcPr>
                <w:p w14:paraId="039BA3D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63.8</w:t>
                  </w:r>
                </w:p>
              </w:tc>
              <w:tc>
                <w:tcPr>
                  <w:tcW w:w="166" w:type="pct"/>
                  <w:tcBorders>
                    <w:tl2br w:val="nil"/>
                    <w:tr2bl w:val="nil"/>
                  </w:tcBorders>
                  <w:shd w:val="clear" w:color="auto" w:fill="auto"/>
                  <w:tcMar>
                    <w:top w:w="0" w:type="dxa"/>
                    <w:left w:w="0" w:type="dxa"/>
                    <w:bottom w:w="0" w:type="dxa"/>
                    <w:right w:w="0" w:type="dxa"/>
                  </w:tcMar>
                  <w:vAlign w:val="center"/>
                </w:tcPr>
                <w:p w14:paraId="2708F40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0A629C4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6B24CB4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166" w:type="pct"/>
                  <w:tcBorders>
                    <w:tl2br w:val="nil"/>
                    <w:tr2bl w:val="nil"/>
                  </w:tcBorders>
                  <w:shd w:val="clear" w:color="auto" w:fill="auto"/>
                  <w:tcMar>
                    <w:top w:w="0" w:type="dxa"/>
                    <w:left w:w="0" w:type="dxa"/>
                    <w:bottom w:w="0" w:type="dxa"/>
                    <w:right w:w="0" w:type="dxa"/>
                  </w:tcMar>
                  <w:vAlign w:val="center"/>
                </w:tcPr>
                <w:p w14:paraId="418A623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62.1</w:t>
                  </w:r>
                </w:p>
              </w:tc>
              <w:tc>
                <w:tcPr>
                  <w:tcW w:w="223" w:type="pct"/>
                  <w:tcBorders>
                    <w:tl2br w:val="nil"/>
                    <w:tr2bl w:val="nil"/>
                  </w:tcBorders>
                  <w:shd w:val="clear" w:color="auto" w:fill="auto"/>
                  <w:tcMar>
                    <w:top w:w="0" w:type="dxa"/>
                    <w:left w:w="0" w:type="dxa"/>
                    <w:bottom w:w="0" w:type="dxa"/>
                    <w:right w:w="0" w:type="dxa"/>
                  </w:tcMar>
                  <w:vAlign w:val="center"/>
                </w:tcPr>
                <w:p w14:paraId="6665CC0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4633D1B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D1ED47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3751B6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96E7AB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7B5ADD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4B32BF1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4FF2A1C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66" w:type="pct"/>
                  <w:tcBorders>
                    <w:tl2br w:val="nil"/>
                    <w:tr2bl w:val="nil"/>
                  </w:tcBorders>
                  <w:shd w:val="clear" w:color="auto" w:fill="auto"/>
                  <w:tcMar>
                    <w:top w:w="0" w:type="dxa"/>
                    <w:left w:w="0" w:type="dxa"/>
                    <w:bottom w:w="0" w:type="dxa"/>
                    <w:right w:w="0" w:type="dxa"/>
                  </w:tcMar>
                  <w:vAlign w:val="center"/>
                </w:tcPr>
                <w:p w14:paraId="4B12D30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04" w:type="pct"/>
                  <w:tcBorders>
                    <w:tl2br w:val="nil"/>
                    <w:tr2bl w:val="nil"/>
                  </w:tcBorders>
                  <w:shd w:val="clear" w:color="auto" w:fill="auto"/>
                  <w:tcMar>
                    <w:top w:w="0" w:type="dxa"/>
                    <w:left w:w="0" w:type="dxa"/>
                    <w:bottom w:w="0" w:type="dxa"/>
                    <w:right w:w="0" w:type="dxa"/>
                  </w:tcMar>
                  <w:vAlign w:val="center"/>
                </w:tcPr>
                <w:p w14:paraId="7D86434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621EF9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678472A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127</w:t>
                  </w:r>
                </w:p>
              </w:tc>
              <w:tc>
                <w:tcPr>
                  <w:tcW w:w="223" w:type="pct"/>
                  <w:vMerge w:val="restart"/>
                  <w:tcBorders>
                    <w:tl2br w:val="nil"/>
                    <w:tr2bl w:val="nil"/>
                  </w:tcBorders>
                  <w:shd w:val="clear" w:color="auto" w:fill="auto"/>
                  <w:tcMar>
                    <w:top w:w="0" w:type="dxa"/>
                    <w:left w:w="0" w:type="dxa"/>
                    <w:bottom w:w="0" w:type="dxa"/>
                    <w:right w:w="0" w:type="dxa"/>
                  </w:tcMar>
                  <w:vAlign w:val="center"/>
                </w:tcPr>
                <w:p w14:paraId="3D5B906C">
                  <w:pPr>
                    <w:jc w:val="center"/>
                    <w:rPr>
                      <w:rFonts w:hint="eastAsia" w:ascii="Times New Roman" w:hAnsi="Times New Roman" w:eastAsia="宋体" w:cs="Times New Roman"/>
                      <w:color w:val="auto"/>
                      <w:sz w:val="15"/>
                      <w:szCs w:val="15"/>
                      <w:lang w:eastAsia="zh-CN"/>
                    </w:rPr>
                  </w:pPr>
                  <w:r>
                    <w:rPr>
                      <w:rFonts w:hint="eastAsia" w:eastAsia="宋体" w:cs="Times New Roman"/>
                      <w:color w:val="auto"/>
                      <w:sz w:val="15"/>
                      <w:szCs w:val="15"/>
                      <w:lang w:val="en-US" w:eastAsia="zh-CN"/>
                    </w:rPr>
                    <w:t>铁芯车间</w:t>
                  </w:r>
                </w:p>
              </w:tc>
              <w:tc>
                <w:tcPr>
                  <w:tcW w:w="295" w:type="pct"/>
                  <w:tcBorders>
                    <w:tl2br w:val="nil"/>
                    <w:tr2bl w:val="nil"/>
                  </w:tcBorders>
                  <w:shd w:val="clear" w:color="auto" w:fill="auto"/>
                  <w:tcMar>
                    <w:top w:w="0" w:type="dxa"/>
                    <w:left w:w="0" w:type="dxa"/>
                    <w:bottom w:w="0" w:type="dxa"/>
                    <w:right w:w="0" w:type="dxa"/>
                  </w:tcMar>
                  <w:vAlign w:val="center"/>
                </w:tcPr>
                <w:p w14:paraId="24FDBB3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纵剪</w:t>
                  </w:r>
                </w:p>
              </w:tc>
              <w:tc>
                <w:tcPr>
                  <w:tcW w:w="264" w:type="pct"/>
                  <w:tcBorders>
                    <w:tl2br w:val="nil"/>
                    <w:tr2bl w:val="nil"/>
                  </w:tcBorders>
                  <w:shd w:val="clear" w:color="auto" w:fill="auto"/>
                  <w:tcMar>
                    <w:top w:w="0" w:type="dxa"/>
                    <w:left w:w="0" w:type="dxa"/>
                    <w:bottom w:w="0" w:type="dxa"/>
                    <w:right w:w="0" w:type="dxa"/>
                  </w:tcMar>
                  <w:vAlign w:val="center"/>
                </w:tcPr>
                <w:p w14:paraId="665F1E9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509863FD">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E8848E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-119.6</w:t>
                  </w:r>
                </w:p>
              </w:tc>
              <w:tc>
                <w:tcPr>
                  <w:tcW w:w="242" w:type="pct"/>
                  <w:tcBorders>
                    <w:tl2br w:val="nil"/>
                    <w:tr2bl w:val="nil"/>
                  </w:tcBorders>
                  <w:shd w:val="clear" w:color="auto" w:fill="auto"/>
                  <w:tcMar>
                    <w:top w:w="0" w:type="dxa"/>
                    <w:left w:w="0" w:type="dxa"/>
                    <w:bottom w:w="0" w:type="dxa"/>
                    <w:right w:w="0" w:type="dxa"/>
                  </w:tcMar>
                  <w:vAlign w:val="center"/>
                </w:tcPr>
                <w:p w14:paraId="0FD617B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-42.8</w:t>
                  </w:r>
                </w:p>
              </w:tc>
              <w:tc>
                <w:tcPr>
                  <w:tcW w:w="120" w:type="pct"/>
                  <w:tcBorders>
                    <w:tl2br w:val="nil"/>
                    <w:tr2bl w:val="nil"/>
                  </w:tcBorders>
                  <w:shd w:val="clear" w:color="auto" w:fill="auto"/>
                  <w:tcMar>
                    <w:top w:w="0" w:type="dxa"/>
                    <w:left w:w="0" w:type="dxa"/>
                    <w:bottom w:w="0" w:type="dxa"/>
                    <w:right w:w="0" w:type="dxa"/>
                  </w:tcMar>
                  <w:vAlign w:val="center"/>
                </w:tcPr>
                <w:p w14:paraId="6FE1A37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0.6</w:t>
                  </w:r>
                </w:p>
              </w:tc>
              <w:tc>
                <w:tcPr>
                  <w:tcW w:w="211" w:type="pct"/>
                  <w:tcBorders>
                    <w:tl2br w:val="nil"/>
                    <w:tr2bl w:val="nil"/>
                  </w:tcBorders>
                  <w:shd w:val="clear" w:color="auto" w:fill="auto"/>
                  <w:tcMar>
                    <w:top w:w="0" w:type="dxa"/>
                    <w:left w:w="0" w:type="dxa"/>
                    <w:bottom w:w="0" w:type="dxa"/>
                    <w:right w:w="0" w:type="dxa"/>
                  </w:tcMar>
                  <w:vAlign w:val="center"/>
                </w:tcPr>
                <w:p w14:paraId="2E29E8B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248.1</w:t>
                  </w:r>
                </w:p>
              </w:tc>
              <w:tc>
                <w:tcPr>
                  <w:tcW w:w="211" w:type="pct"/>
                  <w:tcBorders>
                    <w:tl2br w:val="nil"/>
                    <w:tr2bl w:val="nil"/>
                  </w:tcBorders>
                  <w:shd w:val="clear" w:color="auto" w:fill="auto"/>
                  <w:tcMar>
                    <w:top w:w="0" w:type="dxa"/>
                    <w:left w:w="0" w:type="dxa"/>
                    <w:bottom w:w="0" w:type="dxa"/>
                    <w:right w:w="0" w:type="dxa"/>
                  </w:tcMar>
                  <w:vAlign w:val="center"/>
                </w:tcPr>
                <w:p w14:paraId="09B8760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150.2</w:t>
                  </w:r>
                </w:p>
              </w:tc>
              <w:tc>
                <w:tcPr>
                  <w:tcW w:w="211" w:type="pct"/>
                  <w:tcBorders>
                    <w:tl2br w:val="nil"/>
                    <w:tr2bl w:val="nil"/>
                  </w:tcBorders>
                  <w:shd w:val="clear" w:color="auto" w:fill="auto"/>
                  <w:tcMar>
                    <w:top w:w="0" w:type="dxa"/>
                    <w:left w:w="0" w:type="dxa"/>
                    <w:bottom w:w="0" w:type="dxa"/>
                    <w:right w:w="0" w:type="dxa"/>
                  </w:tcMar>
                  <w:vAlign w:val="center"/>
                </w:tcPr>
                <w:p w14:paraId="6C05F55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69.2</w:t>
                  </w:r>
                </w:p>
              </w:tc>
              <w:tc>
                <w:tcPr>
                  <w:tcW w:w="211" w:type="pct"/>
                  <w:tcBorders>
                    <w:tl2br w:val="nil"/>
                    <w:tr2bl w:val="nil"/>
                  </w:tcBorders>
                  <w:shd w:val="clear" w:color="auto" w:fill="auto"/>
                  <w:tcMar>
                    <w:top w:w="0" w:type="dxa"/>
                    <w:left w:w="0" w:type="dxa"/>
                    <w:bottom w:w="0" w:type="dxa"/>
                    <w:right w:w="0" w:type="dxa"/>
                  </w:tcMar>
                  <w:vAlign w:val="center"/>
                </w:tcPr>
                <w:p w14:paraId="66A6E90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297.5</w:t>
                  </w:r>
                </w:p>
              </w:tc>
              <w:tc>
                <w:tcPr>
                  <w:tcW w:w="166" w:type="pct"/>
                  <w:tcBorders>
                    <w:tl2br w:val="nil"/>
                    <w:tr2bl w:val="nil"/>
                  </w:tcBorders>
                  <w:shd w:val="clear" w:color="auto" w:fill="auto"/>
                  <w:tcMar>
                    <w:top w:w="0" w:type="dxa"/>
                    <w:left w:w="0" w:type="dxa"/>
                    <w:bottom w:w="0" w:type="dxa"/>
                    <w:right w:w="0" w:type="dxa"/>
                  </w:tcMar>
                  <w:vAlign w:val="center"/>
                </w:tcPr>
                <w:p w14:paraId="27432EB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13ECCB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CD996E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9A1D2F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4C9C87D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17E19E0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C0D0A1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270950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432F29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8CCF5C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F13376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214396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B2F217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4A52725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28399B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8D7643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128</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F0BF4EC">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4D0E23C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纵剪-</w:t>
                  </w:r>
                </w:p>
              </w:tc>
              <w:tc>
                <w:tcPr>
                  <w:tcW w:w="264" w:type="pct"/>
                  <w:tcBorders>
                    <w:tl2br w:val="nil"/>
                    <w:tr2bl w:val="nil"/>
                  </w:tcBorders>
                  <w:shd w:val="clear" w:color="auto" w:fill="auto"/>
                  <w:tcMar>
                    <w:top w:w="0" w:type="dxa"/>
                    <w:left w:w="0" w:type="dxa"/>
                    <w:bottom w:w="0" w:type="dxa"/>
                    <w:right w:w="0" w:type="dxa"/>
                  </w:tcMar>
                  <w:vAlign w:val="center"/>
                </w:tcPr>
                <w:p w14:paraId="79F611E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B2456DA">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12145D0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-116.2</w:t>
                  </w:r>
                </w:p>
              </w:tc>
              <w:tc>
                <w:tcPr>
                  <w:tcW w:w="242" w:type="pct"/>
                  <w:tcBorders>
                    <w:tl2br w:val="nil"/>
                    <w:tr2bl w:val="nil"/>
                  </w:tcBorders>
                  <w:shd w:val="clear" w:color="auto" w:fill="auto"/>
                  <w:tcMar>
                    <w:top w:w="0" w:type="dxa"/>
                    <w:left w:w="0" w:type="dxa"/>
                    <w:bottom w:w="0" w:type="dxa"/>
                    <w:right w:w="0" w:type="dxa"/>
                  </w:tcMar>
                  <w:vAlign w:val="center"/>
                </w:tcPr>
                <w:p w14:paraId="64DBC97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-33.8</w:t>
                  </w:r>
                </w:p>
              </w:tc>
              <w:tc>
                <w:tcPr>
                  <w:tcW w:w="120" w:type="pct"/>
                  <w:tcBorders>
                    <w:tl2br w:val="nil"/>
                    <w:tr2bl w:val="nil"/>
                  </w:tcBorders>
                  <w:shd w:val="clear" w:color="auto" w:fill="auto"/>
                  <w:tcMar>
                    <w:top w:w="0" w:type="dxa"/>
                    <w:left w:w="0" w:type="dxa"/>
                    <w:bottom w:w="0" w:type="dxa"/>
                    <w:right w:w="0" w:type="dxa"/>
                  </w:tcMar>
                  <w:vAlign w:val="center"/>
                </w:tcPr>
                <w:p w14:paraId="428B362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0.6</w:t>
                  </w:r>
                </w:p>
              </w:tc>
              <w:tc>
                <w:tcPr>
                  <w:tcW w:w="211" w:type="pct"/>
                  <w:tcBorders>
                    <w:tl2br w:val="nil"/>
                    <w:tr2bl w:val="nil"/>
                  </w:tcBorders>
                  <w:shd w:val="clear" w:color="auto" w:fill="auto"/>
                  <w:tcMar>
                    <w:top w:w="0" w:type="dxa"/>
                    <w:left w:w="0" w:type="dxa"/>
                    <w:bottom w:w="0" w:type="dxa"/>
                    <w:right w:w="0" w:type="dxa"/>
                  </w:tcMar>
                  <w:vAlign w:val="center"/>
                </w:tcPr>
                <w:p w14:paraId="77EA4C7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248.2</w:t>
                  </w:r>
                </w:p>
              </w:tc>
              <w:tc>
                <w:tcPr>
                  <w:tcW w:w="211" w:type="pct"/>
                  <w:tcBorders>
                    <w:tl2br w:val="nil"/>
                    <w:tr2bl w:val="nil"/>
                  </w:tcBorders>
                  <w:shd w:val="clear" w:color="auto" w:fill="auto"/>
                  <w:tcMar>
                    <w:top w:w="0" w:type="dxa"/>
                    <w:left w:w="0" w:type="dxa"/>
                    <w:bottom w:w="0" w:type="dxa"/>
                    <w:right w:w="0" w:type="dxa"/>
                  </w:tcMar>
                  <w:vAlign w:val="center"/>
                </w:tcPr>
                <w:p w14:paraId="19C1CE4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159.8</w:t>
                  </w:r>
                </w:p>
              </w:tc>
              <w:tc>
                <w:tcPr>
                  <w:tcW w:w="211" w:type="pct"/>
                  <w:tcBorders>
                    <w:tl2br w:val="nil"/>
                    <w:tr2bl w:val="nil"/>
                  </w:tcBorders>
                  <w:shd w:val="clear" w:color="auto" w:fill="auto"/>
                  <w:tcMar>
                    <w:top w:w="0" w:type="dxa"/>
                    <w:left w:w="0" w:type="dxa"/>
                    <w:bottom w:w="0" w:type="dxa"/>
                    <w:right w:w="0" w:type="dxa"/>
                  </w:tcMar>
                  <w:vAlign w:val="center"/>
                </w:tcPr>
                <w:p w14:paraId="7A1E40B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78.8</w:t>
                  </w:r>
                </w:p>
              </w:tc>
              <w:tc>
                <w:tcPr>
                  <w:tcW w:w="211" w:type="pct"/>
                  <w:tcBorders>
                    <w:tl2br w:val="nil"/>
                    <w:tr2bl w:val="nil"/>
                  </w:tcBorders>
                  <w:shd w:val="clear" w:color="auto" w:fill="auto"/>
                  <w:tcMar>
                    <w:top w:w="0" w:type="dxa"/>
                    <w:left w:w="0" w:type="dxa"/>
                    <w:bottom w:w="0" w:type="dxa"/>
                    <w:right w:w="0" w:type="dxa"/>
                  </w:tcMar>
                  <w:vAlign w:val="center"/>
                </w:tcPr>
                <w:p w14:paraId="56F5EC0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287.9</w:t>
                  </w:r>
                </w:p>
              </w:tc>
              <w:tc>
                <w:tcPr>
                  <w:tcW w:w="166" w:type="pct"/>
                  <w:tcBorders>
                    <w:tl2br w:val="nil"/>
                    <w:tr2bl w:val="nil"/>
                  </w:tcBorders>
                  <w:shd w:val="clear" w:color="auto" w:fill="auto"/>
                  <w:tcMar>
                    <w:top w:w="0" w:type="dxa"/>
                    <w:left w:w="0" w:type="dxa"/>
                    <w:bottom w:w="0" w:type="dxa"/>
                    <w:right w:w="0" w:type="dxa"/>
                  </w:tcMar>
                  <w:vAlign w:val="center"/>
                </w:tcPr>
                <w:p w14:paraId="583A1D1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12C1F4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12A5A6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A48C57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3BD8CF5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7941928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08BCBD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584BA1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1B1CE3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C7E94A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A867F1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735454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6EC787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0620F5D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38BE86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58BBCE6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129</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0276775">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27F1EBD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横剪,9台（按点声源组预测）</w:t>
                  </w:r>
                </w:p>
              </w:tc>
              <w:tc>
                <w:tcPr>
                  <w:tcW w:w="264" w:type="pct"/>
                  <w:tcBorders>
                    <w:tl2br w:val="nil"/>
                    <w:tr2bl w:val="nil"/>
                  </w:tcBorders>
                  <w:shd w:val="clear" w:color="auto" w:fill="auto"/>
                  <w:tcMar>
                    <w:top w:w="0" w:type="dxa"/>
                    <w:left w:w="0" w:type="dxa"/>
                    <w:bottom w:w="0" w:type="dxa"/>
                    <w:right w:w="0" w:type="dxa"/>
                  </w:tcMar>
                  <w:vAlign w:val="center"/>
                </w:tcPr>
                <w:p w14:paraId="7426D21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90（等效后：99.5)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3A3FD7B">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06E153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-88.8</w:t>
                  </w:r>
                </w:p>
              </w:tc>
              <w:tc>
                <w:tcPr>
                  <w:tcW w:w="242" w:type="pct"/>
                  <w:tcBorders>
                    <w:tl2br w:val="nil"/>
                    <w:tr2bl w:val="nil"/>
                  </w:tcBorders>
                  <w:shd w:val="clear" w:color="auto" w:fill="auto"/>
                  <w:tcMar>
                    <w:top w:w="0" w:type="dxa"/>
                    <w:left w:w="0" w:type="dxa"/>
                    <w:bottom w:w="0" w:type="dxa"/>
                    <w:right w:w="0" w:type="dxa"/>
                  </w:tcMar>
                  <w:vAlign w:val="center"/>
                </w:tcPr>
                <w:p w14:paraId="53417AC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41.1</w:t>
                  </w:r>
                </w:p>
              </w:tc>
              <w:tc>
                <w:tcPr>
                  <w:tcW w:w="120" w:type="pct"/>
                  <w:tcBorders>
                    <w:tl2br w:val="nil"/>
                    <w:tr2bl w:val="nil"/>
                  </w:tcBorders>
                  <w:shd w:val="clear" w:color="auto" w:fill="auto"/>
                  <w:tcMar>
                    <w:top w:w="0" w:type="dxa"/>
                    <w:left w:w="0" w:type="dxa"/>
                    <w:bottom w:w="0" w:type="dxa"/>
                    <w:right w:w="0" w:type="dxa"/>
                  </w:tcMar>
                  <w:vAlign w:val="center"/>
                </w:tcPr>
                <w:p w14:paraId="6EE179C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0.6</w:t>
                  </w:r>
                </w:p>
              </w:tc>
              <w:tc>
                <w:tcPr>
                  <w:tcW w:w="211" w:type="pct"/>
                  <w:tcBorders>
                    <w:tl2br w:val="nil"/>
                    <w:tr2bl w:val="nil"/>
                  </w:tcBorders>
                  <w:shd w:val="clear" w:color="auto" w:fill="auto"/>
                  <w:tcMar>
                    <w:top w:w="0" w:type="dxa"/>
                    <w:left w:w="0" w:type="dxa"/>
                    <w:bottom w:w="0" w:type="dxa"/>
                    <w:right w:w="0" w:type="dxa"/>
                  </w:tcMar>
                  <w:vAlign w:val="center"/>
                </w:tcPr>
                <w:p w14:paraId="282B28C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250.3</w:t>
                  </w:r>
                </w:p>
              </w:tc>
              <w:tc>
                <w:tcPr>
                  <w:tcW w:w="211" w:type="pct"/>
                  <w:tcBorders>
                    <w:tl2br w:val="nil"/>
                    <w:tr2bl w:val="nil"/>
                  </w:tcBorders>
                  <w:shd w:val="clear" w:color="auto" w:fill="auto"/>
                  <w:tcMar>
                    <w:top w:w="0" w:type="dxa"/>
                    <w:left w:w="0" w:type="dxa"/>
                    <w:bottom w:w="0" w:type="dxa"/>
                    <w:right w:w="0" w:type="dxa"/>
                  </w:tcMar>
                  <w:vAlign w:val="center"/>
                </w:tcPr>
                <w:p w14:paraId="4CE3E3B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239.5</w:t>
                  </w:r>
                </w:p>
              </w:tc>
              <w:tc>
                <w:tcPr>
                  <w:tcW w:w="211" w:type="pct"/>
                  <w:tcBorders>
                    <w:tl2br w:val="nil"/>
                    <w:tr2bl w:val="nil"/>
                  </w:tcBorders>
                  <w:shd w:val="clear" w:color="auto" w:fill="auto"/>
                  <w:tcMar>
                    <w:top w:w="0" w:type="dxa"/>
                    <w:left w:w="0" w:type="dxa"/>
                    <w:bottom w:w="0" w:type="dxa"/>
                    <w:right w:w="0" w:type="dxa"/>
                  </w:tcMar>
                  <w:vAlign w:val="center"/>
                </w:tcPr>
                <w:p w14:paraId="5F9DE20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158.2</w:t>
                  </w:r>
                </w:p>
              </w:tc>
              <w:tc>
                <w:tcPr>
                  <w:tcW w:w="211" w:type="pct"/>
                  <w:tcBorders>
                    <w:tl2br w:val="nil"/>
                    <w:tr2bl w:val="nil"/>
                  </w:tcBorders>
                  <w:shd w:val="clear" w:color="auto" w:fill="auto"/>
                  <w:tcMar>
                    <w:top w:w="0" w:type="dxa"/>
                    <w:left w:w="0" w:type="dxa"/>
                    <w:bottom w:w="0" w:type="dxa"/>
                    <w:right w:w="0" w:type="dxa"/>
                  </w:tcMar>
                  <w:vAlign w:val="center"/>
                </w:tcPr>
                <w:p w14:paraId="360D21C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208.4</w:t>
                  </w:r>
                </w:p>
              </w:tc>
              <w:tc>
                <w:tcPr>
                  <w:tcW w:w="166" w:type="pct"/>
                  <w:tcBorders>
                    <w:tl2br w:val="nil"/>
                    <w:tr2bl w:val="nil"/>
                  </w:tcBorders>
                  <w:shd w:val="clear" w:color="auto" w:fill="auto"/>
                  <w:tcMar>
                    <w:top w:w="0" w:type="dxa"/>
                    <w:left w:w="0" w:type="dxa"/>
                    <w:bottom w:w="0" w:type="dxa"/>
                    <w:right w:w="0" w:type="dxa"/>
                  </w:tcMar>
                  <w:vAlign w:val="center"/>
                </w:tcPr>
                <w:p w14:paraId="0A1D8B0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76.6</w:t>
                  </w:r>
                </w:p>
              </w:tc>
              <w:tc>
                <w:tcPr>
                  <w:tcW w:w="166" w:type="pct"/>
                  <w:tcBorders>
                    <w:tl2br w:val="nil"/>
                    <w:tr2bl w:val="nil"/>
                  </w:tcBorders>
                  <w:shd w:val="clear" w:color="auto" w:fill="auto"/>
                  <w:tcMar>
                    <w:top w:w="0" w:type="dxa"/>
                    <w:left w:w="0" w:type="dxa"/>
                    <w:bottom w:w="0" w:type="dxa"/>
                    <w:right w:w="0" w:type="dxa"/>
                  </w:tcMar>
                  <w:vAlign w:val="center"/>
                </w:tcPr>
                <w:p w14:paraId="6E7DF9F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76.6</w:t>
                  </w:r>
                </w:p>
              </w:tc>
              <w:tc>
                <w:tcPr>
                  <w:tcW w:w="166" w:type="pct"/>
                  <w:tcBorders>
                    <w:tl2br w:val="nil"/>
                    <w:tr2bl w:val="nil"/>
                  </w:tcBorders>
                  <w:shd w:val="clear" w:color="auto" w:fill="auto"/>
                  <w:tcMar>
                    <w:top w:w="0" w:type="dxa"/>
                    <w:left w:w="0" w:type="dxa"/>
                    <w:bottom w:w="0" w:type="dxa"/>
                    <w:right w:w="0" w:type="dxa"/>
                  </w:tcMar>
                  <w:vAlign w:val="center"/>
                </w:tcPr>
                <w:p w14:paraId="33399CA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76.6</w:t>
                  </w:r>
                </w:p>
              </w:tc>
              <w:tc>
                <w:tcPr>
                  <w:tcW w:w="166" w:type="pct"/>
                  <w:tcBorders>
                    <w:tl2br w:val="nil"/>
                    <w:tr2bl w:val="nil"/>
                  </w:tcBorders>
                  <w:shd w:val="clear" w:color="auto" w:fill="auto"/>
                  <w:tcMar>
                    <w:top w:w="0" w:type="dxa"/>
                    <w:left w:w="0" w:type="dxa"/>
                    <w:bottom w:w="0" w:type="dxa"/>
                    <w:right w:w="0" w:type="dxa"/>
                  </w:tcMar>
                  <w:vAlign w:val="center"/>
                </w:tcPr>
                <w:p w14:paraId="5402D67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76.6</w:t>
                  </w:r>
                </w:p>
              </w:tc>
              <w:tc>
                <w:tcPr>
                  <w:tcW w:w="223" w:type="pct"/>
                  <w:tcBorders>
                    <w:tl2br w:val="nil"/>
                    <w:tr2bl w:val="nil"/>
                  </w:tcBorders>
                  <w:shd w:val="clear" w:color="auto" w:fill="auto"/>
                  <w:tcMar>
                    <w:top w:w="0" w:type="dxa"/>
                    <w:left w:w="0" w:type="dxa"/>
                    <w:bottom w:w="0" w:type="dxa"/>
                    <w:right w:w="0" w:type="dxa"/>
                  </w:tcMar>
                  <w:vAlign w:val="center"/>
                </w:tcPr>
                <w:p w14:paraId="71343D0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1253AED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73837C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735C89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426498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2D9C53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55.6</w:t>
                  </w:r>
                </w:p>
              </w:tc>
              <w:tc>
                <w:tcPr>
                  <w:tcW w:w="166" w:type="pct"/>
                  <w:tcBorders>
                    <w:tl2br w:val="nil"/>
                    <w:tr2bl w:val="nil"/>
                  </w:tcBorders>
                  <w:shd w:val="clear" w:color="auto" w:fill="auto"/>
                  <w:tcMar>
                    <w:top w:w="0" w:type="dxa"/>
                    <w:left w:w="0" w:type="dxa"/>
                    <w:bottom w:w="0" w:type="dxa"/>
                    <w:right w:w="0" w:type="dxa"/>
                  </w:tcMar>
                  <w:vAlign w:val="center"/>
                </w:tcPr>
                <w:p w14:paraId="4F6C3E8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55.6</w:t>
                  </w:r>
                </w:p>
              </w:tc>
              <w:tc>
                <w:tcPr>
                  <w:tcW w:w="166" w:type="pct"/>
                  <w:tcBorders>
                    <w:tl2br w:val="nil"/>
                    <w:tr2bl w:val="nil"/>
                  </w:tcBorders>
                  <w:shd w:val="clear" w:color="auto" w:fill="auto"/>
                  <w:tcMar>
                    <w:top w:w="0" w:type="dxa"/>
                    <w:left w:w="0" w:type="dxa"/>
                    <w:bottom w:w="0" w:type="dxa"/>
                    <w:right w:w="0" w:type="dxa"/>
                  </w:tcMar>
                  <w:vAlign w:val="center"/>
                </w:tcPr>
                <w:p w14:paraId="587ABC1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55.6</w:t>
                  </w:r>
                </w:p>
              </w:tc>
              <w:tc>
                <w:tcPr>
                  <w:tcW w:w="166" w:type="pct"/>
                  <w:tcBorders>
                    <w:tl2br w:val="nil"/>
                    <w:tr2bl w:val="nil"/>
                  </w:tcBorders>
                  <w:shd w:val="clear" w:color="auto" w:fill="auto"/>
                  <w:tcMar>
                    <w:top w:w="0" w:type="dxa"/>
                    <w:left w:w="0" w:type="dxa"/>
                    <w:bottom w:w="0" w:type="dxa"/>
                    <w:right w:w="0" w:type="dxa"/>
                  </w:tcMar>
                  <w:vAlign w:val="center"/>
                </w:tcPr>
                <w:p w14:paraId="23308E9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55.6</w:t>
                  </w:r>
                </w:p>
              </w:tc>
              <w:tc>
                <w:tcPr>
                  <w:tcW w:w="104" w:type="pct"/>
                  <w:tcBorders>
                    <w:tl2br w:val="nil"/>
                    <w:tr2bl w:val="nil"/>
                  </w:tcBorders>
                  <w:shd w:val="clear" w:color="auto" w:fill="auto"/>
                  <w:tcMar>
                    <w:top w:w="0" w:type="dxa"/>
                    <w:left w:w="0" w:type="dxa"/>
                    <w:bottom w:w="0" w:type="dxa"/>
                    <w:right w:w="0" w:type="dxa"/>
                  </w:tcMar>
                  <w:vAlign w:val="center"/>
                </w:tcPr>
                <w:p w14:paraId="48ADAE4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11BAA0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56C1007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973F0B7">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6C484A1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空压机组</w:t>
                  </w:r>
                </w:p>
              </w:tc>
              <w:tc>
                <w:tcPr>
                  <w:tcW w:w="264" w:type="pct"/>
                  <w:tcBorders>
                    <w:tl2br w:val="nil"/>
                    <w:tr2bl w:val="nil"/>
                  </w:tcBorders>
                  <w:shd w:val="clear" w:color="auto" w:fill="auto"/>
                  <w:tcMar>
                    <w:top w:w="0" w:type="dxa"/>
                    <w:left w:w="0" w:type="dxa"/>
                    <w:bottom w:w="0" w:type="dxa"/>
                    <w:right w:w="0" w:type="dxa"/>
                  </w:tcMar>
                  <w:vAlign w:val="center"/>
                </w:tcPr>
                <w:p w14:paraId="3881FEA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28EDCCD">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7AAC974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-61.8</w:t>
                  </w:r>
                </w:p>
              </w:tc>
              <w:tc>
                <w:tcPr>
                  <w:tcW w:w="242" w:type="pct"/>
                  <w:tcBorders>
                    <w:tl2br w:val="nil"/>
                    <w:tr2bl w:val="nil"/>
                  </w:tcBorders>
                  <w:shd w:val="clear" w:color="auto" w:fill="auto"/>
                  <w:tcMar>
                    <w:top w:w="0" w:type="dxa"/>
                    <w:left w:w="0" w:type="dxa"/>
                    <w:bottom w:w="0" w:type="dxa"/>
                    <w:right w:w="0" w:type="dxa"/>
                  </w:tcMar>
                  <w:vAlign w:val="center"/>
                </w:tcPr>
                <w:p w14:paraId="700DC97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109.9</w:t>
                  </w:r>
                </w:p>
              </w:tc>
              <w:tc>
                <w:tcPr>
                  <w:tcW w:w="120" w:type="pct"/>
                  <w:tcBorders>
                    <w:tl2br w:val="nil"/>
                    <w:tr2bl w:val="nil"/>
                  </w:tcBorders>
                  <w:shd w:val="clear" w:color="auto" w:fill="auto"/>
                  <w:tcMar>
                    <w:top w:w="0" w:type="dxa"/>
                    <w:left w:w="0" w:type="dxa"/>
                    <w:bottom w:w="0" w:type="dxa"/>
                    <w:right w:w="0" w:type="dxa"/>
                  </w:tcMar>
                  <w:vAlign w:val="center"/>
                </w:tcPr>
                <w:p w14:paraId="7450278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6BDAA94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250.5</w:t>
                  </w:r>
                </w:p>
              </w:tc>
              <w:tc>
                <w:tcPr>
                  <w:tcW w:w="211" w:type="pct"/>
                  <w:tcBorders>
                    <w:tl2br w:val="nil"/>
                    <w:tr2bl w:val="nil"/>
                  </w:tcBorders>
                  <w:shd w:val="clear" w:color="auto" w:fill="auto"/>
                  <w:tcMar>
                    <w:top w:w="0" w:type="dxa"/>
                    <w:left w:w="0" w:type="dxa"/>
                    <w:bottom w:w="0" w:type="dxa"/>
                    <w:right w:w="0" w:type="dxa"/>
                  </w:tcMar>
                  <w:vAlign w:val="center"/>
                </w:tcPr>
                <w:p w14:paraId="72AEFD7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313.4</w:t>
                  </w:r>
                </w:p>
              </w:tc>
              <w:tc>
                <w:tcPr>
                  <w:tcW w:w="211" w:type="pct"/>
                  <w:tcBorders>
                    <w:tl2br w:val="nil"/>
                    <w:tr2bl w:val="nil"/>
                  </w:tcBorders>
                  <w:shd w:val="clear" w:color="auto" w:fill="auto"/>
                  <w:tcMar>
                    <w:top w:w="0" w:type="dxa"/>
                    <w:left w:w="0" w:type="dxa"/>
                    <w:bottom w:w="0" w:type="dxa"/>
                    <w:right w:w="0" w:type="dxa"/>
                  </w:tcMar>
                  <w:vAlign w:val="center"/>
                </w:tcPr>
                <w:p w14:paraId="0297DF4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231.9</w:t>
                  </w:r>
                </w:p>
              </w:tc>
              <w:tc>
                <w:tcPr>
                  <w:tcW w:w="211" w:type="pct"/>
                  <w:tcBorders>
                    <w:tl2br w:val="nil"/>
                    <w:tr2bl w:val="nil"/>
                  </w:tcBorders>
                  <w:shd w:val="clear" w:color="auto" w:fill="auto"/>
                  <w:tcMar>
                    <w:top w:w="0" w:type="dxa"/>
                    <w:left w:w="0" w:type="dxa"/>
                    <w:bottom w:w="0" w:type="dxa"/>
                    <w:right w:w="0" w:type="dxa"/>
                  </w:tcMar>
                  <w:vAlign w:val="center"/>
                </w:tcPr>
                <w:p w14:paraId="3402802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134.6</w:t>
                  </w:r>
                </w:p>
              </w:tc>
              <w:tc>
                <w:tcPr>
                  <w:tcW w:w="166" w:type="pct"/>
                  <w:tcBorders>
                    <w:tl2br w:val="nil"/>
                    <w:tr2bl w:val="nil"/>
                  </w:tcBorders>
                  <w:shd w:val="clear" w:color="auto" w:fill="auto"/>
                  <w:tcMar>
                    <w:top w:w="0" w:type="dxa"/>
                    <w:left w:w="0" w:type="dxa"/>
                    <w:bottom w:w="0" w:type="dxa"/>
                    <w:right w:w="0" w:type="dxa"/>
                  </w:tcMar>
                  <w:vAlign w:val="center"/>
                </w:tcPr>
                <w:p w14:paraId="21BFE41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77.1</w:t>
                  </w:r>
                </w:p>
              </w:tc>
              <w:tc>
                <w:tcPr>
                  <w:tcW w:w="166" w:type="pct"/>
                  <w:tcBorders>
                    <w:tl2br w:val="nil"/>
                    <w:tr2bl w:val="nil"/>
                  </w:tcBorders>
                  <w:shd w:val="clear" w:color="auto" w:fill="auto"/>
                  <w:tcMar>
                    <w:top w:w="0" w:type="dxa"/>
                    <w:left w:w="0" w:type="dxa"/>
                    <w:bottom w:w="0" w:type="dxa"/>
                    <w:right w:w="0" w:type="dxa"/>
                  </w:tcMar>
                  <w:vAlign w:val="center"/>
                </w:tcPr>
                <w:p w14:paraId="0BAB072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77.1</w:t>
                  </w:r>
                </w:p>
              </w:tc>
              <w:tc>
                <w:tcPr>
                  <w:tcW w:w="166" w:type="pct"/>
                  <w:tcBorders>
                    <w:tl2br w:val="nil"/>
                    <w:tr2bl w:val="nil"/>
                  </w:tcBorders>
                  <w:shd w:val="clear" w:color="auto" w:fill="auto"/>
                  <w:tcMar>
                    <w:top w:w="0" w:type="dxa"/>
                    <w:left w:w="0" w:type="dxa"/>
                    <w:bottom w:w="0" w:type="dxa"/>
                    <w:right w:w="0" w:type="dxa"/>
                  </w:tcMar>
                  <w:vAlign w:val="center"/>
                </w:tcPr>
                <w:p w14:paraId="2537A9A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77.1</w:t>
                  </w:r>
                </w:p>
              </w:tc>
              <w:tc>
                <w:tcPr>
                  <w:tcW w:w="166" w:type="pct"/>
                  <w:tcBorders>
                    <w:tl2br w:val="nil"/>
                    <w:tr2bl w:val="nil"/>
                  </w:tcBorders>
                  <w:shd w:val="clear" w:color="auto" w:fill="auto"/>
                  <w:tcMar>
                    <w:top w:w="0" w:type="dxa"/>
                    <w:left w:w="0" w:type="dxa"/>
                    <w:bottom w:w="0" w:type="dxa"/>
                    <w:right w:w="0" w:type="dxa"/>
                  </w:tcMar>
                  <w:vAlign w:val="center"/>
                </w:tcPr>
                <w:p w14:paraId="50F5CB1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77.1</w:t>
                  </w:r>
                </w:p>
              </w:tc>
              <w:tc>
                <w:tcPr>
                  <w:tcW w:w="223" w:type="pct"/>
                  <w:tcBorders>
                    <w:tl2br w:val="nil"/>
                    <w:tr2bl w:val="nil"/>
                  </w:tcBorders>
                  <w:shd w:val="clear" w:color="auto" w:fill="auto"/>
                  <w:tcMar>
                    <w:top w:w="0" w:type="dxa"/>
                    <w:left w:w="0" w:type="dxa"/>
                    <w:bottom w:w="0" w:type="dxa"/>
                    <w:right w:w="0" w:type="dxa"/>
                  </w:tcMar>
                  <w:vAlign w:val="center"/>
                </w:tcPr>
                <w:p w14:paraId="67FC8BB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219F949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55A0EC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F5D0E1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608B12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931484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56.1</w:t>
                  </w:r>
                </w:p>
              </w:tc>
              <w:tc>
                <w:tcPr>
                  <w:tcW w:w="166" w:type="pct"/>
                  <w:tcBorders>
                    <w:tl2br w:val="nil"/>
                    <w:tr2bl w:val="nil"/>
                  </w:tcBorders>
                  <w:shd w:val="clear" w:color="auto" w:fill="auto"/>
                  <w:tcMar>
                    <w:top w:w="0" w:type="dxa"/>
                    <w:left w:w="0" w:type="dxa"/>
                    <w:bottom w:w="0" w:type="dxa"/>
                    <w:right w:w="0" w:type="dxa"/>
                  </w:tcMar>
                  <w:vAlign w:val="center"/>
                </w:tcPr>
                <w:p w14:paraId="4735339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56.1</w:t>
                  </w:r>
                </w:p>
              </w:tc>
              <w:tc>
                <w:tcPr>
                  <w:tcW w:w="166" w:type="pct"/>
                  <w:tcBorders>
                    <w:tl2br w:val="nil"/>
                    <w:tr2bl w:val="nil"/>
                  </w:tcBorders>
                  <w:shd w:val="clear" w:color="auto" w:fill="auto"/>
                  <w:tcMar>
                    <w:top w:w="0" w:type="dxa"/>
                    <w:left w:w="0" w:type="dxa"/>
                    <w:bottom w:w="0" w:type="dxa"/>
                    <w:right w:w="0" w:type="dxa"/>
                  </w:tcMar>
                  <w:vAlign w:val="center"/>
                </w:tcPr>
                <w:p w14:paraId="307C660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56.1</w:t>
                  </w:r>
                </w:p>
              </w:tc>
              <w:tc>
                <w:tcPr>
                  <w:tcW w:w="166" w:type="pct"/>
                  <w:tcBorders>
                    <w:tl2br w:val="nil"/>
                    <w:tr2bl w:val="nil"/>
                  </w:tcBorders>
                  <w:shd w:val="clear" w:color="auto" w:fill="auto"/>
                  <w:tcMar>
                    <w:top w:w="0" w:type="dxa"/>
                    <w:left w:w="0" w:type="dxa"/>
                    <w:bottom w:w="0" w:type="dxa"/>
                    <w:right w:w="0" w:type="dxa"/>
                  </w:tcMar>
                  <w:vAlign w:val="center"/>
                </w:tcPr>
                <w:p w14:paraId="1245D06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56.1</w:t>
                  </w:r>
                </w:p>
              </w:tc>
              <w:tc>
                <w:tcPr>
                  <w:tcW w:w="104" w:type="pct"/>
                  <w:tcBorders>
                    <w:tl2br w:val="nil"/>
                    <w:tr2bl w:val="nil"/>
                  </w:tcBorders>
                  <w:shd w:val="clear" w:color="auto" w:fill="auto"/>
                  <w:tcMar>
                    <w:top w:w="0" w:type="dxa"/>
                    <w:left w:w="0" w:type="dxa"/>
                    <w:bottom w:w="0" w:type="dxa"/>
                    <w:right w:w="0" w:type="dxa"/>
                  </w:tcMar>
                  <w:vAlign w:val="center"/>
                </w:tcPr>
                <w:p w14:paraId="77D3B95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462F94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01E6C7C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131</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8D943F6">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5A68E86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泵类</w:t>
                  </w:r>
                </w:p>
              </w:tc>
              <w:tc>
                <w:tcPr>
                  <w:tcW w:w="264" w:type="pct"/>
                  <w:tcBorders>
                    <w:tl2br w:val="nil"/>
                    <w:tr2bl w:val="nil"/>
                  </w:tcBorders>
                  <w:shd w:val="clear" w:color="auto" w:fill="auto"/>
                  <w:tcMar>
                    <w:top w:w="0" w:type="dxa"/>
                    <w:left w:w="0" w:type="dxa"/>
                    <w:bottom w:w="0" w:type="dxa"/>
                    <w:right w:w="0" w:type="dxa"/>
                  </w:tcMar>
                  <w:vAlign w:val="center"/>
                </w:tcPr>
                <w:p w14:paraId="140413D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F3E0965">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51E325D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-71.2</w:t>
                  </w:r>
                </w:p>
              </w:tc>
              <w:tc>
                <w:tcPr>
                  <w:tcW w:w="242" w:type="pct"/>
                  <w:tcBorders>
                    <w:tl2br w:val="nil"/>
                    <w:tr2bl w:val="nil"/>
                  </w:tcBorders>
                  <w:shd w:val="clear" w:color="auto" w:fill="auto"/>
                  <w:tcMar>
                    <w:top w:w="0" w:type="dxa"/>
                    <w:left w:w="0" w:type="dxa"/>
                    <w:bottom w:w="0" w:type="dxa"/>
                    <w:right w:w="0" w:type="dxa"/>
                  </w:tcMar>
                  <w:vAlign w:val="center"/>
                </w:tcPr>
                <w:p w14:paraId="1BAE3D4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213.6</w:t>
                  </w:r>
                </w:p>
              </w:tc>
              <w:tc>
                <w:tcPr>
                  <w:tcW w:w="120" w:type="pct"/>
                  <w:tcBorders>
                    <w:tl2br w:val="nil"/>
                    <w:tr2bl w:val="nil"/>
                  </w:tcBorders>
                  <w:shd w:val="clear" w:color="auto" w:fill="auto"/>
                  <w:tcMar>
                    <w:top w:w="0" w:type="dxa"/>
                    <w:left w:w="0" w:type="dxa"/>
                    <w:bottom w:w="0" w:type="dxa"/>
                    <w:right w:w="0" w:type="dxa"/>
                  </w:tcMar>
                  <w:vAlign w:val="center"/>
                </w:tcPr>
                <w:p w14:paraId="4324C6F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074239B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297.4</w:t>
                  </w:r>
                </w:p>
              </w:tc>
              <w:tc>
                <w:tcPr>
                  <w:tcW w:w="211" w:type="pct"/>
                  <w:tcBorders>
                    <w:tl2br w:val="nil"/>
                    <w:tr2bl w:val="nil"/>
                  </w:tcBorders>
                  <w:shd w:val="clear" w:color="auto" w:fill="auto"/>
                  <w:tcMar>
                    <w:top w:w="0" w:type="dxa"/>
                    <w:left w:w="0" w:type="dxa"/>
                    <w:bottom w:w="0" w:type="dxa"/>
                    <w:right w:w="0" w:type="dxa"/>
                  </w:tcMar>
                  <w:vAlign w:val="center"/>
                </w:tcPr>
                <w:p w14:paraId="6A9775A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405.5</w:t>
                  </w:r>
                </w:p>
              </w:tc>
              <w:tc>
                <w:tcPr>
                  <w:tcW w:w="211" w:type="pct"/>
                  <w:tcBorders>
                    <w:tl2br w:val="nil"/>
                    <w:tr2bl w:val="nil"/>
                  </w:tcBorders>
                  <w:shd w:val="clear" w:color="auto" w:fill="auto"/>
                  <w:tcMar>
                    <w:top w:w="0" w:type="dxa"/>
                    <w:left w:w="0" w:type="dxa"/>
                    <w:bottom w:w="0" w:type="dxa"/>
                    <w:right w:w="0" w:type="dxa"/>
                  </w:tcMar>
                  <w:vAlign w:val="center"/>
                </w:tcPr>
                <w:p w14:paraId="5CA4869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321.4</w:t>
                  </w:r>
                </w:p>
              </w:tc>
              <w:tc>
                <w:tcPr>
                  <w:tcW w:w="211" w:type="pct"/>
                  <w:tcBorders>
                    <w:tl2br w:val="nil"/>
                    <w:tr2bl w:val="nil"/>
                  </w:tcBorders>
                  <w:shd w:val="clear" w:color="auto" w:fill="auto"/>
                  <w:tcMar>
                    <w:top w:w="0" w:type="dxa"/>
                    <w:left w:w="0" w:type="dxa"/>
                    <w:bottom w:w="0" w:type="dxa"/>
                    <w:right w:w="0" w:type="dxa"/>
                  </w:tcMar>
                  <w:vAlign w:val="center"/>
                </w:tcPr>
                <w:p w14:paraId="24F04D5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44.5</w:t>
                  </w:r>
                </w:p>
              </w:tc>
              <w:tc>
                <w:tcPr>
                  <w:tcW w:w="166" w:type="pct"/>
                  <w:tcBorders>
                    <w:tl2br w:val="nil"/>
                    <w:tr2bl w:val="nil"/>
                  </w:tcBorders>
                  <w:shd w:val="clear" w:color="auto" w:fill="auto"/>
                  <w:tcMar>
                    <w:top w:w="0" w:type="dxa"/>
                    <w:left w:w="0" w:type="dxa"/>
                    <w:bottom w:w="0" w:type="dxa"/>
                    <w:right w:w="0" w:type="dxa"/>
                  </w:tcMar>
                  <w:vAlign w:val="center"/>
                </w:tcPr>
                <w:p w14:paraId="581D34A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BA551C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639978F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4AA7C5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0AA89C2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7709A80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699063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712249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A31241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E89623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071CB0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DB44FF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322D82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5D69CFE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202838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1435A12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132</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691EBCA">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5BB7130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泵类</w:t>
                  </w:r>
                </w:p>
              </w:tc>
              <w:tc>
                <w:tcPr>
                  <w:tcW w:w="264" w:type="pct"/>
                  <w:tcBorders>
                    <w:tl2br w:val="nil"/>
                    <w:tr2bl w:val="nil"/>
                  </w:tcBorders>
                  <w:shd w:val="clear" w:color="auto" w:fill="auto"/>
                  <w:tcMar>
                    <w:top w:w="0" w:type="dxa"/>
                    <w:left w:w="0" w:type="dxa"/>
                    <w:bottom w:w="0" w:type="dxa"/>
                    <w:right w:w="0" w:type="dxa"/>
                  </w:tcMar>
                  <w:vAlign w:val="center"/>
                </w:tcPr>
                <w:p w14:paraId="4EF2EE4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39F11CB">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1AD7EF9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-57.5</w:t>
                  </w:r>
                </w:p>
              </w:tc>
              <w:tc>
                <w:tcPr>
                  <w:tcW w:w="242" w:type="pct"/>
                  <w:tcBorders>
                    <w:tl2br w:val="nil"/>
                    <w:tr2bl w:val="nil"/>
                  </w:tcBorders>
                  <w:shd w:val="clear" w:color="auto" w:fill="auto"/>
                  <w:tcMar>
                    <w:top w:w="0" w:type="dxa"/>
                    <w:left w:w="0" w:type="dxa"/>
                    <w:bottom w:w="0" w:type="dxa"/>
                    <w:right w:w="0" w:type="dxa"/>
                  </w:tcMar>
                  <w:vAlign w:val="center"/>
                </w:tcPr>
                <w:p w14:paraId="2FD6AA1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206.8</w:t>
                  </w:r>
                </w:p>
              </w:tc>
              <w:tc>
                <w:tcPr>
                  <w:tcW w:w="120" w:type="pct"/>
                  <w:tcBorders>
                    <w:tl2br w:val="nil"/>
                    <w:tr2bl w:val="nil"/>
                  </w:tcBorders>
                  <w:shd w:val="clear" w:color="auto" w:fill="auto"/>
                  <w:tcMar>
                    <w:top w:w="0" w:type="dxa"/>
                    <w:left w:w="0" w:type="dxa"/>
                    <w:bottom w:w="0" w:type="dxa"/>
                    <w:right w:w="0" w:type="dxa"/>
                  </w:tcMar>
                  <w:vAlign w:val="center"/>
                </w:tcPr>
                <w:p w14:paraId="5AB1489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51D7206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282.2</w:t>
                  </w:r>
                </w:p>
              </w:tc>
              <w:tc>
                <w:tcPr>
                  <w:tcW w:w="211" w:type="pct"/>
                  <w:tcBorders>
                    <w:tl2br w:val="nil"/>
                    <w:tr2bl w:val="nil"/>
                  </w:tcBorders>
                  <w:shd w:val="clear" w:color="auto" w:fill="auto"/>
                  <w:tcMar>
                    <w:top w:w="0" w:type="dxa"/>
                    <w:left w:w="0" w:type="dxa"/>
                    <w:bottom w:w="0" w:type="dxa"/>
                    <w:right w:w="0" w:type="dxa"/>
                  </w:tcMar>
                  <w:vAlign w:val="center"/>
                </w:tcPr>
                <w:p w14:paraId="239E029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404.5</w:t>
                  </w:r>
                </w:p>
              </w:tc>
              <w:tc>
                <w:tcPr>
                  <w:tcW w:w="211" w:type="pct"/>
                  <w:tcBorders>
                    <w:tl2br w:val="nil"/>
                    <w:tr2bl w:val="nil"/>
                  </w:tcBorders>
                  <w:shd w:val="clear" w:color="auto" w:fill="auto"/>
                  <w:tcMar>
                    <w:top w:w="0" w:type="dxa"/>
                    <w:left w:w="0" w:type="dxa"/>
                    <w:bottom w:w="0" w:type="dxa"/>
                    <w:right w:w="0" w:type="dxa"/>
                  </w:tcMar>
                  <w:vAlign w:val="center"/>
                </w:tcPr>
                <w:p w14:paraId="7B3A818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321.2</w:t>
                  </w:r>
                </w:p>
              </w:tc>
              <w:tc>
                <w:tcPr>
                  <w:tcW w:w="211" w:type="pct"/>
                  <w:tcBorders>
                    <w:tl2br w:val="nil"/>
                    <w:tr2bl w:val="nil"/>
                  </w:tcBorders>
                  <w:shd w:val="clear" w:color="auto" w:fill="auto"/>
                  <w:tcMar>
                    <w:top w:w="0" w:type="dxa"/>
                    <w:left w:w="0" w:type="dxa"/>
                    <w:bottom w:w="0" w:type="dxa"/>
                    <w:right w:w="0" w:type="dxa"/>
                  </w:tcMar>
                  <w:vAlign w:val="center"/>
                </w:tcPr>
                <w:p w14:paraId="111E400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44.9</w:t>
                  </w:r>
                </w:p>
              </w:tc>
              <w:tc>
                <w:tcPr>
                  <w:tcW w:w="166" w:type="pct"/>
                  <w:tcBorders>
                    <w:tl2br w:val="nil"/>
                    <w:tr2bl w:val="nil"/>
                  </w:tcBorders>
                  <w:shd w:val="clear" w:color="auto" w:fill="auto"/>
                  <w:tcMar>
                    <w:top w:w="0" w:type="dxa"/>
                    <w:left w:w="0" w:type="dxa"/>
                    <w:bottom w:w="0" w:type="dxa"/>
                    <w:right w:w="0" w:type="dxa"/>
                  </w:tcMar>
                  <w:vAlign w:val="center"/>
                </w:tcPr>
                <w:p w14:paraId="48B9312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4F34B7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0EF428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ED6B35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14740A1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79C6DE6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D1AFB2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DF8579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7847C0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B0D7A6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DD9DE2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7C91C4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210283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052F8F4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7FBE66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2CAD05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133</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1CF823D">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7B1706F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泵类</w:t>
                  </w:r>
                </w:p>
              </w:tc>
              <w:tc>
                <w:tcPr>
                  <w:tcW w:w="264" w:type="pct"/>
                  <w:tcBorders>
                    <w:tl2br w:val="nil"/>
                    <w:tr2bl w:val="nil"/>
                  </w:tcBorders>
                  <w:shd w:val="clear" w:color="auto" w:fill="auto"/>
                  <w:tcMar>
                    <w:top w:w="0" w:type="dxa"/>
                    <w:left w:w="0" w:type="dxa"/>
                    <w:bottom w:w="0" w:type="dxa"/>
                    <w:right w:w="0" w:type="dxa"/>
                  </w:tcMar>
                  <w:vAlign w:val="center"/>
                </w:tcPr>
                <w:p w14:paraId="4BA9493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978B226">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2BDD30B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-23.6</w:t>
                  </w:r>
                </w:p>
              </w:tc>
              <w:tc>
                <w:tcPr>
                  <w:tcW w:w="242" w:type="pct"/>
                  <w:tcBorders>
                    <w:tl2br w:val="nil"/>
                    <w:tr2bl w:val="nil"/>
                  </w:tcBorders>
                  <w:shd w:val="clear" w:color="auto" w:fill="auto"/>
                  <w:tcMar>
                    <w:top w:w="0" w:type="dxa"/>
                    <w:left w:w="0" w:type="dxa"/>
                    <w:bottom w:w="0" w:type="dxa"/>
                    <w:right w:w="0" w:type="dxa"/>
                  </w:tcMar>
                  <w:vAlign w:val="center"/>
                </w:tcPr>
                <w:p w14:paraId="549351B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193</w:t>
                  </w:r>
                </w:p>
              </w:tc>
              <w:tc>
                <w:tcPr>
                  <w:tcW w:w="120" w:type="pct"/>
                  <w:tcBorders>
                    <w:tl2br w:val="nil"/>
                    <w:tr2bl w:val="nil"/>
                  </w:tcBorders>
                  <w:shd w:val="clear" w:color="auto" w:fill="auto"/>
                  <w:tcMar>
                    <w:top w:w="0" w:type="dxa"/>
                    <w:left w:w="0" w:type="dxa"/>
                    <w:bottom w:w="0" w:type="dxa"/>
                    <w:right w:w="0" w:type="dxa"/>
                  </w:tcMar>
                  <w:vAlign w:val="center"/>
                </w:tcPr>
                <w:p w14:paraId="0EA684F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3A2683B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245.6</w:t>
                  </w:r>
                </w:p>
              </w:tc>
              <w:tc>
                <w:tcPr>
                  <w:tcW w:w="211" w:type="pct"/>
                  <w:tcBorders>
                    <w:tl2br w:val="nil"/>
                    <w:tr2bl w:val="nil"/>
                  </w:tcBorders>
                  <w:shd w:val="clear" w:color="auto" w:fill="auto"/>
                  <w:tcMar>
                    <w:top w:w="0" w:type="dxa"/>
                    <w:left w:w="0" w:type="dxa"/>
                    <w:bottom w:w="0" w:type="dxa"/>
                    <w:right w:w="0" w:type="dxa"/>
                  </w:tcMar>
                  <w:vAlign w:val="center"/>
                </w:tcPr>
                <w:p w14:paraId="6001054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404.7</w:t>
                  </w:r>
                </w:p>
              </w:tc>
              <w:tc>
                <w:tcPr>
                  <w:tcW w:w="211" w:type="pct"/>
                  <w:tcBorders>
                    <w:tl2br w:val="nil"/>
                    <w:tr2bl w:val="nil"/>
                  </w:tcBorders>
                  <w:shd w:val="clear" w:color="auto" w:fill="auto"/>
                  <w:tcMar>
                    <w:top w:w="0" w:type="dxa"/>
                    <w:left w:w="0" w:type="dxa"/>
                    <w:bottom w:w="0" w:type="dxa"/>
                    <w:right w:w="0" w:type="dxa"/>
                  </w:tcMar>
                  <w:vAlign w:val="center"/>
                </w:tcPr>
                <w:p w14:paraId="0A7430E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323.3</w:t>
                  </w:r>
                </w:p>
              </w:tc>
              <w:tc>
                <w:tcPr>
                  <w:tcW w:w="211" w:type="pct"/>
                  <w:tcBorders>
                    <w:tl2br w:val="nil"/>
                    <w:tr2bl w:val="nil"/>
                  </w:tcBorders>
                  <w:shd w:val="clear" w:color="auto" w:fill="auto"/>
                  <w:tcMar>
                    <w:top w:w="0" w:type="dxa"/>
                    <w:left w:w="0" w:type="dxa"/>
                    <w:bottom w:w="0" w:type="dxa"/>
                    <w:right w:w="0" w:type="dxa"/>
                  </w:tcMar>
                  <w:vAlign w:val="center"/>
                </w:tcPr>
                <w:p w14:paraId="60352B7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43.2</w:t>
                  </w:r>
                </w:p>
              </w:tc>
              <w:tc>
                <w:tcPr>
                  <w:tcW w:w="166" w:type="pct"/>
                  <w:tcBorders>
                    <w:tl2br w:val="nil"/>
                    <w:tr2bl w:val="nil"/>
                  </w:tcBorders>
                  <w:shd w:val="clear" w:color="auto" w:fill="auto"/>
                  <w:tcMar>
                    <w:top w:w="0" w:type="dxa"/>
                    <w:left w:w="0" w:type="dxa"/>
                    <w:bottom w:w="0" w:type="dxa"/>
                    <w:right w:w="0" w:type="dxa"/>
                  </w:tcMar>
                  <w:vAlign w:val="center"/>
                </w:tcPr>
                <w:p w14:paraId="667E230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B1FC37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EFC097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C2D3E3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2C540C2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43B328A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25C99F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8571C6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4D525A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97A386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6F11371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23A173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115B69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565D50D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2D430A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21629CF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134</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B750D4F">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0439A7F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泵类</w:t>
                  </w:r>
                </w:p>
              </w:tc>
              <w:tc>
                <w:tcPr>
                  <w:tcW w:w="264" w:type="pct"/>
                  <w:tcBorders>
                    <w:tl2br w:val="nil"/>
                    <w:tr2bl w:val="nil"/>
                  </w:tcBorders>
                  <w:shd w:val="clear" w:color="auto" w:fill="auto"/>
                  <w:tcMar>
                    <w:top w:w="0" w:type="dxa"/>
                    <w:left w:w="0" w:type="dxa"/>
                    <w:bottom w:w="0" w:type="dxa"/>
                    <w:right w:w="0" w:type="dxa"/>
                  </w:tcMar>
                  <w:vAlign w:val="center"/>
                </w:tcPr>
                <w:p w14:paraId="3E68473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DA641F4">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361E737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-12</w:t>
                  </w:r>
                </w:p>
              </w:tc>
              <w:tc>
                <w:tcPr>
                  <w:tcW w:w="242" w:type="pct"/>
                  <w:tcBorders>
                    <w:tl2br w:val="nil"/>
                    <w:tr2bl w:val="nil"/>
                  </w:tcBorders>
                  <w:shd w:val="clear" w:color="auto" w:fill="auto"/>
                  <w:tcMar>
                    <w:top w:w="0" w:type="dxa"/>
                    <w:left w:w="0" w:type="dxa"/>
                    <w:bottom w:w="0" w:type="dxa"/>
                    <w:right w:w="0" w:type="dxa"/>
                  </w:tcMar>
                  <w:vAlign w:val="center"/>
                </w:tcPr>
                <w:p w14:paraId="6C87D10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187.9</w:t>
                  </w:r>
                </w:p>
              </w:tc>
              <w:tc>
                <w:tcPr>
                  <w:tcW w:w="120" w:type="pct"/>
                  <w:tcBorders>
                    <w:tl2br w:val="nil"/>
                    <w:tr2bl w:val="nil"/>
                  </w:tcBorders>
                  <w:shd w:val="clear" w:color="auto" w:fill="auto"/>
                  <w:tcMar>
                    <w:top w:w="0" w:type="dxa"/>
                    <w:left w:w="0" w:type="dxa"/>
                    <w:bottom w:w="0" w:type="dxa"/>
                    <w:right w:w="0" w:type="dxa"/>
                  </w:tcMar>
                  <w:vAlign w:val="center"/>
                </w:tcPr>
                <w:p w14:paraId="163A375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7C32EC1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232.9</w:t>
                  </w:r>
                </w:p>
              </w:tc>
              <w:tc>
                <w:tcPr>
                  <w:tcW w:w="211" w:type="pct"/>
                  <w:tcBorders>
                    <w:tl2br w:val="nil"/>
                    <w:tr2bl w:val="nil"/>
                  </w:tcBorders>
                  <w:shd w:val="clear" w:color="auto" w:fill="auto"/>
                  <w:tcMar>
                    <w:top w:w="0" w:type="dxa"/>
                    <w:left w:w="0" w:type="dxa"/>
                    <w:bottom w:w="0" w:type="dxa"/>
                    <w:right w:w="0" w:type="dxa"/>
                  </w:tcMar>
                  <w:vAlign w:val="center"/>
                </w:tcPr>
                <w:p w14:paraId="64DF048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404.5</w:t>
                  </w:r>
                </w:p>
              </w:tc>
              <w:tc>
                <w:tcPr>
                  <w:tcW w:w="211" w:type="pct"/>
                  <w:tcBorders>
                    <w:tl2br w:val="nil"/>
                    <w:tr2bl w:val="nil"/>
                  </w:tcBorders>
                  <w:shd w:val="clear" w:color="auto" w:fill="auto"/>
                  <w:tcMar>
                    <w:top w:w="0" w:type="dxa"/>
                    <w:left w:w="0" w:type="dxa"/>
                    <w:bottom w:w="0" w:type="dxa"/>
                    <w:right w:w="0" w:type="dxa"/>
                  </w:tcMar>
                  <w:vAlign w:val="center"/>
                </w:tcPr>
                <w:p w14:paraId="7610E9D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323.7</w:t>
                  </w:r>
                </w:p>
              </w:tc>
              <w:tc>
                <w:tcPr>
                  <w:tcW w:w="211" w:type="pct"/>
                  <w:tcBorders>
                    <w:tl2br w:val="nil"/>
                    <w:tr2bl w:val="nil"/>
                  </w:tcBorders>
                  <w:shd w:val="clear" w:color="auto" w:fill="auto"/>
                  <w:tcMar>
                    <w:top w:w="0" w:type="dxa"/>
                    <w:left w:w="0" w:type="dxa"/>
                    <w:bottom w:w="0" w:type="dxa"/>
                    <w:right w:w="0" w:type="dxa"/>
                  </w:tcMar>
                  <w:vAlign w:val="center"/>
                </w:tcPr>
                <w:p w14:paraId="0B86EBE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42.9</w:t>
                  </w:r>
                </w:p>
              </w:tc>
              <w:tc>
                <w:tcPr>
                  <w:tcW w:w="166" w:type="pct"/>
                  <w:tcBorders>
                    <w:tl2br w:val="nil"/>
                    <w:tr2bl w:val="nil"/>
                  </w:tcBorders>
                  <w:shd w:val="clear" w:color="auto" w:fill="auto"/>
                  <w:tcMar>
                    <w:top w:w="0" w:type="dxa"/>
                    <w:left w:w="0" w:type="dxa"/>
                    <w:bottom w:w="0" w:type="dxa"/>
                    <w:right w:w="0" w:type="dxa"/>
                  </w:tcMar>
                  <w:vAlign w:val="center"/>
                </w:tcPr>
                <w:p w14:paraId="09EA710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BF73A9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DF9AB5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1ADD27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484FA7E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332DCC0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ED9776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D78168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7436F6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B4F55E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26AD051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07CC28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61EC88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3461A88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6E7EA2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28AECEC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135</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31FA4A87">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3CF63FB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泵类</w:t>
                  </w:r>
                </w:p>
              </w:tc>
              <w:tc>
                <w:tcPr>
                  <w:tcW w:w="264" w:type="pct"/>
                  <w:tcBorders>
                    <w:tl2br w:val="nil"/>
                    <w:tr2bl w:val="nil"/>
                  </w:tcBorders>
                  <w:shd w:val="clear" w:color="auto" w:fill="auto"/>
                  <w:tcMar>
                    <w:top w:w="0" w:type="dxa"/>
                    <w:left w:w="0" w:type="dxa"/>
                    <w:bottom w:w="0" w:type="dxa"/>
                    <w:right w:w="0" w:type="dxa"/>
                  </w:tcMar>
                  <w:vAlign w:val="center"/>
                </w:tcPr>
                <w:p w14:paraId="54AA4B9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9A132BC">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4AA8389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w:t>
                  </w:r>
                </w:p>
              </w:tc>
              <w:tc>
                <w:tcPr>
                  <w:tcW w:w="242" w:type="pct"/>
                  <w:tcBorders>
                    <w:tl2br w:val="nil"/>
                    <w:tr2bl w:val="nil"/>
                  </w:tcBorders>
                  <w:shd w:val="clear" w:color="auto" w:fill="auto"/>
                  <w:tcMar>
                    <w:top w:w="0" w:type="dxa"/>
                    <w:left w:w="0" w:type="dxa"/>
                    <w:bottom w:w="0" w:type="dxa"/>
                    <w:right w:w="0" w:type="dxa"/>
                  </w:tcMar>
                  <w:vAlign w:val="center"/>
                </w:tcPr>
                <w:p w14:paraId="2A2951F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181.9</w:t>
                  </w:r>
                </w:p>
              </w:tc>
              <w:tc>
                <w:tcPr>
                  <w:tcW w:w="120" w:type="pct"/>
                  <w:tcBorders>
                    <w:tl2br w:val="nil"/>
                    <w:tr2bl w:val="nil"/>
                  </w:tcBorders>
                  <w:shd w:val="clear" w:color="auto" w:fill="auto"/>
                  <w:tcMar>
                    <w:top w:w="0" w:type="dxa"/>
                    <w:left w:w="0" w:type="dxa"/>
                    <w:bottom w:w="0" w:type="dxa"/>
                    <w:right w:w="0" w:type="dxa"/>
                  </w:tcMar>
                  <w:vAlign w:val="center"/>
                </w:tcPr>
                <w:p w14:paraId="25624B6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235E6FA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220.8</w:t>
                  </w:r>
                </w:p>
              </w:tc>
              <w:tc>
                <w:tcPr>
                  <w:tcW w:w="211" w:type="pct"/>
                  <w:tcBorders>
                    <w:tl2br w:val="nil"/>
                    <w:tr2bl w:val="nil"/>
                  </w:tcBorders>
                  <w:shd w:val="clear" w:color="auto" w:fill="auto"/>
                  <w:tcMar>
                    <w:top w:w="0" w:type="dxa"/>
                    <w:left w:w="0" w:type="dxa"/>
                    <w:bottom w:w="0" w:type="dxa"/>
                    <w:right w:w="0" w:type="dxa"/>
                  </w:tcMar>
                  <w:vAlign w:val="center"/>
                </w:tcPr>
                <w:p w14:paraId="5F731E4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403.0</w:t>
                  </w:r>
                </w:p>
              </w:tc>
              <w:tc>
                <w:tcPr>
                  <w:tcW w:w="211" w:type="pct"/>
                  <w:tcBorders>
                    <w:tl2br w:val="nil"/>
                    <w:tr2bl w:val="nil"/>
                  </w:tcBorders>
                  <w:shd w:val="clear" w:color="auto" w:fill="auto"/>
                  <w:tcMar>
                    <w:top w:w="0" w:type="dxa"/>
                    <w:left w:w="0" w:type="dxa"/>
                    <w:bottom w:w="0" w:type="dxa"/>
                    <w:right w:w="0" w:type="dxa"/>
                  </w:tcMar>
                  <w:vAlign w:val="center"/>
                </w:tcPr>
                <w:p w14:paraId="4A44936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322.8</w:t>
                  </w:r>
                </w:p>
              </w:tc>
              <w:tc>
                <w:tcPr>
                  <w:tcW w:w="211" w:type="pct"/>
                  <w:tcBorders>
                    <w:tl2br w:val="nil"/>
                    <w:tr2bl w:val="nil"/>
                  </w:tcBorders>
                  <w:shd w:val="clear" w:color="auto" w:fill="auto"/>
                  <w:tcMar>
                    <w:top w:w="0" w:type="dxa"/>
                    <w:left w:w="0" w:type="dxa"/>
                    <w:bottom w:w="0" w:type="dxa"/>
                    <w:right w:w="0" w:type="dxa"/>
                  </w:tcMar>
                  <w:vAlign w:val="center"/>
                </w:tcPr>
                <w:p w14:paraId="6C9DA59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43.9</w:t>
                  </w:r>
                </w:p>
              </w:tc>
              <w:tc>
                <w:tcPr>
                  <w:tcW w:w="166" w:type="pct"/>
                  <w:tcBorders>
                    <w:tl2br w:val="nil"/>
                    <w:tr2bl w:val="nil"/>
                  </w:tcBorders>
                  <w:shd w:val="clear" w:color="auto" w:fill="auto"/>
                  <w:tcMar>
                    <w:top w:w="0" w:type="dxa"/>
                    <w:left w:w="0" w:type="dxa"/>
                    <w:bottom w:w="0" w:type="dxa"/>
                    <w:right w:w="0" w:type="dxa"/>
                  </w:tcMar>
                  <w:vAlign w:val="center"/>
                </w:tcPr>
                <w:p w14:paraId="2DCC027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036F9CC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9C66CE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03A197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09C4EDA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6747265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8093A9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D57209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A24EBB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64A353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5CA668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B56F39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13B26A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2E17EB7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3BA631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3381C39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136</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F4946BD">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00B3DA2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泵类</w:t>
                  </w:r>
                </w:p>
              </w:tc>
              <w:tc>
                <w:tcPr>
                  <w:tcW w:w="264" w:type="pct"/>
                  <w:tcBorders>
                    <w:tl2br w:val="nil"/>
                    <w:tr2bl w:val="nil"/>
                  </w:tcBorders>
                  <w:shd w:val="clear" w:color="auto" w:fill="auto"/>
                  <w:tcMar>
                    <w:top w:w="0" w:type="dxa"/>
                    <w:left w:w="0" w:type="dxa"/>
                    <w:bottom w:w="0" w:type="dxa"/>
                    <w:right w:w="0" w:type="dxa"/>
                  </w:tcMar>
                  <w:vAlign w:val="center"/>
                </w:tcPr>
                <w:p w14:paraId="2A2916B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08890187">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0AF1759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9.4</w:t>
                  </w:r>
                </w:p>
              </w:tc>
              <w:tc>
                <w:tcPr>
                  <w:tcW w:w="242" w:type="pct"/>
                  <w:tcBorders>
                    <w:tl2br w:val="nil"/>
                    <w:tr2bl w:val="nil"/>
                  </w:tcBorders>
                  <w:shd w:val="clear" w:color="auto" w:fill="auto"/>
                  <w:tcMar>
                    <w:top w:w="0" w:type="dxa"/>
                    <w:left w:w="0" w:type="dxa"/>
                    <w:bottom w:w="0" w:type="dxa"/>
                    <w:right w:w="0" w:type="dxa"/>
                  </w:tcMar>
                  <w:vAlign w:val="center"/>
                </w:tcPr>
                <w:p w14:paraId="213277E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175.9</w:t>
                  </w:r>
                </w:p>
              </w:tc>
              <w:tc>
                <w:tcPr>
                  <w:tcW w:w="120" w:type="pct"/>
                  <w:tcBorders>
                    <w:tl2br w:val="nil"/>
                    <w:tr2bl w:val="nil"/>
                  </w:tcBorders>
                  <w:shd w:val="clear" w:color="auto" w:fill="auto"/>
                  <w:tcMar>
                    <w:top w:w="0" w:type="dxa"/>
                    <w:left w:w="0" w:type="dxa"/>
                    <w:bottom w:w="0" w:type="dxa"/>
                    <w:right w:w="0" w:type="dxa"/>
                  </w:tcMar>
                  <w:vAlign w:val="center"/>
                </w:tcPr>
                <w:p w14:paraId="0789D39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3A61262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208.6</w:t>
                  </w:r>
                </w:p>
              </w:tc>
              <w:tc>
                <w:tcPr>
                  <w:tcW w:w="211" w:type="pct"/>
                  <w:tcBorders>
                    <w:tl2br w:val="nil"/>
                    <w:tr2bl w:val="nil"/>
                  </w:tcBorders>
                  <w:shd w:val="clear" w:color="auto" w:fill="auto"/>
                  <w:tcMar>
                    <w:top w:w="0" w:type="dxa"/>
                    <w:left w:w="0" w:type="dxa"/>
                    <w:bottom w:w="0" w:type="dxa"/>
                    <w:right w:w="0" w:type="dxa"/>
                  </w:tcMar>
                  <w:vAlign w:val="center"/>
                </w:tcPr>
                <w:p w14:paraId="00EF8F7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401.6</w:t>
                  </w:r>
                </w:p>
              </w:tc>
              <w:tc>
                <w:tcPr>
                  <w:tcW w:w="211" w:type="pct"/>
                  <w:tcBorders>
                    <w:tl2br w:val="nil"/>
                    <w:tr2bl w:val="nil"/>
                  </w:tcBorders>
                  <w:shd w:val="clear" w:color="auto" w:fill="auto"/>
                  <w:tcMar>
                    <w:top w:w="0" w:type="dxa"/>
                    <w:left w:w="0" w:type="dxa"/>
                    <w:bottom w:w="0" w:type="dxa"/>
                    <w:right w:w="0" w:type="dxa"/>
                  </w:tcMar>
                  <w:vAlign w:val="center"/>
                </w:tcPr>
                <w:p w14:paraId="4D40324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322.0</w:t>
                  </w:r>
                </w:p>
              </w:tc>
              <w:tc>
                <w:tcPr>
                  <w:tcW w:w="211" w:type="pct"/>
                  <w:tcBorders>
                    <w:tl2br w:val="nil"/>
                    <w:tr2bl w:val="nil"/>
                  </w:tcBorders>
                  <w:shd w:val="clear" w:color="auto" w:fill="auto"/>
                  <w:tcMar>
                    <w:top w:w="0" w:type="dxa"/>
                    <w:left w:w="0" w:type="dxa"/>
                    <w:bottom w:w="0" w:type="dxa"/>
                    <w:right w:w="0" w:type="dxa"/>
                  </w:tcMar>
                  <w:vAlign w:val="center"/>
                </w:tcPr>
                <w:p w14:paraId="4B254C6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44.8</w:t>
                  </w:r>
                </w:p>
              </w:tc>
              <w:tc>
                <w:tcPr>
                  <w:tcW w:w="166" w:type="pct"/>
                  <w:tcBorders>
                    <w:tl2br w:val="nil"/>
                    <w:tr2bl w:val="nil"/>
                  </w:tcBorders>
                  <w:shd w:val="clear" w:color="auto" w:fill="auto"/>
                  <w:tcMar>
                    <w:top w:w="0" w:type="dxa"/>
                    <w:left w:w="0" w:type="dxa"/>
                    <w:bottom w:w="0" w:type="dxa"/>
                    <w:right w:w="0" w:type="dxa"/>
                  </w:tcMar>
                  <w:vAlign w:val="center"/>
                </w:tcPr>
                <w:p w14:paraId="44536B1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6C789C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AC5CC9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2B69E1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0ECC3AB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7FF656C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27E9BE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82311E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D3C165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288E7A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E599ED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2F546B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22FBB8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292122D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359306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6AD352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137</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BA578CB">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54C6867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泵类</w:t>
                  </w:r>
                </w:p>
              </w:tc>
              <w:tc>
                <w:tcPr>
                  <w:tcW w:w="264" w:type="pct"/>
                  <w:tcBorders>
                    <w:tl2br w:val="nil"/>
                    <w:tr2bl w:val="nil"/>
                  </w:tcBorders>
                  <w:shd w:val="clear" w:color="auto" w:fill="auto"/>
                  <w:tcMar>
                    <w:top w:w="0" w:type="dxa"/>
                    <w:left w:w="0" w:type="dxa"/>
                    <w:bottom w:w="0" w:type="dxa"/>
                    <w:right w:w="0" w:type="dxa"/>
                  </w:tcMar>
                  <w:vAlign w:val="center"/>
                </w:tcPr>
                <w:p w14:paraId="1A01EE1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6EAEA0D7">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31444D1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18.4</w:t>
                  </w:r>
                </w:p>
              </w:tc>
              <w:tc>
                <w:tcPr>
                  <w:tcW w:w="242" w:type="pct"/>
                  <w:tcBorders>
                    <w:tl2br w:val="nil"/>
                    <w:tr2bl w:val="nil"/>
                  </w:tcBorders>
                  <w:shd w:val="clear" w:color="auto" w:fill="auto"/>
                  <w:tcMar>
                    <w:top w:w="0" w:type="dxa"/>
                    <w:left w:w="0" w:type="dxa"/>
                    <w:bottom w:w="0" w:type="dxa"/>
                    <w:right w:w="0" w:type="dxa"/>
                  </w:tcMar>
                  <w:vAlign w:val="center"/>
                </w:tcPr>
                <w:p w14:paraId="1A5539D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172.5</w:t>
                  </w:r>
                </w:p>
              </w:tc>
              <w:tc>
                <w:tcPr>
                  <w:tcW w:w="120" w:type="pct"/>
                  <w:tcBorders>
                    <w:tl2br w:val="nil"/>
                    <w:tr2bl w:val="nil"/>
                  </w:tcBorders>
                  <w:shd w:val="clear" w:color="auto" w:fill="auto"/>
                  <w:tcMar>
                    <w:top w:w="0" w:type="dxa"/>
                    <w:left w:w="0" w:type="dxa"/>
                    <w:bottom w:w="0" w:type="dxa"/>
                    <w:right w:w="0" w:type="dxa"/>
                  </w:tcMar>
                  <w:vAlign w:val="center"/>
                </w:tcPr>
                <w:p w14:paraId="081BD0A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6A7BBFB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199.0</w:t>
                  </w:r>
                </w:p>
              </w:tc>
              <w:tc>
                <w:tcPr>
                  <w:tcW w:w="211" w:type="pct"/>
                  <w:tcBorders>
                    <w:tl2br w:val="nil"/>
                    <w:tr2bl w:val="nil"/>
                  </w:tcBorders>
                  <w:shd w:val="clear" w:color="auto" w:fill="auto"/>
                  <w:tcMar>
                    <w:top w:w="0" w:type="dxa"/>
                    <w:left w:w="0" w:type="dxa"/>
                    <w:bottom w:w="0" w:type="dxa"/>
                    <w:right w:w="0" w:type="dxa"/>
                  </w:tcMar>
                  <w:vAlign w:val="center"/>
                </w:tcPr>
                <w:p w14:paraId="64995E5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401.9</w:t>
                  </w:r>
                </w:p>
              </w:tc>
              <w:tc>
                <w:tcPr>
                  <w:tcW w:w="211" w:type="pct"/>
                  <w:tcBorders>
                    <w:tl2br w:val="nil"/>
                    <w:tr2bl w:val="nil"/>
                  </w:tcBorders>
                  <w:shd w:val="clear" w:color="auto" w:fill="auto"/>
                  <w:tcMar>
                    <w:top w:w="0" w:type="dxa"/>
                    <w:left w:w="0" w:type="dxa"/>
                    <w:bottom w:w="0" w:type="dxa"/>
                    <w:right w:w="0" w:type="dxa"/>
                  </w:tcMar>
                  <w:vAlign w:val="center"/>
                </w:tcPr>
                <w:p w14:paraId="5273B13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322.8</w:t>
                  </w:r>
                </w:p>
              </w:tc>
              <w:tc>
                <w:tcPr>
                  <w:tcW w:w="211" w:type="pct"/>
                  <w:tcBorders>
                    <w:tl2br w:val="nil"/>
                    <w:tr2bl w:val="nil"/>
                  </w:tcBorders>
                  <w:shd w:val="clear" w:color="auto" w:fill="auto"/>
                  <w:tcMar>
                    <w:top w:w="0" w:type="dxa"/>
                    <w:left w:w="0" w:type="dxa"/>
                    <w:bottom w:w="0" w:type="dxa"/>
                    <w:right w:w="0" w:type="dxa"/>
                  </w:tcMar>
                  <w:vAlign w:val="center"/>
                </w:tcPr>
                <w:p w14:paraId="54B8868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44.1</w:t>
                  </w:r>
                </w:p>
              </w:tc>
              <w:tc>
                <w:tcPr>
                  <w:tcW w:w="166" w:type="pct"/>
                  <w:tcBorders>
                    <w:tl2br w:val="nil"/>
                    <w:tr2bl w:val="nil"/>
                  </w:tcBorders>
                  <w:shd w:val="clear" w:color="auto" w:fill="auto"/>
                  <w:tcMar>
                    <w:top w:w="0" w:type="dxa"/>
                    <w:left w:w="0" w:type="dxa"/>
                    <w:bottom w:w="0" w:type="dxa"/>
                    <w:right w:w="0" w:type="dxa"/>
                  </w:tcMar>
                  <w:vAlign w:val="center"/>
                </w:tcPr>
                <w:p w14:paraId="0FE3A890">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8CE7FB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670BFF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CE5B3A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03A8592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10EC68D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EE8727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2D7C007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DBB321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0A26B2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3ADD1B8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5AE925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C5071E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40B0D52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3D7880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24D2A4D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138</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6B3F136">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08B4F00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泵类</w:t>
                  </w:r>
                </w:p>
              </w:tc>
              <w:tc>
                <w:tcPr>
                  <w:tcW w:w="264" w:type="pct"/>
                  <w:tcBorders>
                    <w:tl2br w:val="nil"/>
                    <w:tr2bl w:val="nil"/>
                  </w:tcBorders>
                  <w:shd w:val="clear" w:color="auto" w:fill="auto"/>
                  <w:tcMar>
                    <w:top w:w="0" w:type="dxa"/>
                    <w:left w:w="0" w:type="dxa"/>
                    <w:bottom w:w="0" w:type="dxa"/>
                    <w:right w:w="0" w:type="dxa"/>
                  </w:tcMar>
                  <w:vAlign w:val="center"/>
                </w:tcPr>
                <w:p w14:paraId="02FB124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1DEB79A">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78F7FAF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26.1</w:t>
                  </w:r>
                </w:p>
              </w:tc>
              <w:tc>
                <w:tcPr>
                  <w:tcW w:w="242" w:type="pct"/>
                  <w:tcBorders>
                    <w:tl2br w:val="nil"/>
                    <w:tr2bl w:val="nil"/>
                  </w:tcBorders>
                  <w:shd w:val="clear" w:color="auto" w:fill="auto"/>
                  <w:tcMar>
                    <w:top w:w="0" w:type="dxa"/>
                    <w:left w:w="0" w:type="dxa"/>
                    <w:bottom w:w="0" w:type="dxa"/>
                    <w:right w:w="0" w:type="dxa"/>
                  </w:tcMar>
                  <w:vAlign w:val="center"/>
                </w:tcPr>
                <w:p w14:paraId="59AF5FA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168.2</w:t>
                  </w:r>
                </w:p>
              </w:tc>
              <w:tc>
                <w:tcPr>
                  <w:tcW w:w="120" w:type="pct"/>
                  <w:tcBorders>
                    <w:tl2br w:val="nil"/>
                    <w:tr2bl w:val="nil"/>
                  </w:tcBorders>
                  <w:shd w:val="clear" w:color="auto" w:fill="auto"/>
                  <w:tcMar>
                    <w:top w:w="0" w:type="dxa"/>
                    <w:left w:w="0" w:type="dxa"/>
                    <w:bottom w:w="0" w:type="dxa"/>
                    <w:right w:w="0" w:type="dxa"/>
                  </w:tcMar>
                  <w:vAlign w:val="center"/>
                </w:tcPr>
                <w:p w14:paraId="3DBCFA2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43CF6C6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190.3</w:t>
                  </w:r>
                </w:p>
              </w:tc>
              <w:tc>
                <w:tcPr>
                  <w:tcW w:w="211" w:type="pct"/>
                  <w:tcBorders>
                    <w:tl2br w:val="nil"/>
                    <w:tr2bl w:val="nil"/>
                  </w:tcBorders>
                  <w:shd w:val="clear" w:color="auto" w:fill="auto"/>
                  <w:tcMar>
                    <w:top w:w="0" w:type="dxa"/>
                    <w:left w:w="0" w:type="dxa"/>
                    <w:bottom w:w="0" w:type="dxa"/>
                    <w:right w:w="0" w:type="dxa"/>
                  </w:tcMar>
                  <w:vAlign w:val="center"/>
                </w:tcPr>
                <w:p w14:paraId="66E41BF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400.9</w:t>
                  </w:r>
                </w:p>
              </w:tc>
              <w:tc>
                <w:tcPr>
                  <w:tcW w:w="211" w:type="pct"/>
                  <w:tcBorders>
                    <w:tl2br w:val="nil"/>
                    <w:tr2bl w:val="nil"/>
                  </w:tcBorders>
                  <w:shd w:val="clear" w:color="auto" w:fill="auto"/>
                  <w:tcMar>
                    <w:top w:w="0" w:type="dxa"/>
                    <w:left w:w="0" w:type="dxa"/>
                    <w:bottom w:w="0" w:type="dxa"/>
                    <w:right w:w="0" w:type="dxa"/>
                  </w:tcMar>
                  <w:vAlign w:val="center"/>
                </w:tcPr>
                <w:p w14:paraId="0709D87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322.3</w:t>
                  </w:r>
                </w:p>
              </w:tc>
              <w:tc>
                <w:tcPr>
                  <w:tcW w:w="211" w:type="pct"/>
                  <w:tcBorders>
                    <w:tl2br w:val="nil"/>
                    <w:tr2bl w:val="nil"/>
                  </w:tcBorders>
                  <w:shd w:val="clear" w:color="auto" w:fill="auto"/>
                  <w:tcMar>
                    <w:top w:w="0" w:type="dxa"/>
                    <w:left w:w="0" w:type="dxa"/>
                    <w:bottom w:w="0" w:type="dxa"/>
                    <w:right w:w="0" w:type="dxa"/>
                  </w:tcMar>
                  <w:vAlign w:val="center"/>
                </w:tcPr>
                <w:p w14:paraId="3AB4962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44.8</w:t>
                  </w:r>
                </w:p>
              </w:tc>
              <w:tc>
                <w:tcPr>
                  <w:tcW w:w="166" w:type="pct"/>
                  <w:tcBorders>
                    <w:tl2br w:val="nil"/>
                    <w:tr2bl w:val="nil"/>
                  </w:tcBorders>
                  <w:shd w:val="clear" w:color="auto" w:fill="auto"/>
                  <w:tcMar>
                    <w:top w:w="0" w:type="dxa"/>
                    <w:left w:w="0" w:type="dxa"/>
                    <w:bottom w:w="0" w:type="dxa"/>
                    <w:right w:w="0" w:type="dxa"/>
                  </w:tcMar>
                  <w:vAlign w:val="center"/>
                </w:tcPr>
                <w:p w14:paraId="05724AE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31E93A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247CDB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495F672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73E2B1C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1D891F0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770A108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9B93CA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D52B4F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AC3F27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781DF3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9915FB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F210C1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4579281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4B0386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71280A8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139</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BC68221">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6D155BA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泵类</w:t>
                  </w:r>
                </w:p>
              </w:tc>
              <w:tc>
                <w:tcPr>
                  <w:tcW w:w="264" w:type="pct"/>
                  <w:tcBorders>
                    <w:tl2br w:val="nil"/>
                    <w:tr2bl w:val="nil"/>
                  </w:tcBorders>
                  <w:shd w:val="clear" w:color="auto" w:fill="auto"/>
                  <w:tcMar>
                    <w:top w:w="0" w:type="dxa"/>
                    <w:left w:w="0" w:type="dxa"/>
                    <w:bottom w:w="0" w:type="dxa"/>
                    <w:right w:w="0" w:type="dxa"/>
                  </w:tcMar>
                  <w:vAlign w:val="center"/>
                </w:tcPr>
                <w:p w14:paraId="4680439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73AA6B09">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629AF6A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33.4</w:t>
                  </w:r>
                </w:p>
              </w:tc>
              <w:tc>
                <w:tcPr>
                  <w:tcW w:w="242" w:type="pct"/>
                  <w:tcBorders>
                    <w:tl2br w:val="nil"/>
                    <w:tr2bl w:val="nil"/>
                  </w:tcBorders>
                  <w:shd w:val="clear" w:color="auto" w:fill="auto"/>
                  <w:tcMar>
                    <w:top w:w="0" w:type="dxa"/>
                    <w:left w:w="0" w:type="dxa"/>
                    <w:bottom w:w="0" w:type="dxa"/>
                    <w:right w:w="0" w:type="dxa"/>
                  </w:tcMar>
                  <w:vAlign w:val="center"/>
                </w:tcPr>
                <w:p w14:paraId="6E1FE42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163.5</w:t>
                  </w:r>
                </w:p>
              </w:tc>
              <w:tc>
                <w:tcPr>
                  <w:tcW w:w="120" w:type="pct"/>
                  <w:tcBorders>
                    <w:tl2br w:val="nil"/>
                    <w:tr2bl w:val="nil"/>
                  </w:tcBorders>
                  <w:shd w:val="clear" w:color="auto" w:fill="auto"/>
                  <w:tcMar>
                    <w:top w:w="0" w:type="dxa"/>
                    <w:left w:w="0" w:type="dxa"/>
                    <w:bottom w:w="0" w:type="dxa"/>
                    <w:right w:w="0" w:type="dxa"/>
                  </w:tcMar>
                  <w:vAlign w:val="center"/>
                </w:tcPr>
                <w:p w14:paraId="14027C9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0750A4E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181.7</w:t>
                  </w:r>
                </w:p>
              </w:tc>
              <w:tc>
                <w:tcPr>
                  <w:tcW w:w="211" w:type="pct"/>
                  <w:tcBorders>
                    <w:tl2br w:val="nil"/>
                    <w:tr2bl w:val="nil"/>
                  </w:tcBorders>
                  <w:shd w:val="clear" w:color="auto" w:fill="auto"/>
                  <w:tcMar>
                    <w:top w:w="0" w:type="dxa"/>
                    <w:left w:w="0" w:type="dxa"/>
                    <w:bottom w:w="0" w:type="dxa"/>
                    <w:right w:w="0" w:type="dxa"/>
                  </w:tcMar>
                  <w:vAlign w:val="center"/>
                </w:tcPr>
                <w:p w14:paraId="0D74209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399.3</w:t>
                  </w:r>
                </w:p>
              </w:tc>
              <w:tc>
                <w:tcPr>
                  <w:tcW w:w="211" w:type="pct"/>
                  <w:tcBorders>
                    <w:tl2br w:val="nil"/>
                    <w:tr2bl w:val="nil"/>
                  </w:tcBorders>
                  <w:shd w:val="clear" w:color="auto" w:fill="auto"/>
                  <w:tcMar>
                    <w:top w:w="0" w:type="dxa"/>
                    <w:left w:w="0" w:type="dxa"/>
                    <w:bottom w:w="0" w:type="dxa"/>
                    <w:right w:w="0" w:type="dxa"/>
                  </w:tcMar>
                  <w:vAlign w:val="center"/>
                </w:tcPr>
                <w:p w14:paraId="4F1FD92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321.1</w:t>
                  </w:r>
                </w:p>
              </w:tc>
              <w:tc>
                <w:tcPr>
                  <w:tcW w:w="211" w:type="pct"/>
                  <w:tcBorders>
                    <w:tl2br w:val="nil"/>
                    <w:tr2bl w:val="nil"/>
                  </w:tcBorders>
                  <w:shd w:val="clear" w:color="auto" w:fill="auto"/>
                  <w:tcMar>
                    <w:top w:w="0" w:type="dxa"/>
                    <w:left w:w="0" w:type="dxa"/>
                    <w:bottom w:w="0" w:type="dxa"/>
                    <w:right w:w="0" w:type="dxa"/>
                  </w:tcMar>
                  <w:vAlign w:val="center"/>
                </w:tcPr>
                <w:p w14:paraId="42ECBCB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46.0</w:t>
                  </w:r>
                </w:p>
              </w:tc>
              <w:tc>
                <w:tcPr>
                  <w:tcW w:w="166" w:type="pct"/>
                  <w:tcBorders>
                    <w:tl2br w:val="nil"/>
                    <w:tr2bl w:val="nil"/>
                  </w:tcBorders>
                  <w:shd w:val="clear" w:color="auto" w:fill="auto"/>
                  <w:tcMar>
                    <w:top w:w="0" w:type="dxa"/>
                    <w:left w:w="0" w:type="dxa"/>
                    <w:bottom w:w="0" w:type="dxa"/>
                    <w:right w:w="0" w:type="dxa"/>
                  </w:tcMar>
                  <w:vAlign w:val="center"/>
                </w:tcPr>
                <w:p w14:paraId="49E9131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1FCBF61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C628FA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36AF76A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1F5FB70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57FCAE2B">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53D7A8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EE7AD5A">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53764D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7403B1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32E3D3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0002D04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7124A22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68109DE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674D19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6062364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140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429FFA32">
                  <w:pPr>
                    <w:jc w:val="center"/>
                    <w:rPr>
                      <w:rFonts w:hint="default" w:ascii="Times New Roman" w:hAnsi="Times New Roman" w:cs="Times New Roman"/>
                      <w:color w:val="auto"/>
                      <w:sz w:val="15"/>
                      <w:szCs w:val="15"/>
                    </w:rPr>
                  </w:pPr>
                </w:p>
              </w:tc>
              <w:tc>
                <w:tcPr>
                  <w:tcW w:w="295" w:type="pct"/>
                  <w:tcBorders>
                    <w:tl2br w:val="nil"/>
                    <w:tr2bl w:val="nil"/>
                  </w:tcBorders>
                  <w:shd w:val="clear" w:color="auto" w:fill="auto"/>
                  <w:tcMar>
                    <w:top w:w="0" w:type="dxa"/>
                    <w:left w:w="0" w:type="dxa"/>
                    <w:bottom w:w="0" w:type="dxa"/>
                    <w:right w:w="0" w:type="dxa"/>
                  </w:tcMar>
                  <w:vAlign w:val="center"/>
                </w:tcPr>
                <w:p w14:paraId="69B58ED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泵类</w:t>
                  </w:r>
                </w:p>
              </w:tc>
              <w:tc>
                <w:tcPr>
                  <w:tcW w:w="264" w:type="pct"/>
                  <w:tcBorders>
                    <w:tl2br w:val="nil"/>
                    <w:tr2bl w:val="nil"/>
                  </w:tcBorders>
                  <w:shd w:val="clear" w:color="auto" w:fill="auto"/>
                  <w:tcMar>
                    <w:top w:w="0" w:type="dxa"/>
                    <w:left w:w="0" w:type="dxa"/>
                    <w:bottom w:w="0" w:type="dxa"/>
                    <w:right w:w="0" w:type="dxa"/>
                  </w:tcMar>
                  <w:vAlign w:val="center"/>
                </w:tcPr>
                <w:p w14:paraId="70F53FA5">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90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1185637A">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241A412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41.6</w:t>
                  </w:r>
                </w:p>
              </w:tc>
              <w:tc>
                <w:tcPr>
                  <w:tcW w:w="242" w:type="pct"/>
                  <w:tcBorders>
                    <w:tl2br w:val="nil"/>
                    <w:tr2bl w:val="nil"/>
                  </w:tcBorders>
                  <w:shd w:val="clear" w:color="auto" w:fill="auto"/>
                  <w:tcMar>
                    <w:top w:w="0" w:type="dxa"/>
                    <w:left w:w="0" w:type="dxa"/>
                    <w:bottom w:w="0" w:type="dxa"/>
                    <w:right w:w="0" w:type="dxa"/>
                  </w:tcMar>
                  <w:vAlign w:val="center"/>
                </w:tcPr>
                <w:p w14:paraId="46E27CF9">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158.7</w:t>
                  </w:r>
                </w:p>
              </w:tc>
              <w:tc>
                <w:tcPr>
                  <w:tcW w:w="120" w:type="pct"/>
                  <w:tcBorders>
                    <w:tl2br w:val="nil"/>
                    <w:tr2bl w:val="nil"/>
                  </w:tcBorders>
                  <w:shd w:val="clear" w:color="auto" w:fill="auto"/>
                  <w:tcMar>
                    <w:top w:w="0" w:type="dxa"/>
                    <w:left w:w="0" w:type="dxa"/>
                    <w:bottom w:w="0" w:type="dxa"/>
                    <w:right w:w="0" w:type="dxa"/>
                  </w:tcMar>
                  <w:vAlign w:val="center"/>
                </w:tcPr>
                <w:p w14:paraId="738C227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0.2</w:t>
                  </w:r>
                </w:p>
              </w:tc>
              <w:tc>
                <w:tcPr>
                  <w:tcW w:w="211" w:type="pct"/>
                  <w:tcBorders>
                    <w:tl2br w:val="nil"/>
                    <w:tr2bl w:val="nil"/>
                  </w:tcBorders>
                  <w:shd w:val="clear" w:color="auto" w:fill="auto"/>
                  <w:tcMar>
                    <w:top w:w="0" w:type="dxa"/>
                    <w:left w:w="0" w:type="dxa"/>
                    <w:bottom w:w="0" w:type="dxa"/>
                    <w:right w:w="0" w:type="dxa"/>
                  </w:tcMar>
                  <w:vAlign w:val="center"/>
                </w:tcPr>
                <w:p w14:paraId="5C0C881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172.3</w:t>
                  </w:r>
                </w:p>
              </w:tc>
              <w:tc>
                <w:tcPr>
                  <w:tcW w:w="211" w:type="pct"/>
                  <w:tcBorders>
                    <w:tl2br w:val="nil"/>
                    <w:tr2bl w:val="nil"/>
                  </w:tcBorders>
                  <w:shd w:val="clear" w:color="auto" w:fill="auto"/>
                  <w:tcMar>
                    <w:top w:w="0" w:type="dxa"/>
                    <w:left w:w="0" w:type="dxa"/>
                    <w:bottom w:w="0" w:type="dxa"/>
                    <w:right w:w="0" w:type="dxa"/>
                  </w:tcMar>
                  <w:vAlign w:val="center"/>
                </w:tcPr>
                <w:p w14:paraId="7D4FA007">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398.0</w:t>
                  </w:r>
                </w:p>
              </w:tc>
              <w:tc>
                <w:tcPr>
                  <w:tcW w:w="211" w:type="pct"/>
                  <w:tcBorders>
                    <w:tl2br w:val="nil"/>
                    <w:tr2bl w:val="nil"/>
                  </w:tcBorders>
                  <w:shd w:val="clear" w:color="auto" w:fill="auto"/>
                  <w:tcMar>
                    <w:top w:w="0" w:type="dxa"/>
                    <w:left w:w="0" w:type="dxa"/>
                    <w:bottom w:w="0" w:type="dxa"/>
                    <w:right w:w="0" w:type="dxa"/>
                  </w:tcMar>
                  <w:vAlign w:val="center"/>
                </w:tcPr>
                <w:p w14:paraId="5DB2211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320.3</w:t>
                  </w:r>
                </w:p>
              </w:tc>
              <w:tc>
                <w:tcPr>
                  <w:tcW w:w="211" w:type="pct"/>
                  <w:tcBorders>
                    <w:tl2br w:val="nil"/>
                    <w:tr2bl w:val="nil"/>
                  </w:tcBorders>
                  <w:shd w:val="clear" w:color="auto" w:fill="auto"/>
                  <w:tcMar>
                    <w:top w:w="0" w:type="dxa"/>
                    <w:left w:w="0" w:type="dxa"/>
                    <w:bottom w:w="0" w:type="dxa"/>
                    <w:right w:w="0" w:type="dxa"/>
                  </w:tcMar>
                  <w:vAlign w:val="center"/>
                </w:tcPr>
                <w:p w14:paraId="75012E2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46.9</w:t>
                  </w:r>
                </w:p>
              </w:tc>
              <w:tc>
                <w:tcPr>
                  <w:tcW w:w="166" w:type="pct"/>
                  <w:tcBorders>
                    <w:tl2br w:val="nil"/>
                    <w:tr2bl w:val="nil"/>
                  </w:tcBorders>
                  <w:shd w:val="clear" w:color="auto" w:fill="auto"/>
                  <w:tcMar>
                    <w:top w:w="0" w:type="dxa"/>
                    <w:left w:w="0" w:type="dxa"/>
                    <w:bottom w:w="0" w:type="dxa"/>
                    <w:right w:w="0" w:type="dxa"/>
                  </w:tcMar>
                  <w:vAlign w:val="center"/>
                </w:tcPr>
                <w:p w14:paraId="534E08CF">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7D7B8B8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5C065A02">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166" w:type="pct"/>
                  <w:tcBorders>
                    <w:tl2br w:val="nil"/>
                    <w:tr2bl w:val="nil"/>
                  </w:tcBorders>
                  <w:shd w:val="clear" w:color="auto" w:fill="auto"/>
                  <w:tcMar>
                    <w:top w:w="0" w:type="dxa"/>
                    <w:left w:w="0" w:type="dxa"/>
                    <w:bottom w:w="0" w:type="dxa"/>
                    <w:right w:w="0" w:type="dxa"/>
                  </w:tcMar>
                  <w:vAlign w:val="center"/>
                </w:tcPr>
                <w:p w14:paraId="269C3E31">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67.1</w:t>
                  </w:r>
                </w:p>
              </w:tc>
              <w:tc>
                <w:tcPr>
                  <w:tcW w:w="223" w:type="pct"/>
                  <w:tcBorders>
                    <w:tl2br w:val="nil"/>
                    <w:tr2bl w:val="nil"/>
                  </w:tcBorders>
                  <w:shd w:val="clear" w:color="auto" w:fill="auto"/>
                  <w:tcMar>
                    <w:top w:w="0" w:type="dxa"/>
                    <w:left w:w="0" w:type="dxa"/>
                    <w:bottom w:w="0" w:type="dxa"/>
                    <w:right w:w="0" w:type="dxa"/>
                  </w:tcMar>
                  <w:vAlign w:val="center"/>
                </w:tcPr>
                <w:p w14:paraId="078A8683">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5733331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16D862D">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323FB9F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172731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2A3B5E8">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4F630CAC">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568CE60E">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66" w:type="pct"/>
                  <w:tcBorders>
                    <w:tl2br w:val="nil"/>
                    <w:tr2bl w:val="nil"/>
                  </w:tcBorders>
                  <w:shd w:val="clear" w:color="auto" w:fill="auto"/>
                  <w:tcMar>
                    <w:top w:w="0" w:type="dxa"/>
                    <w:left w:w="0" w:type="dxa"/>
                    <w:bottom w:w="0" w:type="dxa"/>
                    <w:right w:w="0" w:type="dxa"/>
                  </w:tcMar>
                  <w:vAlign w:val="center"/>
                </w:tcPr>
                <w:p w14:paraId="13DED404">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46.1</w:t>
                  </w:r>
                </w:p>
              </w:tc>
              <w:tc>
                <w:tcPr>
                  <w:tcW w:w="104" w:type="pct"/>
                  <w:tcBorders>
                    <w:tl2br w:val="nil"/>
                    <w:tr2bl w:val="nil"/>
                  </w:tcBorders>
                  <w:shd w:val="clear" w:color="auto" w:fill="auto"/>
                  <w:tcMar>
                    <w:top w:w="0" w:type="dxa"/>
                    <w:left w:w="0" w:type="dxa"/>
                    <w:bottom w:w="0" w:type="dxa"/>
                    <w:right w:w="0" w:type="dxa"/>
                  </w:tcMar>
                  <w:vAlign w:val="center"/>
                </w:tcPr>
                <w:p w14:paraId="1CF9F1A6">
                  <w:pPr>
                    <w:jc w:val="center"/>
                    <w:rPr>
                      <w:rFonts w:hint="default" w:ascii="Times New Roman" w:hAnsi="Times New Roman" w:cs="Times New Roman"/>
                      <w:color w:val="auto"/>
                      <w:sz w:val="15"/>
                      <w:szCs w:val="15"/>
                    </w:rPr>
                  </w:pPr>
                  <w:r>
                    <w:rPr>
                      <w:rFonts w:hint="default" w:ascii="Times New Roman" w:hAnsi="Times New Roman" w:eastAsia="Arial" w:cs="Times New Roman"/>
                      <w:color w:val="auto"/>
                      <w:sz w:val="15"/>
                      <w:szCs w:val="15"/>
                    </w:rPr>
                    <w:t>1</w:t>
                  </w:r>
                </w:p>
              </w:tc>
            </w:tr>
            <w:tr w14:paraId="646DA1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210ABE6C">
                  <w:pPr>
                    <w:jc w:val="center"/>
                    <w:rPr>
                      <w:rFonts w:hint="default" w:ascii="Times New Roman" w:hAnsi="Times New Roman" w:eastAsia="宋体" w:cs="Times New Roman"/>
                      <w:color w:val="auto"/>
                      <w:sz w:val="15"/>
                      <w:szCs w:val="15"/>
                      <w:lang w:val="en-US" w:eastAsia="zh-CN"/>
                    </w:rPr>
                  </w:pPr>
                  <w:r>
                    <w:rPr>
                      <w:rFonts w:hint="eastAsia" w:eastAsia="宋体" w:cs="Times New Roman"/>
                      <w:color w:val="auto"/>
                      <w:sz w:val="15"/>
                      <w:szCs w:val="15"/>
                      <w:lang w:val="en-US" w:eastAsia="zh-CN"/>
                    </w:rPr>
                    <w:t>141</w:t>
                  </w:r>
                </w:p>
              </w:tc>
              <w:tc>
                <w:tcPr>
                  <w:tcW w:w="223" w:type="pct"/>
                  <w:tcBorders>
                    <w:tl2br w:val="nil"/>
                    <w:tr2bl w:val="nil"/>
                  </w:tcBorders>
                  <w:shd w:val="clear" w:color="auto" w:fill="auto"/>
                  <w:tcMar>
                    <w:top w:w="0" w:type="dxa"/>
                    <w:left w:w="0" w:type="dxa"/>
                    <w:bottom w:w="0" w:type="dxa"/>
                    <w:right w:w="0" w:type="dxa"/>
                  </w:tcMar>
                  <w:vAlign w:val="center"/>
                </w:tcPr>
                <w:p w14:paraId="143FFE49">
                  <w:pPr>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制氮机房</w:t>
                  </w:r>
                </w:p>
              </w:tc>
              <w:tc>
                <w:tcPr>
                  <w:tcW w:w="295" w:type="pct"/>
                  <w:tcBorders>
                    <w:tl2br w:val="nil"/>
                    <w:tr2bl w:val="nil"/>
                  </w:tcBorders>
                  <w:shd w:val="clear" w:color="auto" w:fill="auto"/>
                  <w:tcMar>
                    <w:top w:w="0" w:type="dxa"/>
                    <w:left w:w="0" w:type="dxa"/>
                    <w:bottom w:w="0" w:type="dxa"/>
                    <w:right w:w="0" w:type="dxa"/>
                  </w:tcMar>
                  <w:vAlign w:val="center"/>
                </w:tcPr>
                <w:p w14:paraId="51AAC368">
                  <w:pPr>
                    <w:jc w:val="center"/>
                    <w:rPr>
                      <w:rFonts w:hint="default" w:ascii="Times New Roman" w:hAnsi="Times New Roman" w:eastAsia="Arial" w:cs="Times New Roman"/>
                      <w:color w:val="auto"/>
                      <w:sz w:val="15"/>
                      <w:szCs w:val="15"/>
                    </w:rPr>
                  </w:pPr>
                  <w:r>
                    <w:rPr>
                      <w:rFonts w:hint="default" w:ascii="Times New Roman" w:hAnsi="Times New Roman" w:eastAsia="Arial" w:cs="Times New Roman"/>
                      <w:color w:val="auto"/>
                      <w:sz w:val="15"/>
                      <w:szCs w:val="15"/>
                    </w:rPr>
                    <w:t>制氮机组</w:t>
                  </w:r>
                </w:p>
              </w:tc>
              <w:tc>
                <w:tcPr>
                  <w:tcW w:w="264" w:type="pct"/>
                  <w:tcBorders>
                    <w:tl2br w:val="nil"/>
                    <w:tr2bl w:val="nil"/>
                  </w:tcBorders>
                  <w:shd w:val="clear" w:color="auto" w:fill="auto"/>
                  <w:tcMar>
                    <w:top w:w="0" w:type="dxa"/>
                    <w:left w:w="0" w:type="dxa"/>
                    <w:bottom w:w="0" w:type="dxa"/>
                    <w:right w:w="0" w:type="dxa"/>
                  </w:tcMar>
                  <w:vAlign w:val="center"/>
                </w:tcPr>
                <w:p w14:paraId="077F882E">
                  <w:pPr>
                    <w:jc w:val="center"/>
                    <w:rPr>
                      <w:rFonts w:hint="default" w:ascii="Times New Roman" w:hAnsi="Times New Roman" w:eastAsia="宋体" w:cs="Times New Roman"/>
                      <w:color w:val="auto"/>
                      <w:sz w:val="15"/>
                      <w:szCs w:val="15"/>
                      <w:lang w:val="en-US" w:eastAsia="zh-CN"/>
                    </w:rPr>
                  </w:pPr>
                  <w:r>
                    <w:rPr>
                      <w:rFonts w:hint="eastAsia" w:eastAsia="宋体" w:cs="Times New Roman"/>
                      <w:color w:val="auto"/>
                      <w:sz w:val="15"/>
                      <w:szCs w:val="15"/>
                      <w:lang w:val="en-US" w:eastAsia="zh-CN"/>
                    </w:rPr>
                    <w:t>100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A598509">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0D107FBB">
                  <w:pPr>
                    <w:jc w:val="center"/>
                    <w:rPr>
                      <w:rFonts w:hint="default" w:ascii="Times New Roman" w:hAnsi="Times New Roman" w:eastAsia="宋体" w:cs="Times New Roman"/>
                      <w:color w:val="auto"/>
                      <w:kern w:val="2"/>
                      <w:sz w:val="15"/>
                      <w:szCs w:val="15"/>
                      <w:lang w:val="en-US" w:eastAsia="zh-CN" w:bidi="ar-SA"/>
                    </w:rPr>
                  </w:pPr>
                  <w:r>
                    <w:rPr>
                      <w:rFonts w:hint="eastAsia" w:eastAsia="宋体" w:cs="Times New Roman"/>
                      <w:color w:val="auto"/>
                      <w:sz w:val="15"/>
                      <w:szCs w:val="15"/>
                      <w:lang w:val="en-US" w:eastAsia="zh-CN"/>
                    </w:rPr>
                    <w:t>3</w:t>
                  </w:r>
                  <w:r>
                    <w:rPr>
                      <w:rFonts w:hint="default" w:ascii="Times New Roman" w:hAnsi="Times New Roman" w:eastAsia="Arial" w:cs="Times New Roman"/>
                      <w:color w:val="auto"/>
                      <w:sz w:val="15"/>
                      <w:szCs w:val="15"/>
                    </w:rPr>
                    <w:t>1.6</w:t>
                  </w:r>
                </w:p>
              </w:tc>
              <w:tc>
                <w:tcPr>
                  <w:tcW w:w="242" w:type="pct"/>
                  <w:tcBorders>
                    <w:tl2br w:val="nil"/>
                    <w:tr2bl w:val="nil"/>
                  </w:tcBorders>
                  <w:shd w:val="clear" w:color="auto" w:fill="auto"/>
                  <w:tcMar>
                    <w:top w:w="0" w:type="dxa"/>
                    <w:left w:w="0" w:type="dxa"/>
                    <w:bottom w:w="0" w:type="dxa"/>
                    <w:right w:w="0" w:type="dxa"/>
                  </w:tcMar>
                  <w:vAlign w:val="center"/>
                </w:tcPr>
                <w:p w14:paraId="2A0A33A1">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1</w:t>
                  </w:r>
                  <w:r>
                    <w:rPr>
                      <w:rFonts w:hint="eastAsia" w:eastAsia="宋体" w:cs="Times New Roman"/>
                      <w:color w:val="auto"/>
                      <w:sz w:val="15"/>
                      <w:szCs w:val="15"/>
                      <w:lang w:val="en-US" w:eastAsia="zh-CN"/>
                    </w:rPr>
                    <w:t>2</w:t>
                  </w:r>
                  <w:r>
                    <w:rPr>
                      <w:rFonts w:hint="default" w:ascii="Times New Roman" w:hAnsi="Times New Roman" w:eastAsia="Arial" w:cs="Times New Roman"/>
                      <w:color w:val="auto"/>
                      <w:sz w:val="15"/>
                      <w:szCs w:val="15"/>
                    </w:rPr>
                    <w:t>8.7</w:t>
                  </w:r>
                </w:p>
              </w:tc>
              <w:tc>
                <w:tcPr>
                  <w:tcW w:w="120" w:type="pct"/>
                  <w:tcBorders>
                    <w:tl2br w:val="nil"/>
                    <w:tr2bl w:val="nil"/>
                  </w:tcBorders>
                  <w:shd w:val="clear" w:color="auto" w:fill="auto"/>
                  <w:tcMar>
                    <w:top w:w="0" w:type="dxa"/>
                    <w:left w:w="0" w:type="dxa"/>
                    <w:bottom w:w="0" w:type="dxa"/>
                    <w:right w:w="0" w:type="dxa"/>
                  </w:tcMar>
                  <w:vAlign w:val="center"/>
                </w:tcPr>
                <w:p w14:paraId="1CA2DBB0">
                  <w:pPr>
                    <w:jc w:val="center"/>
                    <w:rPr>
                      <w:rFonts w:hint="default" w:ascii="Times New Roman" w:hAnsi="Times New Roman" w:eastAsia="宋体" w:cs="Times New Roman"/>
                      <w:color w:val="auto"/>
                      <w:kern w:val="2"/>
                      <w:sz w:val="15"/>
                      <w:szCs w:val="15"/>
                      <w:lang w:val="en-US" w:eastAsia="zh-CN" w:bidi="ar-SA"/>
                    </w:rPr>
                  </w:pPr>
                  <w:r>
                    <w:rPr>
                      <w:rFonts w:hint="eastAsia" w:cs="Times New Roman"/>
                      <w:color w:val="auto"/>
                      <w:kern w:val="2"/>
                      <w:sz w:val="15"/>
                      <w:szCs w:val="15"/>
                      <w:lang w:val="en-US" w:eastAsia="zh-CN" w:bidi="ar-SA"/>
                    </w:rPr>
                    <w:t>1</w:t>
                  </w:r>
                </w:p>
              </w:tc>
              <w:tc>
                <w:tcPr>
                  <w:tcW w:w="211" w:type="pct"/>
                  <w:tcBorders>
                    <w:tl2br w:val="nil"/>
                    <w:tr2bl w:val="nil"/>
                  </w:tcBorders>
                  <w:shd w:val="clear" w:color="auto" w:fill="auto"/>
                  <w:tcMar>
                    <w:top w:w="0" w:type="dxa"/>
                    <w:left w:w="0" w:type="dxa"/>
                    <w:bottom w:w="0" w:type="dxa"/>
                    <w:right w:w="0" w:type="dxa"/>
                  </w:tcMar>
                  <w:vAlign w:val="center"/>
                </w:tcPr>
                <w:p w14:paraId="0CDA8EA9">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172.3</w:t>
                  </w:r>
                </w:p>
              </w:tc>
              <w:tc>
                <w:tcPr>
                  <w:tcW w:w="211" w:type="pct"/>
                  <w:tcBorders>
                    <w:tl2br w:val="nil"/>
                    <w:tr2bl w:val="nil"/>
                  </w:tcBorders>
                  <w:shd w:val="clear" w:color="auto" w:fill="auto"/>
                  <w:tcMar>
                    <w:top w:w="0" w:type="dxa"/>
                    <w:left w:w="0" w:type="dxa"/>
                    <w:bottom w:w="0" w:type="dxa"/>
                    <w:right w:w="0" w:type="dxa"/>
                  </w:tcMar>
                  <w:vAlign w:val="center"/>
                </w:tcPr>
                <w:p w14:paraId="70922232">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398.0</w:t>
                  </w:r>
                </w:p>
              </w:tc>
              <w:tc>
                <w:tcPr>
                  <w:tcW w:w="211" w:type="pct"/>
                  <w:tcBorders>
                    <w:tl2br w:val="nil"/>
                    <w:tr2bl w:val="nil"/>
                  </w:tcBorders>
                  <w:shd w:val="clear" w:color="auto" w:fill="auto"/>
                  <w:tcMar>
                    <w:top w:w="0" w:type="dxa"/>
                    <w:left w:w="0" w:type="dxa"/>
                    <w:bottom w:w="0" w:type="dxa"/>
                    <w:right w:w="0" w:type="dxa"/>
                  </w:tcMar>
                  <w:vAlign w:val="center"/>
                </w:tcPr>
                <w:p w14:paraId="167051D7">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320.3</w:t>
                  </w:r>
                </w:p>
              </w:tc>
              <w:tc>
                <w:tcPr>
                  <w:tcW w:w="211" w:type="pct"/>
                  <w:tcBorders>
                    <w:tl2br w:val="nil"/>
                    <w:tr2bl w:val="nil"/>
                  </w:tcBorders>
                  <w:shd w:val="clear" w:color="auto" w:fill="auto"/>
                  <w:tcMar>
                    <w:top w:w="0" w:type="dxa"/>
                    <w:left w:w="0" w:type="dxa"/>
                    <w:bottom w:w="0" w:type="dxa"/>
                    <w:right w:w="0" w:type="dxa"/>
                  </w:tcMar>
                  <w:vAlign w:val="center"/>
                </w:tcPr>
                <w:p w14:paraId="4B2A99B0">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46.9</w:t>
                  </w:r>
                </w:p>
              </w:tc>
              <w:tc>
                <w:tcPr>
                  <w:tcW w:w="166" w:type="pct"/>
                  <w:tcBorders>
                    <w:tl2br w:val="nil"/>
                    <w:tr2bl w:val="nil"/>
                  </w:tcBorders>
                  <w:shd w:val="clear" w:color="auto" w:fill="auto"/>
                  <w:tcMar>
                    <w:top w:w="0" w:type="dxa"/>
                    <w:left w:w="0" w:type="dxa"/>
                    <w:bottom w:w="0" w:type="dxa"/>
                    <w:right w:w="0" w:type="dxa"/>
                  </w:tcMar>
                  <w:vAlign w:val="center"/>
                </w:tcPr>
                <w:p w14:paraId="3F2CEE45">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77.1</w:t>
                  </w:r>
                </w:p>
              </w:tc>
              <w:tc>
                <w:tcPr>
                  <w:tcW w:w="166" w:type="pct"/>
                  <w:tcBorders>
                    <w:tl2br w:val="nil"/>
                    <w:tr2bl w:val="nil"/>
                  </w:tcBorders>
                  <w:shd w:val="clear" w:color="auto" w:fill="auto"/>
                  <w:tcMar>
                    <w:top w:w="0" w:type="dxa"/>
                    <w:left w:w="0" w:type="dxa"/>
                    <w:bottom w:w="0" w:type="dxa"/>
                    <w:right w:w="0" w:type="dxa"/>
                  </w:tcMar>
                  <w:vAlign w:val="center"/>
                </w:tcPr>
                <w:p w14:paraId="5BE56F5C">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77.1</w:t>
                  </w:r>
                </w:p>
              </w:tc>
              <w:tc>
                <w:tcPr>
                  <w:tcW w:w="166" w:type="pct"/>
                  <w:tcBorders>
                    <w:tl2br w:val="nil"/>
                    <w:tr2bl w:val="nil"/>
                  </w:tcBorders>
                  <w:shd w:val="clear" w:color="auto" w:fill="auto"/>
                  <w:tcMar>
                    <w:top w:w="0" w:type="dxa"/>
                    <w:left w:w="0" w:type="dxa"/>
                    <w:bottom w:w="0" w:type="dxa"/>
                    <w:right w:w="0" w:type="dxa"/>
                  </w:tcMar>
                  <w:vAlign w:val="center"/>
                </w:tcPr>
                <w:p w14:paraId="124E1855">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77.1</w:t>
                  </w:r>
                </w:p>
              </w:tc>
              <w:tc>
                <w:tcPr>
                  <w:tcW w:w="166" w:type="pct"/>
                  <w:tcBorders>
                    <w:tl2br w:val="nil"/>
                    <w:tr2bl w:val="nil"/>
                  </w:tcBorders>
                  <w:shd w:val="clear" w:color="auto" w:fill="auto"/>
                  <w:tcMar>
                    <w:top w:w="0" w:type="dxa"/>
                    <w:left w:w="0" w:type="dxa"/>
                    <w:bottom w:w="0" w:type="dxa"/>
                    <w:right w:w="0" w:type="dxa"/>
                  </w:tcMar>
                  <w:vAlign w:val="center"/>
                </w:tcPr>
                <w:p w14:paraId="4FD82EB8">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77.1</w:t>
                  </w:r>
                </w:p>
              </w:tc>
              <w:tc>
                <w:tcPr>
                  <w:tcW w:w="223" w:type="pct"/>
                  <w:tcBorders>
                    <w:tl2br w:val="nil"/>
                    <w:tr2bl w:val="nil"/>
                  </w:tcBorders>
                  <w:shd w:val="clear" w:color="auto" w:fill="auto"/>
                  <w:tcMar>
                    <w:top w:w="0" w:type="dxa"/>
                    <w:left w:w="0" w:type="dxa"/>
                    <w:bottom w:w="0" w:type="dxa"/>
                    <w:right w:w="0" w:type="dxa"/>
                  </w:tcMar>
                  <w:vAlign w:val="center"/>
                </w:tcPr>
                <w:p w14:paraId="09B14E37">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22D6F404">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9EA5BBE">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01055FAD">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41196E7D">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FA6BA93">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56.1</w:t>
                  </w:r>
                </w:p>
              </w:tc>
              <w:tc>
                <w:tcPr>
                  <w:tcW w:w="166" w:type="pct"/>
                  <w:tcBorders>
                    <w:tl2br w:val="nil"/>
                    <w:tr2bl w:val="nil"/>
                  </w:tcBorders>
                  <w:shd w:val="clear" w:color="auto" w:fill="auto"/>
                  <w:tcMar>
                    <w:top w:w="0" w:type="dxa"/>
                    <w:left w:w="0" w:type="dxa"/>
                    <w:bottom w:w="0" w:type="dxa"/>
                    <w:right w:w="0" w:type="dxa"/>
                  </w:tcMar>
                  <w:vAlign w:val="center"/>
                </w:tcPr>
                <w:p w14:paraId="462DD179">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56.1</w:t>
                  </w:r>
                </w:p>
              </w:tc>
              <w:tc>
                <w:tcPr>
                  <w:tcW w:w="166" w:type="pct"/>
                  <w:tcBorders>
                    <w:tl2br w:val="nil"/>
                    <w:tr2bl w:val="nil"/>
                  </w:tcBorders>
                  <w:shd w:val="clear" w:color="auto" w:fill="auto"/>
                  <w:tcMar>
                    <w:top w:w="0" w:type="dxa"/>
                    <w:left w:w="0" w:type="dxa"/>
                    <w:bottom w:w="0" w:type="dxa"/>
                    <w:right w:w="0" w:type="dxa"/>
                  </w:tcMar>
                  <w:vAlign w:val="center"/>
                </w:tcPr>
                <w:p w14:paraId="7E478C31">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56.1</w:t>
                  </w:r>
                </w:p>
              </w:tc>
              <w:tc>
                <w:tcPr>
                  <w:tcW w:w="166" w:type="pct"/>
                  <w:tcBorders>
                    <w:tl2br w:val="nil"/>
                    <w:tr2bl w:val="nil"/>
                  </w:tcBorders>
                  <w:shd w:val="clear" w:color="auto" w:fill="auto"/>
                  <w:tcMar>
                    <w:top w:w="0" w:type="dxa"/>
                    <w:left w:w="0" w:type="dxa"/>
                    <w:bottom w:w="0" w:type="dxa"/>
                    <w:right w:w="0" w:type="dxa"/>
                  </w:tcMar>
                  <w:vAlign w:val="center"/>
                </w:tcPr>
                <w:p w14:paraId="6C46671B">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56.1</w:t>
                  </w:r>
                </w:p>
              </w:tc>
              <w:tc>
                <w:tcPr>
                  <w:tcW w:w="104" w:type="pct"/>
                  <w:tcBorders>
                    <w:tl2br w:val="nil"/>
                    <w:tr2bl w:val="nil"/>
                  </w:tcBorders>
                  <w:shd w:val="clear" w:color="auto" w:fill="auto"/>
                  <w:tcMar>
                    <w:top w:w="0" w:type="dxa"/>
                    <w:left w:w="0" w:type="dxa"/>
                    <w:bottom w:w="0" w:type="dxa"/>
                    <w:right w:w="0" w:type="dxa"/>
                  </w:tcMar>
                  <w:vAlign w:val="center"/>
                </w:tcPr>
                <w:p w14:paraId="31F6B7BF">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1</w:t>
                  </w:r>
                </w:p>
              </w:tc>
            </w:tr>
            <w:tr w14:paraId="4647F3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223" w:type="pct"/>
                  <w:tcBorders>
                    <w:tl2br w:val="nil"/>
                    <w:tr2bl w:val="nil"/>
                  </w:tcBorders>
                  <w:shd w:val="clear" w:color="auto" w:fill="auto"/>
                  <w:tcMar>
                    <w:top w:w="0" w:type="dxa"/>
                    <w:left w:w="0" w:type="dxa"/>
                    <w:bottom w:w="0" w:type="dxa"/>
                    <w:right w:w="0" w:type="dxa"/>
                  </w:tcMar>
                  <w:vAlign w:val="center"/>
                </w:tcPr>
                <w:p w14:paraId="5A3B6802">
                  <w:pPr>
                    <w:jc w:val="center"/>
                    <w:rPr>
                      <w:rFonts w:hint="default" w:ascii="Times New Roman" w:hAnsi="Times New Roman" w:eastAsia="宋体" w:cs="Times New Roman"/>
                      <w:color w:val="auto"/>
                      <w:sz w:val="15"/>
                      <w:szCs w:val="15"/>
                      <w:lang w:val="en-US" w:eastAsia="zh-CN"/>
                    </w:rPr>
                  </w:pPr>
                  <w:r>
                    <w:rPr>
                      <w:rFonts w:hint="eastAsia" w:eastAsia="宋体" w:cs="Times New Roman"/>
                      <w:color w:val="auto"/>
                      <w:sz w:val="15"/>
                      <w:szCs w:val="15"/>
                      <w:lang w:val="en-US" w:eastAsia="zh-CN"/>
                    </w:rPr>
                    <w:t>142</w:t>
                  </w:r>
                </w:p>
              </w:tc>
              <w:tc>
                <w:tcPr>
                  <w:tcW w:w="223" w:type="pct"/>
                  <w:tcBorders>
                    <w:tl2br w:val="nil"/>
                    <w:tr2bl w:val="nil"/>
                  </w:tcBorders>
                  <w:shd w:val="clear" w:color="auto" w:fill="auto"/>
                  <w:tcMar>
                    <w:top w:w="0" w:type="dxa"/>
                    <w:left w:w="0" w:type="dxa"/>
                    <w:bottom w:w="0" w:type="dxa"/>
                    <w:right w:w="0" w:type="dxa"/>
                  </w:tcMar>
                  <w:vAlign w:val="center"/>
                </w:tcPr>
                <w:p w14:paraId="12098EB0">
                  <w:pPr>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空压站</w:t>
                  </w:r>
                </w:p>
              </w:tc>
              <w:tc>
                <w:tcPr>
                  <w:tcW w:w="295" w:type="pct"/>
                  <w:tcBorders>
                    <w:tl2br w:val="nil"/>
                    <w:tr2bl w:val="nil"/>
                  </w:tcBorders>
                  <w:shd w:val="clear" w:color="auto" w:fill="auto"/>
                  <w:tcMar>
                    <w:top w:w="0" w:type="dxa"/>
                    <w:left w:w="0" w:type="dxa"/>
                    <w:bottom w:w="0" w:type="dxa"/>
                    <w:right w:w="0" w:type="dxa"/>
                  </w:tcMar>
                  <w:vAlign w:val="center"/>
                </w:tcPr>
                <w:p w14:paraId="5AE56CE5">
                  <w:pPr>
                    <w:jc w:val="center"/>
                    <w:rPr>
                      <w:rFonts w:hint="default" w:ascii="Times New Roman" w:hAnsi="Times New Roman" w:eastAsia="Arial" w:cs="Times New Roman"/>
                      <w:color w:val="auto"/>
                      <w:sz w:val="15"/>
                      <w:szCs w:val="15"/>
                    </w:rPr>
                  </w:pPr>
                  <w:r>
                    <w:rPr>
                      <w:rFonts w:hint="default" w:ascii="Times New Roman" w:hAnsi="Times New Roman" w:eastAsia="Arial" w:cs="Times New Roman"/>
                      <w:color w:val="auto"/>
                      <w:sz w:val="15"/>
                      <w:szCs w:val="15"/>
                    </w:rPr>
                    <w:t>空压机</w:t>
                  </w:r>
                </w:p>
              </w:tc>
              <w:tc>
                <w:tcPr>
                  <w:tcW w:w="264" w:type="pct"/>
                  <w:tcBorders>
                    <w:tl2br w:val="nil"/>
                    <w:tr2bl w:val="nil"/>
                  </w:tcBorders>
                  <w:shd w:val="clear" w:color="auto" w:fill="auto"/>
                  <w:tcMar>
                    <w:top w:w="0" w:type="dxa"/>
                    <w:left w:w="0" w:type="dxa"/>
                    <w:bottom w:w="0" w:type="dxa"/>
                    <w:right w:w="0" w:type="dxa"/>
                  </w:tcMar>
                  <w:vAlign w:val="center"/>
                </w:tcPr>
                <w:p w14:paraId="6DF6F001">
                  <w:pPr>
                    <w:jc w:val="center"/>
                    <w:rPr>
                      <w:rFonts w:hint="default" w:ascii="Times New Roman" w:hAnsi="Times New Roman" w:eastAsia="宋体" w:cs="Times New Roman"/>
                      <w:color w:val="auto"/>
                      <w:sz w:val="15"/>
                      <w:szCs w:val="15"/>
                      <w:lang w:val="en-US" w:eastAsia="zh-CN"/>
                    </w:rPr>
                  </w:pPr>
                  <w:r>
                    <w:rPr>
                      <w:rFonts w:hint="eastAsia" w:eastAsia="宋体" w:cs="Times New Roman"/>
                      <w:color w:val="auto"/>
                      <w:sz w:val="15"/>
                      <w:szCs w:val="15"/>
                      <w:lang w:val="en-US" w:eastAsia="zh-CN"/>
                    </w:rPr>
                    <w:t>100</w:t>
                  </w:r>
                </w:p>
              </w:tc>
              <w:tc>
                <w:tcPr>
                  <w:tcW w:w="223" w:type="pct"/>
                  <w:vMerge w:val="continue"/>
                  <w:tcBorders>
                    <w:tl2br w:val="nil"/>
                    <w:tr2bl w:val="nil"/>
                  </w:tcBorders>
                  <w:shd w:val="clear" w:color="auto" w:fill="auto"/>
                  <w:tcMar>
                    <w:top w:w="0" w:type="dxa"/>
                    <w:left w:w="0" w:type="dxa"/>
                    <w:bottom w:w="0" w:type="dxa"/>
                    <w:right w:w="0" w:type="dxa"/>
                  </w:tcMar>
                  <w:vAlign w:val="center"/>
                </w:tcPr>
                <w:p w14:paraId="2F185A89">
                  <w:pPr>
                    <w:jc w:val="center"/>
                    <w:rPr>
                      <w:rFonts w:hint="default" w:ascii="Times New Roman" w:hAnsi="Times New Roman" w:cs="Times New Roman"/>
                      <w:color w:val="auto"/>
                      <w:sz w:val="15"/>
                      <w:szCs w:val="15"/>
                    </w:rPr>
                  </w:pPr>
                </w:p>
              </w:tc>
              <w:tc>
                <w:tcPr>
                  <w:tcW w:w="238" w:type="pct"/>
                  <w:tcBorders>
                    <w:tl2br w:val="nil"/>
                    <w:tr2bl w:val="nil"/>
                  </w:tcBorders>
                  <w:shd w:val="clear" w:color="auto" w:fill="auto"/>
                  <w:tcMar>
                    <w:top w:w="0" w:type="dxa"/>
                    <w:left w:w="0" w:type="dxa"/>
                    <w:bottom w:w="0" w:type="dxa"/>
                    <w:right w:w="0" w:type="dxa"/>
                  </w:tcMar>
                  <w:vAlign w:val="center"/>
                </w:tcPr>
                <w:p w14:paraId="313BE024">
                  <w:pPr>
                    <w:jc w:val="center"/>
                    <w:rPr>
                      <w:rFonts w:hint="eastAsia" w:ascii="Times New Roman" w:hAnsi="Times New Roman" w:eastAsia="宋体" w:cs="Times New Roman"/>
                      <w:color w:val="auto"/>
                      <w:kern w:val="2"/>
                      <w:sz w:val="15"/>
                      <w:szCs w:val="15"/>
                      <w:lang w:val="en-US" w:eastAsia="zh-CN" w:bidi="ar-SA"/>
                    </w:rPr>
                  </w:pPr>
                  <w:r>
                    <w:rPr>
                      <w:rFonts w:hint="eastAsia" w:eastAsia="宋体" w:cs="Times New Roman"/>
                      <w:color w:val="auto"/>
                      <w:sz w:val="15"/>
                      <w:szCs w:val="15"/>
                      <w:lang w:val="en-US" w:eastAsia="zh-CN"/>
                    </w:rPr>
                    <w:t>35</w:t>
                  </w:r>
                  <w:r>
                    <w:rPr>
                      <w:rFonts w:hint="default" w:ascii="Times New Roman" w:hAnsi="Times New Roman" w:eastAsia="Arial" w:cs="Times New Roman"/>
                      <w:color w:val="auto"/>
                      <w:sz w:val="15"/>
                      <w:szCs w:val="15"/>
                    </w:rPr>
                    <w:t>.</w:t>
                  </w:r>
                  <w:r>
                    <w:rPr>
                      <w:rFonts w:hint="eastAsia" w:eastAsia="宋体" w:cs="Times New Roman"/>
                      <w:color w:val="auto"/>
                      <w:sz w:val="15"/>
                      <w:szCs w:val="15"/>
                      <w:lang w:val="en-US" w:eastAsia="zh-CN"/>
                    </w:rPr>
                    <w:t>2</w:t>
                  </w:r>
                </w:p>
              </w:tc>
              <w:tc>
                <w:tcPr>
                  <w:tcW w:w="242" w:type="pct"/>
                  <w:tcBorders>
                    <w:tl2br w:val="nil"/>
                    <w:tr2bl w:val="nil"/>
                  </w:tcBorders>
                  <w:shd w:val="clear" w:color="auto" w:fill="auto"/>
                  <w:tcMar>
                    <w:top w:w="0" w:type="dxa"/>
                    <w:left w:w="0" w:type="dxa"/>
                    <w:bottom w:w="0" w:type="dxa"/>
                    <w:right w:w="0" w:type="dxa"/>
                  </w:tcMar>
                  <w:vAlign w:val="center"/>
                </w:tcPr>
                <w:p w14:paraId="2A5F15A1">
                  <w:pPr>
                    <w:jc w:val="center"/>
                    <w:rPr>
                      <w:rFonts w:hint="eastAsia"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1</w:t>
                  </w:r>
                  <w:r>
                    <w:rPr>
                      <w:rFonts w:hint="eastAsia" w:eastAsia="宋体" w:cs="Times New Roman"/>
                      <w:color w:val="auto"/>
                      <w:sz w:val="15"/>
                      <w:szCs w:val="15"/>
                      <w:lang w:val="en-US" w:eastAsia="zh-CN"/>
                    </w:rPr>
                    <w:t>20</w:t>
                  </w:r>
                  <w:r>
                    <w:rPr>
                      <w:rFonts w:hint="default" w:ascii="Times New Roman" w:hAnsi="Times New Roman" w:eastAsia="Arial" w:cs="Times New Roman"/>
                      <w:color w:val="auto"/>
                      <w:sz w:val="15"/>
                      <w:szCs w:val="15"/>
                    </w:rPr>
                    <w:t>.</w:t>
                  </w:r>
                  <w:r>
                    <w:rPr>
                      <w:rFonts w:hint="eastAsia" w:eastAsia="宋体" w:cs="Times New Roman"/>
                      <w:color w:val="auto"/>
                      <w:sz w:val="15"/>
                      <w:szCs w:val="15"/>
                      <w:lang w:val="en-US" w:eastAsia="zh-CN"/>
                    </w:rPr>
                    <w:t>5</w:t>
                  </w:r>
                </w:p>
              </w:tc>
              <w:tc>
                <w:tcPr>
                  <w:tcW w:w="120" w:type="pct"/>
                  <w:tcBorders>
                    <w:tl2br w:val="nil"/>
                    <w:tr2bl w:val="nil"/>
                  </w:tcBorders>
                  <w:shd w:val="clear" w:color="auto" w:fill="auto"/>
                  <w:tcMar>
                    <w:top w:w="0" w:type="dxa"/>
                    <w:left w:w="0" w:type="dxa"/>
                    <w:bottom w:w="0" w:type="dxa"/>
                    <w:right w:w="0" w:type="dxa"/>
                  </w:tcMar>
                  <w:vAlign w:val="center"/>
                </w:tcPr>
                <w:p w14:paraId="0BD1BFAA">
                  <w:pPr>
                    <w:jc w:val="center"/>
                    <w:rPr>
                      <w:rFonts w:hint="default" w:ascii="Times New Roman" w:hAnsi="Times New Roman" w:eastAsia="宋体" w:cs="Times New Roman"/>
                      <w:color w:val="auto"/>
                      <w:kern w:val="2"/>
                      <w:sz w:val="15"/>
                      <w:szCs w:val="15"/>
                      <w:lang w:val="en-US" w:eastAsia="zh-CN" w:bidi="ar-SA"/>
                    </w:rPr>
                  </w:pPr>
                  <w:r>
                    <w:rPr>
                      <w:rFonts w:hint="eastAsia" w:cs="Times New Roman"/>
                      <w:color w:val="auto"/>
                      <w:kern w:val="2"/>
                      <w:sz w:val="15"/>
                      <w:szCs w:val="15"/>
                      <w:lang w:val="en-US" w:eastAsia="zh-CN" w:bidi="ar-SA"/>
                    </w:rPr>
                    <w:t>1</w:t>
                  </w:r>
                </w:p>
              </w:tc>
              <w:tc>
                <w:tcPr>
                  <w:tcW w:w="211" w:type="pct"/>
                  <w:tcBorders>
                    <w:tl2br w:val="nil"/>
                    <w:tr2bl w:val="nil"/>
                  </w:tcBorders>
                  <w:shd w:val="clear" w:color="auto" w:fill="auto"/>
                  <w:tcMar>
                    <w:top w:w="0" w:type="dxa"/>
                    <w:left w:w="0" w:type="dxa"/>
                    <w:bottom w:w="0" w:type="dxa"/>
                    <w:right w:w="0" w:type="dxa"/>
                  </w:tcMar>
                  <w:vAlign w:val="center"/>
                </w:tcPr>
                <w:p w14:paraId="346757BC">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172.3</w:t>
                  </w:r>
                </w:p>
              </w:tc>
              <w:tc>
                <w:tcPr>
                  <w:tcW w:w="211" w:type="pct"/>
                  <w:tcBorders>
                    <w:tl2br w:val="nil"/>
                    <w:tr2bl w:val="nil"/>
                  </w:tcBorders>
                  <w:shd w:val="clear" w:color="auto" w:fill="auto"/>
                  <w:tcMar>
                    <w:top w:w="0" w:type="dxa"/>
                    <w:left w:w="0" w:type="dxa"/>
                    <w:bottom w:w="0" w:type="dxa"/>
                    <w:right w:w="0" w:type="dxa"/>
                  </w:tcMar>
                  <w:vAlign w:val="center"/>
                </w:tcPr>
                <w:p w14:paraId="5E424561">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398.0</w:t>
                  </w:r>
                </w:p>
              </w:tc>
              <w:tc>
                <w:tcPr>
                  <w:tcW w:w="211" w:type="pct"/>
                  <w:tcBorders>
                    <w:tl2br w:val="nil"/>
                    <w:tr2bl w:val="nil"/>
                  </w:tcBorders>
                  <w:shd w:val="clear" w:color="auto" w:fill="auto"/>
                  <w:tcMar>
                    <w:top w:w="0" w:type="dxa"/>
                    <w:left w:w="0" w:type="dxa"/>
                    <w:bottom w:w="0" w:type="dxa"/>
                    <w:right w:w="0" w:type="dxa"/>
                  </w:tcMar>
                  <w:vAlign w:val="center"/>
                </w:tcPr>
                <w:p w14:paraId="2EE3056A">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320.3</w:t>
                  </w:r>
                </w:p>
              </w:tc>
              <w:tc>
                <w:tcPr>
                  <w:tcW w:w="211" w:type="pct"/>
                  <w:tcBorders>
                    <w:tl2br w:val="nil"/>
                    <w:tr2bl w:val="nil"/>
                  </w:tcBorders>
                  <w:shd w:val="clear" w:color="auto" w:fill="auto"/>
                  <w:tcMar>
                    <w:top w:w="0" w:type="dxa"/>
                    <w:left w:w="0" w:type="dxa"/>
                    <w:bottom w:w="0" w:type="dxa"/>
                    <w:right w:w="0" w:type="dxa"/>
                  </w:tcMar>
                  <w:vAlign w:val="center"/>
                </w:tcPr>
                <w:p w14:paraId="7CCCFE8F">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46.9</w:t>
                  </w:r>
                </w:p>
              </w:tc>
              <w:tc>
                <w:tcPr>
                  <w:tcW w:w="166" w:type="pct"/>
                  <w:tcBorders>
                    <w:tl2br w:val="nil"/>
                    <w:tr2bl w:val="nil"/>
                  </w:tcBorders>
                  <w:shd w:val="clear" w:color="auto" w:fill="auto"/>
                  <w:tcMar>
                    <w:top w:w="0" w:type="dxa"/>
                    <w:left w:w="0" w:type="dxa"/>
                    <w:bottom w:w="0" w:type="dxa"/>
                    <w:right w:w="0" w:type="dxa"/>
                  </w:tcMar>
                  <w:vAlign w:val="center"/>
                </w:tcPr>
                <w:p w14:paraId="268DA0F8">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77.1</w:t>
                  </w:r>
                </w:p>
              </w:tc>
              <w:tc>
                <w:tcPr>
                  <w:tcW w:w="166" w:type="pct"/>
                  <w:tcBorders>
                    <w:tl2br w:val="nil"/>
                    <w:tr2bl w:val="nil"/>
                  </w:tcBorders>
                  <w:shd w:val="clear" w:color="auto" w:fill="auto"/>
                  <w:tcMar>
                    <w:top w:w="0" w:type="dxa"/>
                    <w:left w:w="0" w:type="dxa"/>
                    <w:bottom w:w="0" w:type="dxa"/>
                    <w:right w:w="0" w:type="dxa"/>
                  </w:tcMar>
                  <w:vAlign w:val="center"/>
                </w:tcPr>
                <w:p w14:paraId="7C8B678A">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77.1</w:t>
                  </w:r>
                </w:p>
              </w:tc>
              <w:tc>
                <w:tcPr>
                  <w:tcW w:w="166" w:type="pct"/>
                  <w:tcBorders>
                    <w:tl2br w:val="nil"/>
                    <w:tr2bl w:val="nil"/>
                  </w:tcBorders>
                  <w:shd w:val="clear" w:color="auto" w:fill="auto"/>
                  <w:tcMar>
                    <w:top w:w="0" w:type="dxa"/>
                    <w:left w:w="0" w:type="dxa"/>
                    <w:bottom w:w="0" w:type="dxa"/>
                    <w:right w:w="0" w:type="dxa"/>
                  </w:tcMar>
                  <w:vAlign w:val="center"/>
                </w:tcPr>
                <w:p w14:paraId="4F99533B">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77.1</w:t>
                  </w:r>
                </w:p>
              </w:tc>
              <w:tc>
                <w:tcPr>
                  <w:tcW w:w="166" w:type="pct"/>
                  <w:tcBorders>
                    <w:tl2br w:val="nil"/>
                    <w:tr2bl w:val="nil"/>
                  </w:tcBorders>
                  <w:shd w:val="clear" w:color="auto" w:fill="auto"/>
                  <w:tcMar>
                    <w:top w:w="0" w:type="dxa"/>
                    <w:left w:w="0" w:type="dxa"/>
                    <w:bottom w:w="0" w:type="dxa"/>
                    <w:right w:w="0" w:type="dxa"/>
                  </w:tcMar>
                  <w:vAlign w:val="center"/>
                </w:tcPr>
                <w:p w14:paraId="2508CE88">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77.1</w:t>
                  </w:r>
                </w:p>
              </w:tc>
              <w:tc>
                <w:tcPr>
                  <w:tcW w:w="223" w:type="pct"/>
                  <w:tcBorders>
                    <w:tl2br w:val="nil"/>
                    <w:tr2bl w:val="nil"/>
                  </w:tcBorders>
                  <w:shd w:val="clear" w:color="auto" w:fill="auto"/>
                  <w:tcMar>
                    <w:top w:w="0" w:type="dxa"/>
                    <w:left w:w="0" w:type="dxa"/>
                    <w:bottom w:w="0" w:type="dxa"/>
                    <w:right w:w="0" w:type="dxa"/>
                  </w:tcMar>
                  <w:vAlign w:val="center"/>
                </w:tcPr>
                <w:p w14:paraId="2A5F6CF2">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24.0</w:t>
                  </w:r>
                </w:p>
              </w:tc>
              <w:tc>
                <w:tcPr>
                  <w:tcW w:w="166" w:type="pct"/>
                  <w:tcBorders>
                    <w:tl2br w:val="nil"/>
                    <w:tr2bl w:val="nil"/>
                  </w:tcBorders>
                  <w:shd w:val="clear" w:color="auto" w:fill="auto"/>
                  <w:tcMar>
                    <w:top w:w="0" w:type="dxa"/>
                    <w:left w:w="0" w:type="dxa"/>
                    <w:bottom w:w="0" w:type="dxa"/>
                    <w:right w:w="0" w:type="dxa"/>
                  </w:tcMar>
                  <w:vAlign w:val="center"/>
                </w:tcPr>
                <w:p w14:paraId="6B55FC62">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78E7721">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6EA15447">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1121705C">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21.0</w:t>
                  </w:r>
                </w:p>
              </w:tc>
              <w:tc>
                <w:tcPr>
                  <w:tcW w:w="166" w:type="pct"/>
                  <w:tcBorders>
                    <w:tl2br w:val="nil"/>
                    <w:tr2bl w:val="nil"/>
                  </w:tcBorders>
                  <w:shd w:val="clear" w:color="auto" w:fill="auto"/>
                  <w:tcMar>
                    <w:top w:w="0" w:type="dxa"/>
                    <w:left w:w="0" w:type="dxa"/>
                    <w:bottom w:w="0" w:type="dxa"/>
                    <w:right w:w="0" w:type="dxa"/>
                  </w:tcMar>
                  <w:vAlign w:val="center"/>
                </w:tcPr>
                <w:p w14:paraId="5286C2C5">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56.1</w:t>
                  </w:r>
                </w:p>
              </w:tc>
              <w:tc>
                <w:tcPr>
                  <w:tcW w:w="166" w:type="pct"/>
                  <w:tcBorders>
                    <w:tl2br w:val="nil"/>
                    <w:tr2bl w:val="nil"/>
                  </w:tcBorders>
                  <w:shd w:val="clear" w:color="auto" w:fill="auto"/>
                  <w:tcMar>
                    <w:top w:w="0" w:type="dxa"/>
                    <w:left w:w="0" w:type="dxa"/>
                    <w:bottom w:w="0" w:type="dxa"/>
                    <w:right w:w="0" w:type="dxa"/>
                  </w:tcMar>
                  <w:vAlign w:val="center"/>
                </w:tcPr>
                <w:p w14:paraId="39D5EA9B">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56.1</w:t>
                  </w:r>
                </w:p>
              </w:tc>
              <w:tc>
                <w:tcPr>
                  <w:tcW w:w="166" w:type="pct"/>
                  <w:tcBorders>
                    <w:tl2br w:val="nil"/>
                    <w:tr2bl w:val="nil"/>
                  </w:tcBorders>
                  <w:shd w:val="clear" w:color="auto" w:fill="auto"/>
                  <w:tcMar>
                    <w:top w:w="0" w:type="dxa"/>
                    <w:left w:w="0" w:type="dxa"/>
                    <w:bottom w:w="0" w:type="dxa"/>
                    <w:right w:w="0" w:type="dxa"/>
                  </w:tcMar>
                  <w:vAlign w:val="center"/>
                </w:tcPr>
                <w:p w14:paraId="2D4DD08C">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56.1</w:t>
                  </w:r>
                </w:p>
              </w:tc>
              <w:tc>
                <w:tcPr>
                  <w:tcW w:w="166" w:type="pct"/>
                  <w:tcBorders>
                    <w:tl2br w:val="nil"/>
                    <w:tr2bl w:val="nil"/>
                  </w:tcBorders>
                  <w:shd w:val="clear" w:color="auto" w:fill="auto"/>
                  <w:tcMar>
                    <w:top w:w="0" w:type="dxa"/>
                    <w:left w:w="0" w:type="dxa"/>
                    <w:bottom w:w="0" w:type="dxa"/>
                    <w:right w:w="0" w:type="dxa"/>
                  </w:tcMar>
                  <w:vAlign w:val="center"/>
                </w:tcPr>
                <w:p w14:paraId="384EF4F1">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56.1</w:t>
                  </w:r>
                </w:p>
              </w:tc>
              <w:tc>
                <w:tcPr>
                  <w:tcW w:w="104" w:type="pct"/>
                  <w:tcBorders>
                    <w:tl2br w:val="nil"/>
                    <w:tr2bl w:val="nil"/>
                  </w:tcBorders>
                  <w:shd w:val="clear" w:color="auto" w:fill="auto"/>
                  <w:tcMar>
                    <w:top w:w="0" w:type="dxa"/>
                    <w:left w:w="0" w:type="dxa"/>
                    <w:bottom w:w="0" w:type="dxa"/>
                    <w:right w:w="0" w:type="dxa"/>
                  </w:tcMar>
                  <w:vAlign w:val="center"/>
                </w:tcPr>
                <w:p w14:paraId="7998CDB8">
                  <w:pPr>
                    <w:jc w:val="center"/>
                    <w:rPr>
                      <w:rFonts w:hint="default" w:ascii="Times New Roman" w:hAnsi="Times New Roman" w:eastAsia="宋体" w:cs="Times New Roman"/>
                      <w:color w:val="auto"/>
                      <w:kern w:val="2"/>
                      <w:sz w:val="15"/>
                      <w:szCs w:val="15"/>
                      <w:lang w:val="en-US" w:eastAsia="zh-CN" w:bidi="ar-SA"/>
                    </w:rPr>
                  </w:pPr>
                  <w:r>
                    <w:rPr>
                      <w:rFonts w:hint="default" w:ascii="Times New Roman" w:hAnsi="Times New Roman" w:eastAsia="Arial" w:cs="Times New Roman"/>
                      <w:color w:val="auto"/>
                      <w:sz w:val="15"/>
                      <w:szCs w:val="15"/>
                    </w:rPr>
                    <w:t>1</w:t>
                  </w:r>
                </w:p>
              </w:tc>
            </w:tr>
            <w:bookmarkEnd w:id="8"/>
          </w:tbl>
          <w:p w14:paraId="3EFF1DA2">
            <w:pPr>
              <w:spacing w:line="360" w:lineRule="auto"/>
              <w:jc w:val="center"/>
              <w:rPr>
                <w:rFonts w:hint="default" w:ascii="Times New Roman" w:hAnsi="Times New Roman" w:eastAsia="黑体" w:cs="Times New Roman"/>
                <w:color w:val="auto"/>
                <w:sz w:val="21"/>
                <w:szCs w:val="21"/>
                <w:lang w:eastAsia="zh-CN"/>
              </w:rPr>
            </w:pPr>
            <w:r>
              <w:rPr>
                <w:rFonts w:hint="default" w:ascii="Times New Roman" w:hAnsi="Times New Roman" w:eastAsia="黑体" w:cs="Times New Roman"/>
                <w:color w:val="auto"/>
                <w:sz w:val="21"/>
                <w:szCs w:val="21"/>
                <w:lang w:eastAsia="zh-CN"/>
              </w:rPr>
              <w:t>表</w:t>
            </w:r>
            <w:r>
              <w:rPr>
                <w:rFonts w:hint="eastAsia" w:eastAsia="黑体" w:cs="Times New Roman"/>
                <w:color w:val="auto"/>
                <w:sz w:val="21"/>
                <w:szCs w:val="21"/>
                <w:lang w:val="en-US" w:eastAsia="zh-CN"/>
              </w:rPr>
              <w:t xml:space="preserve">4-21  </w:t>
            </w:r>
            <w:r>
              <w:rPr>
                <w:rFonts w:hint="default" w:ascii="Times New Roman" w:hAnsi="Times New Roman" w:eastAsia="黑体" w:cs="Times New Roman"/>
                <w:color w:val="auto"/>
                <w:sz w:val="21"/>
                <w:szCs w:val="21"/>
                <w:lang w:eastAsia="zh-CN"/>
              </w:rPr>
              <w:t>工业企业噪声源强调查清单（室外声源）</w:t>
            </w:r>
            <w:bookmarkStart w:id="10" w:name="PT_5"/>
          </w:p>
          <w:tbl>
            <w:tblPr>
              <w:tblStyle w:val="33"/>
              <w:tblW w:w="0" w:type="auto"/>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17"/>
              <w:gridCol w:w="757"/>
              <w:gridCol w:w="404"/>
              <w:gridCol w:w="633"/>
              <w:gridCol w:w="450"/>
              <w:gridCol w:w="2487"/>
              <w:gridCol w:w="1204"/>
              <w:gridCol w:w="997"/>
              <w:gridCol w:w="853"/>
            </w:tblGrid>
            <w:tr w14:paraId="3C923E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0" w:type="auto"/>
                  <w:vMerge w:val="restart"/>
                  <w:tcBorders>
                    <w:tl2br w:val="nil"/>
                    <w:tr2bl w:val="nil"/>
                  </w:tcBorders>
                  <w:shd w:val="clear" w:color="auto" w:fill="auto"/>
                  <w:vAlign w:val="center"/>
                </w:tcPr>
                <w:p w14:paraId="07C42AEC">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b/>
                      <w:color w:val="auto"/>
                      <w:sz w:val="18"/>
                      <w:szCs w:val="18"/>
                    </w:rPr>
                    <w:t>序号</w:t>
                  </w:r>
                </w:p>
              </w:tc>
              <w:tc>
                <w:tcPr>
                  <w:tcW w:w="0" w:type="auto"/>
                  <w:vMerge w:val="restart"/>
                  <w:tcBorders>
                    <w:tl2br w:val="nil"/>
                    <w:tr2bl w:val="nil"/>
                  </w:tcBorders>
                  <w:shd w:val="clear" w:color="auto" w:fill="auto"/>
                  <w:vAlign w:val="center"/>
                </w:tcPr>
                <w:p w14:paraId="67F8E864">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b/>
                      <w:color w:val="auto"/>
                      <w:sz w:val="18"/>
                      <w:szCs w:val="18"/>
                    </w:rPr>
                    <w:t>声源名称</w:t>
                  </w:r>
                </w:p>
              </w:tc>
              <w:tc>
                <w:tcPr>
                  <w:tcW w:w="0" w:type="auto"/>
                  <w:gridSpan w:val="3"/>
                  <w:tcBorders>
                    <w:tl2br w:val="nil"/>
                    <w:tr2bl w:val="nil"/>
                  </w:tcBorders>
                  <w:shd w:val="clear" w:color="auto" w:fill="auto"/>
                  <w:vAlign w:val="center"/>
                </w:tcPr>
                <w:p w14:paraId="19032561">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b/>
                      <w:color w:val="auto"/>
                      <w:sz w:val="18"/>
                      <w:szCs w:val="18"/>
                    </w:rPr>
                    <w:t>空间相对位置/m</w:t>
                  </w:r>
                </w:p>
              </w:tc>
              <w:tc>
                <w:tcPr>
                  <w:tcW w:w="0" w:type="auto"/>
                  <w:gridSpan w:val="2"/>
                  <w:tcBorders>
                    <w:tl2br w:val="nil"/>
                    <w:tr2bl w:val="nil"/>
                  </w:tcBorders>
                  <w:shd w:val="clear" w:color="auto" w:fill="auto"/>
                  <w:vAlign w:val="center"/>
                </w:tcPr>
                <w:p w14:paraId="6CFA189F">
                  <w:pPr>
                    <w:jc w:val="center"/>
                    <w:rPr>
                      <w:rFonts w:hint="default" w:ascii="Times New Roman" w:hAnsi="Times New Roman" w:cs="Times New Roman" w:eastAsiaTheme="minorEastAsia"/>
                      <w:color w:val="auto"/>
                      <w:sz w:val="18"/>
                      <w:szCs w:val="18"/>
                      <w:lang w:eastAsia="zh-CN"/>
                    </w:rPr>
                  </w:pPr>
                  <w:r>
                    <w:rPr>
                      <w:rFonts w:hint="default" w:ascii="Times New Roman" w:hAnsi="Times New Roman" w:cs="Times New Roman" w:eastAsiaTheme="minorEastAsia"/>
                      <w:b/>
                      <w:color w:val="auto"/>
                      <w:sz w:val="18"/>
                      <w:szCs w:val="18"/>
                      <w:lang w:eastAsia="zh-CN"/>
                    </w:rPr>
                    <w:t>声源源强（任选一种）</w:t>
                  </w:r>
                </w:p>
              </w:tc>
              <w:tc>
                <w:tcPr>
                  <w:tcW w:w="0" w:type="auto"/>
                  <w:vMerge w:val="restart"/>
                  <w:tcBorders>
                    <w:tl2br w:val="nil"/>
                    <w:tr2bl w:val="nil"/>
                  </w:tcBorders>
                  <w:shd w:val="clear" w:color="auto" w:fill="auto"/>
                  <w:vAlign w:val="center"/>
                </w:tcPr>
                <w:p w14:paraId="3A295F50">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b/>
                      <w:color w:val="auto"/>
                      <w:sz w:val="18"/>
                      <w:szCs w:val="18"/>
                    </w:rPr>
                    <w:t>声源控制措施</w:t>
                  </w:r>
                </w:p>
              </w:tc>
              <w:tc>
                <w:tcPr>
                  <w:tcW w:w="0" w:type="auto"/>
                  <w:vMerge w:val="restart"/>
                  <w:tcBorders>
                    <w:tl2br w:val="nil"/>
                    <w:tr2bl w:val="nil"/>
                  </w:tcBorders>
                  <w:shd w:val="clear" w:color="auto" w:fill="auto"/>
                  <w:vAlign w:val="center"/>
                </w:tcPr>
                <w:p w14:paraId="3DF21A2E">
                  <w:pPr>
                    <w:jc w:val="center"/>
                    <w:rPr>
                      <w:rFonts w:hint="eastAsia"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b/>
                      <w:color w:val="auto"/>
                      <w:sz w:val="18"/>
                      <w:szCs w:val="18"/>
                    </w:rPr>
                    <w:t>运行时段</w:t>
                  </w:r>
                  <w:r>
                    <w:rPr>
                      <w:rFonts w:hint="eastAsia" w:ascii="Times New Roman" w:hAnsi="Times New Roman" w:cs="Times New Roman" w:eastAsiaTheme="minorEastAsia"/>
                      <w:b/>
                      <w:color w:val="auto"/>
                      <w:sz w:val="18"/>
                      <w:szCs w:val="18"/>
                      <w:lang w:val="en-US" w:eastAsia="zh-CN"/>
                    </w:rPr>
                    <w:t>h</w:t>
                  </w:r>
                </w:p>
              </w:tc>
            </w:tr>
            <w:tr w14:paraId="63B848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0" w:type="auto"/>
                  <w:vMerge w:val="continue"/>
                  <w:tcBorders>
                    <w:tl2br w:val="nil"/>
                    <w:tr2bl w:val="nil"/>
                  </w:tcBorders>
                  <w:shd w:val="clear" w:color="auto" w:fill="auto"/>
                  <w:vAlign w:val="center"/>
                </w:tcPr>
                <w:p w14:paraId="11F38B96">
                  <w:pPr>
                    <w:jc w:val="center"/>
                    <w:rPr>
                      <w:rFonts w:hint="default" w:ascii="Times New Roman" w:hAnsi="Times New Roman" w:cs="Times New Roman" w:eastAsiaTheme="minorEastAsia"/>
                      <w:color w:val="auto"/>
                      <w:sz w:val="18"/>
                      <w:szCs w:val="18"/>
                    </w:rPr>
                  </w:pPr>
                </w:p>
              </w:tc>
              <w:tc>
                <w:tcPr>
                  <w:tcW w:w="0" w:type="auto"/>
                  <w:vMerge w:val="continue"/>
                  <w:tcBorders>
                    <w:tl2br w:val="nil"/>
                    <w:tr2bl w:val="nil"/>
                  </w:tcBorders>
                  <w:shd w:val="clear" w:color="auto" w:fill="auto"/>
                  <w:vAlign w:val="center"/>
                </w:tcPr>
                <w:p w14:paraId="18F14796">
                  <w:pPr>
                    <w:jc w:val="center"/>
                    <w:rPr>
                      <w:rFonts w:hint="default" w:ascii="Times New Roman" w:hAnsi="Times New Roman" w:cs="Times New Roman" w:eastAsiaTheme="minorEastAsia"/>
                      <w:color w:val="auto"/>
                      <w:sz w:val="18"/>
                      <w:szCs w:val="18"/>
                    </w:rPr>
                  </w:pPr>
                </w:p>
              </w:tc>
              <w:tc>
                <w:tcPr>
                  <w:tcW w:w="0" w:type="auto"/>
                  <w:tcBorders>
                    <w:tl2br w:val="nil"/>
                    <w:tr2bl w:val="nil"/>
                  </w:tcBorders>
                  <w:shd w:val="clear" w:color="auto" w:fill="auto"/>
                  <w:vAlign w:val="center"/>
                </w:tcPr>
                <w:p w14:paraId="1890A881">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X</w:t>
                  </w:r>
                </w:p>
              </w:tc>
              <w:tc>
                <w:tcPr>
                  <w:tcW w:w="0" w:type="auto"/>
                  <w:tcBorders>
                    <w:tl2br w:val="nil"/>
                    <w:tr2bl w:val="nil"/>
                  </w:tcBorders>
                  <w:shd w:val="clear" w:color="auto" w:fill="auto"/>
                  <w:vAlign w:val="center"/>
                </w:tcPr>
                <w:p w14:paraId="457B752A">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Y</w:t>
                  </w:r>
                </w:p>
              </w:tc>
              <w:tc>
                <w:tcPr>
                  <w:tcW w:w="0" w:type="auto"/>
                  <w:tcBorders>
                    <w:tl2br w:val="nil"/>
                    <w:tr2bl w:val="nil"/>
                  </w:tcBorders>
                  <w:shd w:val="clear" w:color="auto" w:fill="auto"/>
                  <w:vAlign w:val="center"/>
                </w:tcPr>
                <w:p w14:paraId="6A9E2654">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Z</w:t>
                  </w:r>
                </w:p>
              </w:tc>
              <w:tc>
                <w:tcPr>
                  <w:tcW w:w="0" w:type="auto"/>
                  <w:tcBorders>
                    <w:tl2br w:val="nil"/>
                    <w:tr2bl w:val="nil"/>
                  </w:tcBorders>
                  <w:shd w:val="clear" w:color="auto" w:fill="auto"/>
                  <w:vAlign w:val="center"/>
                </w:tcPr>
                <w:p w14:paraId="64392F1F">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（声压级/距声源距离）/（dB(A)/m）</w:t>
                  </w:r>
                </w:p>
              </w:tc>
              <w:tc>
                <w:tcPr>
                  <w:tcW w:w="0" w:type="auto"/>
                  <w:tcBorders>
                    <w:tl2br w:val="nil"/>
                    <w:tr2bl w:val="nil"/>
                  </w:tcBorders>
                  <w:shd w:val="clear" w:color="auto" w:fill="auto"/>
                  <w:vAlign w:val="center"/>
                </w:tcPr>
                <w:p w14:paraId="27E092F8">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声功率级/dB(A)</w:t>
                  </w:r>
                </w:p>
              </w:tc>
              <w:tc>
                <w:tcPr>
                  <w:tcW w:w="0" w:type="auto"/>
                  <w:vMerge w:val="continue"/>
                  <w:tcBorders>
                    <w:tl2br w:val="nil"/>
                    <w:tr2bl w:val="nil"/>
                  </w:tcBorders>
                  <w:shd w:val="clear" w:color="auto" w:fill="auto"/>
                  <w:vAlign w:val="center"/>
                </w:tcPr>
                <w:p w14:paraId="5A91CCBB">
                  <w:pPr>
                    <w:jc w:val="center"/>
                    <w:rPr>
                      <w:rFonts w:hint="default" w:ascii="Times New Roman" w:hAnsi="Times New Roman" w:cs="Times New Roman" w:eastAsiaTheme="minorEastAsia"/>
                      <w:color w:val="auto"/>
                      <w:sz w:val="18"/>
                      <w:szCs w:val="18"/>
                    </w:rPr>
                  </w:pPr>
                </w:p>
                <w:bookmarkEnd w:id="10"/>
              </w:tc>
              <w:tc>
                <w:tcPr>
                  <w:tcW w:w="0" w:type="auto"/>
                  <w:vMerge w:val="continue"/>
                  <w:tcBorders>
                    <w:tl2br w:val="nil"/>
                    <w:tr2bl w:val="nil"/>
                  </w:tcBorders>
                  <w:shd w:val="clear" w:color="auto" w:fill="auto"/>
                  <w:vAlign w:val="center"/>
                </w:tcPr>
                <w:p w14:paraId="027E685A">
                  <w:pPr>
                    <w:jc w:val="center"/>
                    <w:rPr>
                      <w:rFonts w:hint="default" w:ascii="Times New Roman" w:hAnsi="Times New Roman" w:cs="Times New Roman" w:eastAsiaTheme="minorEastAsia"/>
                      <w:color w:val="auto"/>
                      <w:sz w:val="18"/>
                      <w:szCs w:val="18"/>
                    </w:rPr>
                  </w:pPr>
                </w:p>
              </w:tc>
            </w:tr>
            <w:tr w14:paraId="4FD84C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0" w:type="auto"/>
                  <w:tcBorders>
                    <w:tl2br w:val="nil"/>
                    <w:tr2bl w:val="nil"/>
                  </w:tcBorders>
                  <w:shd w:val="clear" w:color="auto" w:fill="auto"/>
                  <w:vAlign w:val="center"/>
                </w:tcPr>
                <w:p w14:paraId="610FD36D">
                  <w:pPr>
                    <w:jc w:val="center"/>
                    <w:rPr>
                      <w:rFonts w:hint="default" w:ascii="Times New Roman" w:hAnsi="Times New Roman" w:cs="Times New Roman"/>
                      <w:color w:val="auto"/>
                      <w:sz w:val="18"/>
                      <w:szCs w:val="18"/>
                    </w:rPr>
                  </w:pPr>
                  <w:r>
                    <w:rPr>
                      <w:rFonts w:hint="default" w:ascii="Times New Roman" w:hAnsi="Times New Roman" w:eastAsia="Arial" w:cs="Times New Roman"/>
                      <w:color w:val="auto"/>
                      <w:sz w:val="18"/>
                      <w:szCs w:val="18"/>
                    </w:rPr>
                    <w:t>1</w:t>
                  </w:r>
                </w:p>
              </w:tc>
              <w:tc>
                <w:tcPr>
                  <w:tcW w:w="0" w:type="auto"/>
                  <w:tcBorders>
                    <w:tl2br w:val="nil"/>
                    <w:tr2bl w:val="nil"/>
                  </w:tcBorders>
                  <w:shd w:val="clear" w:color="auto" w:fill="auto"/>
                  <w:vAlign w:val="center"/>
                </w:tcPr>
                <w:p w14:paraId="14393D66">
                  <w:pPr>
                    <w:jc w:val="center"/>
                    <w:rPr>
                      <w:rFonts w:hint="eastAsia" w:ascii="Times New Roman" w:hAnsi="Times New Roman" w:eastAsia="宋体" w:cs="Times New Roman"/>
                      <w:color w:val="auto"/>
                      <w:sz w:val="18"/>
                      <w:szCs w:val="18"/>
                      <w:lang w:eastAsia="zh-CN"/>
                    </w:rPr>
                  </w:pPr>
                  <w:r>
                    <w:rPr>
                      <w:rFonts w:hint="eastAsia" w:eastAsia="宋体" w:cs="Times New Roman"/>
                      <w:color w:val="auto"/>
                      <w:sz w:val="18"/>
                      <w:szCs w:val="18"/>
                      <w:lang w:val="en-US" w:eastAsia="zh-CN"/>
                    </w:rPr>
                    <w:t>风机</w:t>
                  </w:r>
                </w:p>
              </w:tc>
              <w:tc>
                <w:tcPr>
                  <w:tcW w:w="0" w:type="auto"/>
                  <w:tcBorders>
                    <w:tl2br w:val="nil"/>
                    <w:tr2bl w:val="nil"/>
                  </w:tcBorders>
                  <w:shd w:val="clear" w:color="auto" w:fill="auto"/>
                  <w:vAlign w:val="center"/>
                </w:tcPr>
                <w:p w14:paraId="4192DA36">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Arial" w:cs="Times New Roman"/>
                      <w:color w:val="auto"/>
                      <w:sz w:val="18"/>
                      <w:szCs w:val="18"/>
                    </w:rPr>
                    <w:t>48</w:t>
                  </w:r>
                </w:p>
              </w:tc>
              <w:tc>
                <w:tcPr>
                  <w:tcW w:w="0" w:type="auto"/>
                  <w:tcBorders>
                    <w:tl2br w:val="nil"/>
                    <w:tr2bl w:val="nil"/>
                  </w:tcBorders>
                  <w:shd w:val="clear" w:color="auto" w:fill="auto"/>
                  <w:vAlign w:val="center"/>
                </w:tcPr>
                <w:p w14:paraId="02DCF621">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Arial" w:cs="Times New Roman"/>
                      <w:color w:val="auto"/>
                      <w:sz w:val="18"/>
                      <w:szCs w:val="18"/>
                    </w:rPr>
                    <w:t>152.7</w:t>
                  </w:r>
                </w:p>
              </w:tc>
              <w:tc>
                <w:tcPr>
                  <w:tcW w:w="0" w:type="auto"/>
                  <w:tcBorders>
                    <w:tl2br w:val="nil"/>
                    <w:tr2bl w:val="nil"/>
                  </w:tcBorders>
                  <w:shd w:val="clear" w:color="auto" w:fill="auto"/>
                  <w:vAlign w:val="center"/>
                </w:tcPr>
                <w:p w14:paraId="78B53617">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Arial" w:cs="Times New Roman"/>
                      <w:color w:val="auto"/>
                      <w:sz w:val="18"/>
                      <w:szCs w:val="18"/>
                    </w:rPr>
                    <w:t>1.2</w:t>
                  </w:r>
                </w:p>
              </w:tc>
              <w:tc>
                <w:tcPr>
                  <w:tcW w:w="0" w:type="auto"/>
                  <w:tcBorders>
                    <w:tl2br w:val="nil"/>
                    <w:tr2bl w:val="nil"/>
                  </w:tcBorders>
                  <w:shd w:val="clear" w:color="auto" w:fill="auto"/>
                  <w:vAlign w:val="center"/>
                </w:tcPr>
                <w:p w14:paraId="1426AB1E">
                  <w:pPr>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cs="Times New Roman"/>
                      <w:color w:val="auto"/>
                      <w:sz w:val="18"/>
                      <w:szCs w:val="18"/>
                      <w:lang w:val="en-US" w:eastAsia="zh-CN"/>
                    </w:rPr>
                    <w:t>/</w:t>
                  </w:r>
                </w:p>
              </w:tc>
              <w:tc>
                <w:tcPr>
                  <w:tcW w:w="0" w:type="auto"/>
                  <w:tcBorders>
                    <w:tl2br w:val="nil"/>
                    <w:tr2bl w:val="nil"/>
                  </w:tcBorders>
                  <w:shd w:val="clear" w:color="auto" w:fill="auto"/>
                  <w:vAlign w:val="center"/>
                </w:tcPr>
                <w:p w14:paraId="5927CDE7">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Arial" w:cs="Times New Roman"/>
                      <w:color w:val="auto"/>
                      <w:sz w:val="18"/>
                      <w:szCs w:val="18"/>
                    </w:rPr>
                    <w:t>90</w:t>
                  </w:r>
                </w:p>
              </w:tc>
              <w:tc>
                <w:tcPr>
                  <w:tcW w:w="0" w:type="auto"/>
                  <w:tcBorders>
                    <w:tl2br w:val="nil"/>
                    <w:tr2bl w:val="nil"/>
                  </w:tcBorders>
                  <w:shd w:val="clear" w:color="auto" w:fill="auto"/>
                  <w:vAlign w:val="center"/>
                </w:tcPr>
                <w:p w14:paraId="42ED1077">
                  <w:pPr>
                    <w:jc w:val="center"/>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减振隔声</w:t>
                  </w:r>
                </w:p>
              </w:tc>
              <w:tc>
                <w:tcPr>
                  <w:tcW w:w="0" w:type="auto"/>
                  <w:tcBorders>
                    <w:tl2br w:val="nil"/>
                    <w:tr2bl w:val="nil"/>
                  </w:tcBorders>
                  <w:shd w:val="clear" w:color="auto" w:fill="auto"/>
                  <w:vAlign w:val="center"/>
                </w:tcPr>
                <w:p w14:paraId="6E55B157">
                  <w:pPr>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全天</w:t>
                  </w:r>
                </w:p>
              </w:tc>
            </w:tr>
          </w:tbl>
          <w:p w14:paraId="4717E237">
            <w:pPr>
              <w:rPr>
                <w:rFonts w:hint="default" w:ascii="Times New Roman" w:hAnsi="Times New Roman" w:cs="Times New Roman" w:eastAsiaTheme="minorEastAsia"/>
                <w:b w:val="0"/>
                <w:bCs/>
                <w:color w:val="auto"/>
                <w:sz w:val="18"/>
                <w:szCs w:val="18"/>
                <w:lang w:val="en-US" w:eastAsia="zh-CN"/>
              </w:rPr>
            </w:pPr>
            <w:r>
              <w:rPr>
                <w:rFonts w:hint="default" w:ascii="Times New Roman" w:hAnsi="Times New Roman" w:cs="Times New Roman" w:eastAsiaTheme="minorEastAsia"/>
                <w:b w:val="0"/>
                <w:bCs/>
                <w:color w:val="auto"/>
                <w:sz w:val="18"/>
                <w:szCs w:val="18"/>
                <w:lang w:val="en-US" w:eastAsia="zh-CN"/>
              </w:rPr>
              <w:t>表中坐标以厂界中心（</w:t>
            </w:r>
            <w:bookmarkStart w:id="11" w:name="PO_6"/>
            <w:r>
              <w:rPr>
                <w:rFonts w:hint="default" w:ascii="Times New Roman" w:hAnsi="Times New Roman" w:cs="Times New Roman" w:eastAsiaTheme="minorEastAsia"/>
                <w:b w:val="0"/>
                <w:bCs/>
                <w:color w:val="auto"/>
                <w:sz w:val="18"/>
                <w:szCs w:val="18"/>
                <w:lang w:val="en-US" w:eastAsia="zh-CN"/>
              </w:rPr>
              <w:t>87.0294647,44.110313</w:t>
            </w:r>
            <w:bookmarkEnd w:id="11"/>
            <w:r>
              <w:rPr>
                <w:rFonts w:hint="default" w:ascii="Times New Roman" w:hAnsi="Times New Roman" w:cs="Times New Roman" w:eastAsiaTheme="minorEastAsia"/>
                <w:b w:val="0"/>
                <w:bCs/>
                <w:color w:val="auto"/>
                <w:sz w:val="18"/>
                <w:szCs w:val="18"/>
                <w:lang w:val="en-US" w:eastAsia="zh-CN"/>
              </w:rPr>
              <w:t>）为坐标原点，正东向为X轴正方向，正北向为Y轴正方向</w:t>
            </w:r>
          </w:p>
          <w:p w14:paraId="57533E16">
            <w:pPr>
              <w:spacing w:line="360" w:lineRule="auto"/>
              <w:ind w:firstLine="420" w:firstLineChars="200"/>
              <w:jc w:val="both"/>
              <w:rPr>
                <w:rFonts w:ascii="Times New Roman" w:hAnsi="Times New Roman"/>
                <w:color w:val="auto"/>
                <w:spacing w:val="-2"/>
                <w:sz w:val="21"/>
                <w:szCs w:val="21"/>
                <w:highlight w:val="none"/>
              </w:rPr>
            </w:pPr>
            <w:r>
              <w:rPr>
                <w:rFonts w:ascii="Times New Roman" w:hAnsi="Times New Roman"/>
                <w:color w:val="auto"/>
                <w:sz w:val="21"/>
                <w:szCs w:val="21"/>
                <w:highlight w:val="none"/>
              </w:rPr>
              <w:t>（2）</w:t>
            </w:r>
            <w:r>
              <w:rPr>
                <w:rFonts w:ascii="Times New Roman" w:hAnsi="Times New Roman"/>
                <w:color w:val="auto"/>
                <w:spacing w:val="-2"/>
                <w:sz w:val="21"/>
                <w:szCs w:val="21"/>
                <w:highlight w:val="none"/>
              </w:rPr>
              <w:t>预测模式</w:t>
            </w:r>
          </w:p>
          <w:p w14:paraId="24DD2278">
            <w:pPr>
              <w:widowControl/>
              <w:snapToGrid w:val="0"/>
              <w:spacing w:line="360" w:lineRule="auto"/>
              <w:ind w:firstLine="420" w:firstLineChars="200"/>
              <w:jc w:val="left"/>
              <w:rPr>
                <w:color w:val="auto"/>
                <w:sz w:val="21"/>
                <w:szCs w:val="21"/>
              </w:rPr>
            </w:pPr>
            <w:r>
              <w:rPr>
                <w:color w:val="auto"/>
                <w:sz w:val="21"/>
                <w:szCs w:val="21"/>
              </w:rPr>
              <w:t>采用《环境影响评价技术导则—声环境》（HJ2.4－2021）中的工业噪声预测模式。工业声源有室外和室内两种声源，应分别计算。可根据预测点和声源之间的距离r，根据声源发出声波的波阵面，将声源划分为点声源、线声源、面声源后进行预测。在环境影响评价中遇到的实际声源一般将其划分为点声源进行预测。拟建项目对声环境产生影响的主要噪声源，按其辐射噪声和结构特点，安装位置的环境条件以及噪声源至预测点的距离等因素进行判断，逐一计算某一声源在预测点上产生的声压级（dB）。</w:t>
            </w:r>
          </w:p>
          <w:p w14:paraId="10C0944E">
            <w:pPr>
              <w:widowControl/>
              <w:snapToGrid w:val="0"/>
              <w:spacing w:line="360" w:lineRule="auto"/>
              <w:ind w:firstLine="420" w:firstLineChars="200"/>
              <w:jc w:val="left"/>
              <w:rPr>
                <w:rFonts w:hint="eastAsia" w:eastAsia="宋体"/>
                <w:color w:val="auto"/>
                <w:sz w:val="21"/>
                <w:szCs w:val="21"/>
                <w:lang w:eastAsia="zh-CN"/>
              </w:rPr>
            </w:pPr>
            <w:r>
              <w:rPr>
                <w:color w:val="auto"/>
                <w:sz w:val="21"/>
                <w:szCs w:val="21"/>
              </w:rPr>
              <w:t>室内声源</w:t>
            </w:r>
            <w:r>
              <w:rPr>
                <w:rFonts w:hint="eastAsia"/>
                <w:color w:val="auto"/>
                <w:sz w:val="21"/>
                <w:szCs w:val="21"/>
                <w:lang w:eastAsia="zh-CN"/>
              </w:rPr>
              <w:t>：</w:t>
            </w:r>
          </w:p>
          <w:p w14:paraId="3E159319">
            <w:pPr>
              <w:widowControl/>
              <w:snapToGrid w:val="0"/>
              <w:spacing w:line="360" w:lineRule="auto"/>
              <w:ind w:firstLine="420" w:firstLineChars="200"/>
              <w:jc w:val="left"/>
              <w:rPr>
                <w:color w:val="auto"/>
                <w:sz w:val="21"/>
                <w:szCs w:val="21"/>
              </w:rPr>
            </w:pPr>
            <w:r>
              <w:rPr>
                <w:rFonts w:hint="eastAsia"/>
                <w:color w:val="auto"/>
                <w:sz w:val="21"/>
                <w:szCs w:val="21"/>
              </w:rPr>
              <w:t>①</w:t>
            </w:r>
            <w:r>
              <w:rPr>
                <w:color w:val="auto"/>
                <w:sz w:val="21"/>
                <w:szCs w:val="21"/>
              </w:rPr>
              <w:t>结合下式计算某个室内声源在靠近围护结构处产生的倍频带声压级：</w:t>
            </w:r>
          </w:p>
          <w:p w14:paraId="46CCFAFC">
            <w:pPr>
              <w:keepNext w:val="0"/>
              <w:keepLines w:val="0"/>
              <w:pageBreakBefore w:val="0"/>
              <w:widowControl/>
              <w:kinsoku/>
              <w:wordWrap/>
              <w:overflowPunct/>
              <w:topLinePunct w:val="0"/>
              <w:autoSpaceDE/>
              <w:autoSpaceDN/>
              <w:bidi w:val="0"/>
              <w:adjustRightInd/>
              <w:snapToGrid w:val="0"/>
              <w:spacing w:line="360" w:lineRule="auto"/>
              <w:ind w:firstLine="0" w:firstLineChars="0"/>
              <w:jc w:val="center"/>
              <w:textAlignment w:val="auto"/>
              <w:rPr>
                <w:color w:val="auto"/>
                <w:sz w:val="21"/>
                <w:szCs w:val="21"/>
              </w:rPr>
            </w:pPr>
            <w:r>
              <w:rPr>
                <w:color w:val="auto"/>
                <w:sz w:val="21"/>
                <w:szCs w:val="21"/>
              </w:rPr>
              <w:drawing>
                <wp:inline distT="0" distB="0" distL="114300" distR="114300">
                  <wp:extent cx="1943100" cy="480060"/>
                  <wp:effectExtent l="0" t="0" r="0" b="15240"/>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1"/>
                          </pic:cNvPicPr>
                        </pic:nvPicPr>
                        <pic:blipFill>
                          <a:blip r:embed="rId24"/>
                          <a:stretch>
                            <a:fillRect/>
                          </a:stretch>
                        </pic:blipFill>
                        <pic:spPr>
                          <a:xfrm>
                            <a:off x="0" y="0"/>
                            <a:ext cx="1943100" cy="480060"/>
                          </a:xfrm>
                          <a:prstGeom prst="rect">
                            <a:avLst/>
                          </a:prstGeom>
                          <a:noFill/>
                          <a:ln>
                            <a:noFill/>
                          </a:ln>
                        </pic:spPr>
                      </pic:pic>
                    </a:graphicData>
                  </a:graphic>
                </wp:inline>
              </w:drawing>
            </w:r>
          </w:p>
          <w:p w14:paraId="7D24577F">
            <w:pPr>
              <w:widowControl/>
              <w:snapToGrid w:val="0"/>
              <w:spacing w:line="360" w:lineRule="auto"/>
              <w:ind w:firstLine="420" w:firstLineChars="200"/>
              <w:jc w:val="left"/>
              <w:rPr>
                <w:color w:val="auto"/>
                <w:sz w:val="21"/>
                <w:szCs w:val="21"/>
              </w:rPr>
            </w:pPr>
            <w:r>
              <w:rPr>
                <w:color w:val="auto"/>
                <w:sz w:val="21"/>
                <w:szCs w:val="21"/>
              </w:rPr>
              <w:t>式中：</w:t>
            </w:r>
            <w:r>
              <w:rPr>
                <w:color w:val="auto"/>
                <w:sz w:val="21"/>
                <w:szCs w:val="21"/>
              </w:rPr>
              <w:drawing>
                <wp:inline distT="0" distB="0" distL="114300" distR="114300">
                  <wp:extent cx="313690" cy="240665"/>
                  <wp:effectExtent l="0" t="0" r="0" b="5080"/>
                  <wp:docPr id="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
                          <pic:cNvPicPr>
                            <a:picLocks noChangeAspect="1"/>
                          </pic:cNvPicPr>
                        </pic:nvPicPr>
                        <pic:blipFill>
                          <a:blip r:embed="rId25"/>
                          <a:stretch>
                            <a:fillRect/>
                          </a:stretch>
                        </pic:blipFill>
                        <pic:spPr>
                          <a:xfrm>
                            <a:off x="0" y="0"/>
                            <a:ext cx="313690" cy="240665"/>
                          </a:xfrm>
                          <a:prstGeom prst="rect">
                            <a:avLst/>
                          </a:prstGeom>
                          <a:noFill/>
                          <a:ln>
                            <a:noFill/>
                          </a:ln>
                        </pic:spPr>
                      </pic:pic>
                    </a:graphicData>
                  </a:graphic>
                </wp:inline>
              </w:drawing>
            </w:r>
            <w:r>
              <w:rPr>
                <w:color w:val="auto"/>
                <w:sz w:val="21"/>
                <w:szCs w:val="21"/>
              </w:rPr>
              <w:t>—某个室内声源在靠近围护结构处产生的倍频带声压级，dB；</w:t>
            </w:r>
          </w:p>
          <w:p w14:paraId="18A4890E">
            <w:pPr>
              <w:keepNext w:val="0"/>
              <w:keepLines w:val="0"/>
              <w:pageBreakBefore w:val="0"/>
              <w:widowControl/>
              <w:kinsoku/>
              <w:wordWrap/>
              <w:overflowPunct/>
              <w:topLinePunct w:val="0"/>
              <w:autoSpaceDE/>
              <w:autoSpaceDN/>
              <w:bidi w:val="0"/>
              <w:adjustRightInd/>
              <w:snapToGrid w:val="0"/>
              <w:spacing w:line="360" w:lineRule="auto"/>
              <w:ind w:firstLine="1050" w:firstLineChars="500"/>
              <w:jc w:val="left"/>
              <w:textAlignment w:val="auto"/>
              <w:rPr>
                <w:color w:val="auto"/>
                <w:sz w:val="21"/>
                <w:szCs w:val="21"/>
              </w:rPr>
            </w:pPr>
            <w:r>
              <w:rPr>
                <w:color w:val="auto"/>
                <w:sz w:val="21"/>
                <w:szCs w:val="21"/>
              </w:rPr>
              <w:drawing>
                <wp:inline distT="0" distB="0" distL="114300" distR="114300">
                  <wp:extent cx="313690" cy="227330"/>
                  <wp:effectExtent l="0" t="0" r="10160" b="1270"/>
                  <wp:docPr id="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pic:cNvPicPr>
                            <a:picLocks noChangeAspect="1"/>
                          </pic:cNvPicPr>
                        </pic:nvPicPr>
                        <pic:blipFill>
                          <a:blip r:embed="rId26"/>
                          <a:stretch>
                            <a:fillRect/>
                          </a:stretch>
                        </pic:blipFill>
                        <pic:spPr>
                          <a:xfrm>
                            <a:off x="0" y="0"/>
                            <a:ext cx="313690" cy="227330"/>
                          </a:xfrm>
                          <a:prstGeom prst="rect">
                            <a:avLst/>
                          </a:prstGeom>
                          <a:noFill/>
                          <a:ln>
                            <a:noFill/>
                          </a:ln>
                        </pic:spPr>
                      </pic:pic>
                    </a:graphicData>
                  </a:graphic>
                </wp:inline>
              </w:drawing>
            </w:r>
            <w:r>
              <w:rPr>
                <w:color w:val="auto"/>
                <w:sz w:val="21"/>
                <w:szCs w:val="21"/>
              </w:rPr>
              <w:t>—某个声源的倍频带声功率级，dB；</w:t>
            </w:r>
          </w:p>
          <w:p w14:paraId="0724FF3B">
            <w:pPr>
              <w:keepNext w:val="0"/>
              <w:keepLines w:val="0"/>
              <w:pageBreakBefore w:val="0"/>
              <w:widowControl/>
              <w:kinsoku/>
              <w:wordWrap/>
              <w:overflowPunct/>
              <w:topLinePunct w:val="0"/>
              <w:autoSpaceDE/>
              <w:autoSpaceDN/>
              <w:bidi w:val="0"/>
              <w:adjustRightInd/>
              <w:snapToGrid w:val="0"/>
              <w:spacing w:line="360" w:lineRule="auto"/>
              <w:ind w:firstLine="1050" w:firstLineChars="500"/>
              <w:jc w:val="left"/>
              <w:textAlignment w:val="auto"/>
              <w:rPr>
                <w:color w:val="auto"/>
                <w:sz w:val="21"/>
                <w:szCs w:val="21"/>
              </w:rPr>
            </w:pPr>
            <w:r>
              <w:rPr>
                <w:color w:val="auto"/>
                <w:sz w:val="21"/>
                <w:szCs w:val="21"/>
              </w:rPr>
              <w:drawing>
                <wp:inline distT="0" distB="0" distL="114300" distR="114300">
                  <wp:extent cx="125730" cy="213360"/>
                  <wp:effectExtent l="0" t="0" r="7620" b="17145"/>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27"/>
                          <a:stretch>
                            <a:fillRect/>
                          </a:stretch>
                        </pic:blipFill>
                        <pic:spPr>
                          <a:xfrm>
                            <a:off x="0" y="0"/>
                            <a:ext cx="125730" cy="213360"/>
                          </a:xfrm>
                          <a:prstGeom prst="rect">
                            <a:avLst/>
                          </a:prstGeom>
                          <a:noFill/>
                          <a:ln>
                            <a:noFill/>
                          </a:ln>
                        </pic:spPr>
                      </pic:pic>
                    </a:graphicData>
                  </a:graphic>
                </wp:inline>
              </w:drawing>
            </w:r>
            <w:r>
              <w:rPr>
                <w:color w:val="auto"/>
                <w:sz w:val="21"/>
                <w:szCs w:val="21"/>
              </w:rPr>
              <w:t>—室内某个声源与靠近围护结构处的距离，m；</w:t>
            </w:r>
          </w:p>
          <w:p w14:paraId="7E331F46">
            <w:pPr>
              <w:keepNext w:val="0"/>
              <w:keepLines w:val="0"/>
              <w:pageBreakBefore w:val="0"/>
              <w:widowControl/>
              <w:kinsoku/>
              <w:wordWrap/>
              <w:overflowPunct/>
              <w:topLinePunct w:val="0"/>
              <w:autoSpaceDE/>
              <w:autoSpaceDN/>
              <w:bidi w:val="0"/>
              <w:adjustRightInd/>
              <w:snapToGrid w:val="0"/>
              <w:spacing w:line="360" w:lineRule="auto"/>
              <w:ind w:firstLine="1050" w:firstLineChars="500"/>
              <w:jc w:val="left"/>
              <w:textAlignment w:val="auto"/>
              <w:rPr>
                <w:color w:val="auto"/>
                <w:sz w:val="21"/>
                <w:szCs w:val="21"/>
              </w:rPr>
            </w:pPr>
            <w:r>
              <w:rPr>
                <w:color w:val="auto"/>
                <w:sz w:val="21"/>
                <w:szCs w:val="21"/>
              </w:rPr>
              <w:drawing>
                <wp:inline distT="0" distB="0" distL="114300" distR="114300">
                  <wp:extent cx="151130" cy="163830"/>
                  <wp:effectExtent l="0" t="0" r="1270" b="5080"/>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pic:cNvPicPr>
                            <a:picLocks noChangeAspect="1"/>
                          </pic:cNvPicPr>
                        </pic:nvPicPr>
                        <pic:blipFill>
                          <a:blip r:embed="rId28"/>
                          <a:stretch>
                            <a:fillRect/>
                          </a:stretch>
                        </pic:blipFill>
                        <pic:spPr>
                          <a:xfrm>
                            <a:off x="0" y="0"/>
                            <a:ext cx="151130" cy="163830"/>
                          </a:xfrm>
                          <a:prstGeom prst="rect">
                            <a:avLst/>
                          </a:prstGeom>
                          <a:noFill/>
                          <a:ln>
                            <a:noFill/>
                          </a:ln>
                        </pic:spPr>
                      </pic:pic>
                    </a:graphicData>
                  </a:graphic>
                </wp:inline>
              </w:drawing>
            </w:r>
            <w:r>
              <w:rPr>
                <w:color w:val="auto"/>
                <w:sz w:val="21"/>
                <w:szCs w:val="21"/>
              </w:rPr>
              <w:t>—房间常数，</w:t>
            </w:r>
            <w:r>
              <w:rPr>
                <w:rFonts w:hint="eastAsia"/>
                <w:color w:val="auto"/>
                <w:sz w:val="21"/>
                <w:szCs w:val="21"/>
                <w:lang w:val="en-US" w:eastAsia="zh-CN"/>
              </w:rPr>
              <w:t>m</w:t>
            </w:r>
            <w:r>
              <w:rPr>
                <w:rFonts w:hint="eastAsia"/>
                <w:color w:val="auto"/>
                <w:sz w:val="21"/>
                <w:szCs w:val="21"/>
                <w:vertAlign w:val="superscript"/>
                <w:lang w:val="en-US" w:eastAsia="zh-CN"/>
              </w:rPr>
              <w:t>2</w:t>
            </w:r>
            <w:r>
              <w:rPr>
                <w:color w:val="auto"/>
                <w:sz w:val="21"/>
                <w:szCs w:val="21"/>
              </w:rPr>
              <w:t>；</w:t>
            </w:r>
          </w:p>
          <w:p w14:paraId="60A809FE">
            <w:pPr>
              <w:keepNext w:val="0"/>
              <w:keepLines w:val="0"/>
              <w:pageBreakBefore w:val="0"/>
              <w:widowControl/>
              <w:kinsoku/>
              <w:wordWrap/>
              <w:overflowPunct/>
              <w:topLinePunct w:val="0"/>
              <w:autoSpaceDE/>
              <w:autoSpaceDN/>
              <w:bidi w:val="0"/>
              <w:adjustRightInd/>
              <w:snapToGrid w:val="0"/>
              <w:spacing w:line="360" w:lineRule="auto"/>
              <w:ind w:firstLine="1050" w:firstLineChars="500"/>
              <w:jc w:val="left"/>
              <w:textAlignment w:val="auto"/>
              <w:rPr>
                <w:color w:val="auto"/>
                <w:sz w:val="21"/>
                <w:szCs w:val="21"/>
              </w:rPr>
            </w:pPr>
            <w:r>
              <w:rPr>
                <w:color w:val="auto"/>
                <w:sz w:val="21"/>
                <w:szCs w:val="21"/>
              </w:rPr>
              <w:drawing>
                <wp:inline distT="0" distB="0" distL="114300" distR="114300">
                  <wp:extent cx="151765" cy="201295"/>
                  <wp:effectExtent l="0" t="0" r="635" b="5715"/>
                  <wp:docPr id="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2"/>
                          <pic:cNvPicPr>
                            <a:picLocks noChangeAspect="1"/>
                          </pic:cNvPicPr>
                        </pic:nvPicPr>
                        <pic:blipFill>
                          <a:blip r:embed="rId29"/>
                          <a:stretch>
                            <a:fillRect/>
                          </a:stretch>
                        </pic:blipFill>
                        <pic:spPr>
                          <a:xfrm>
                            <a:off x="0" y="0"/>
                            <a:ext cx="151765" cy="201295"/>
                          </a:xfrm>
                          <a:prstGeom prst="rect">
                            <a:avLst/>
                          </a:prstGeom>
                          <a:noFill/>
                          <a:ln>
                            <a:noFill/>
                          </a:ln>
                        </pic:spPr>
                      </pic:pic>
                    </a:graphicData>
                  </a:graphic>
                </wp:inline>
              </w:drawing>
            </w:r>
            <w:r>
              <w:rPr>
                <w:color w:val="auto"/>
                <w:sz w:val="21"/>
                <w:szCs w:val="21"/>
              </w:rPr>
              <w:t>—方向性因子。</w:t>
            </w:r>
          </w:p>
          <w:p w14:paraId="21B19DDD">
            <w:pPr>
              <w:keepNext w:val="0"/>
              <w:keepLines w:val="0"/>
              <w:pageBreakBefore w:val="0"/>
              <w:widowControl/>
              <w:kinsoku/>
              <w:wordWrap/>
              <w:overflowPunct/>
              <w:topLinePunct w:val="0"/>
              <w:autoSpaceDE/>
              <w:autoSpaceDN/>
              <w:bidi w:val="0"/>
              <w:adjustRightInd/>
              <w:snapToGrid w:val="0"/>
              <w:spacing w:line="360" w:lineRule="auto"/>
              <w:ind w:firstLine="1050" w:firstLineChars="500"/>
              <w:jc w:val="left"/>
              <w:textAlignment w:val="auto"/>
              <w:rPr>
                <w:color w:val="auto"/>
                <w:sz w:val="21"/>
                <w:szCs w:val="21"/>
              </w:rPr>
            </w:pPr>
            <w:r>
              <w:rPr>
                <w:rFonts w:hint="eastAsia"/>
                <w:color w:val="auto"/>
                <w:sz w:val="21"/>
                <w:szCs w:val="21"/>
              </w:rPr>
              <w:t>②</w:t>
            </w:r>
            <w:r>
              <w:rPr>
                <w:color w:val="auto"/>
                <w:sz w:val="21"/>
                <w:szCs w:val="21"/>
              </w:rPr>
              <w:t>计算所有室内声源在靠近围护结构处产生的总倍频带声压级：</w:t>
            </w:r>
          </w:p>
          <w:p w14:paraId="0F352330">
            <w:pPr>
              <w:keepNext w:val="0"/>
              <w:keepLines w:val="0"/>
              <w:pageBreakBefore w:val="0"/>
              <w:widowControl/>
              <w:kinsoku/>
              <w:wordWrap/>
              <w:overflowPunct/>
              <w:topLinePunct w:val="0"/>
              <w:autoSpaceDE/>
              <w:autoSpaceDN/>
              <w:bidi w:val="0"/>
              <w:adjustRightInd/>
              <w:snapToGrid w:val="0"/>
              <w:spacing w:line="360" w:lineRule="auto"/>
              <w:ind w:firstLine="0" w:firstLineChars="0"/>
              <w:jc w:val="center"/>
              <w:textAlignment w:val="auto"/>
              <w:rPr>
                <w:color w:val="auto"/>
                <w:sz w:val="21"/>
                <w:szCs w:val="21"/>
              </w:rPr>
            </w:pPr>
            <w:r>
              <w:rPr>
                <w:color w:val="auto"/>
                <w:sz w:val="21"/>
                <w:szCs w:val="21"/>
              </w:rPr>
              <w:drawing>
                <wp:inline distT="0" distB="0" distL="114300" distR="114300">
                  <wp:extent cx="1816100" cy="454660"/>
                  <wp:effectExtent l="0" t="0" r="12700" b="2540"/>
                  <wp:docPr id="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3"/>
                          <pic:cNvPicPr>
                            <a:picLocks noChangeAspect="1"/>
                          </pic:cNvPicPr>
                        </pic:nvPicPr>
                        <pic:blipFill>
                          <a:blip r:embed="rId30"/>
                          <a:stretch>
                            <a:fillRect/>
                          </a:stretch>
                        </pic:blipFill>
                        <pic:spPr>
                          <a:xfrm>
                            <a:off x="0" y="0"/>
                            <a:ext cx="1816100" cy="454660"/>
                          </a:xfrm>
                          <a:prstGeom prst="rect">
                            <a:avLst/>
                          </a:prstGeom>
                          <a:noFill/>
                          <a:ln>
                            <a:noFill/>
                          </a:ln>
                        </pic:spPr>
                      </pic:pic>
                    </a:graphicData>
                  </a:graphic>
                </wp:inline>
              </w:drawing>
            </w:r>
          </w:p>
          <w:p w14:paraId="60D5EC71">
            <w:pPr>
              <w:widowControl/>
              <w:snapToGrid w:val="0"/>
              <w:spacing w:line="360" w:lineRule="auto"/>
              <w:ind w:firstLine="420" w:firstLineChars="200"/>
              <w:jc w:val="left"/>
              <w:rPr>
                <w:color w:val="auto"/>
                <w:sz w:val="21"/>
                <w:szCs w:val="21"/>
              </w:rPr>
            </w:pPr>
            <w:r>
              <w:rPr>
                <w:rFonts w:hint="eastAsia"/>
                <w:color w:val="auto"/>
                <w:sz w:val="21"/>
                <w:szCs w:val="21"/>
              </w:rPr>
              <w:t>③</w:t>
            </w:r>
            <w:r>
              <w:rPr>
                <w:color w:val="auto"/>
                <w:sz w:val="21"/>
                <w:szCs w:val="21"/>
              </w:rPr>
              <w:t>计算室外靠近围护结构处的声压级：</w:t>
            </w:r>
          </w:p>
          <w:p w14:paraId="3D40943A">
            <w:pPr>
              <w:keepNext w:val="0"/>
              <w:keepLines w:val="0"/>
              <w:pageBreakBefore w:val="0"/>
              <w:widowControl/>
              <w:kinsoku/>
              <w:wordWrap/>
              <w:overflowPunct/>
              <w:topLinePunct w:val="0"/>
              <w:autoSpaceDE/>
              <w:autoSpaceDN/>
              <w:bidi w:val="0"/>
              <w:adjustRightInd/>
              <w:snapToGrid w:val="0"/>
              <w:spacing w:line="360" w:lineRule="auto"/>
              <w:ind w:firstLine="0" w:firstLineChars="0"/>
              <w:jc w:val="center"/>
              <w:textAlignment w:val="auto"/>
              <w:rPr>
                <w:color w:val="auto"/>
                <w:sz w:val="21"/>
                <w:szCs w:val="21"/>
              </w:rPr>
            </w:pPr>
            <w:r>
              <w:rPr>
                <w:color w:val="auto"/>
                <w:sz w:val="21"/>
                <w:szCs w:val="21"/>
              </w:rPr>
              <w:drawing>
                <wp:inline distT="0" distB="0" distL="114300" distR="114300">
                  <wp:extent cx="1917065" cy="238125"/>
                  <wp:effectExtent l="0" t="0" r="6985" b="9525"/>
                  <wp:docPr id="1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4"/>
                          <pic:cNvPicPr>
                            <a:picLocks noChangeAspect="1"/>
                          </pic:cNvPicPr>
                        </pic:nvPicPr>
                        <pic:blipFill>
                          <a:blip r:embed="rId31"/>
                          <a:stretch>
                            <a:fillRect/>
                          </a:stretch>
                        </pic:blipFill>
                        <pic:spPr>
                          <a:xfrm>
                            <a:off x="0" y="0"/>
                            <a:ext cx="1917065" cy="238125"/>
                          </a:xfrm>
                          <a:prstGeom prst="rect">
                            <a:avLst/>
                          </a:prstGeom>
                          <a:noFill/>
                          <a:ln>
                            <a:noFill/>
                          </a:ln>
                        </pic:spPr>
                      </pic:pic>
                    </a:graphicData>
                  </a:graphic>
                </wp:inline>
              </w:drawing>
            </w:r>
          </w:p>
          <w:p w14:paraId="67486FF7">
            <w:pPr>
              <w:spacing w:line="360" w:lineRule="auto"/>
              <w:ind w:firstLine="420" w:firstLineChars="200"/>
              <w:jc w:val="left"/>
              <w:rPr>
                <w:color w:val="auto"/>
                <w:sz w:val="21"/>
                <w:szCs w:val="21"/>
              </w:rPr>
            </w:pPr>
            <w:r>
              <w:rPr>
                <w:rFonts w:hint="eastAsia"/>
                <w:color w:val="auto"/>
                <w:sz w:val="21"/>
                <w:szCs w:val="21"/>
              </w:rPr>
              <w:t>④</w:t>
            </w:r>
            <w:r>
              <w:rPr>
                <w:color w:val="auto"/>
                <w:sz w:val="21"/>
                <w:szCs w:val="21"/>
              </w:rPr>
              <w:t>将室外声级</w:t>
            </w:r>
            <w:r>
              <w:rPr>
                <w:color w:val="auto"/>
                <w:sz w:val="21"/>
                <w:szCs w:val="21"/>
              </w:rPr>
              <w:drawing>
                <wp:inline distT="0" distB="0" distL="114300" distR="114300">
                  <wp:extent cx="532765" cy="238760"/>
                  <wp:effectExtent l="0" t="0" r="635" b="8890"/>
                  <wp:docPr id="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5"/>
                          <pic:cNvPicPr>
                            <a:picLocks noChangeAspect="1"/>
                          </pic:cNvPicPr>
                        </pic:nvPicPr>
                        <pic:blipFill>
                          <a:blip r:embed="rId32"/>
                          <a:stretch>
                            <a:fillRect/>
                          </a:stretch>
                        </pic:blipFill>
                        <pic:spPr>
                          <a:xfrm>
                            <a:off x="0" y="0"/>
                            <a:ext cx="532765" cy="238760"/>
                          </a:xfrm>
                          <a:prstGeom prst="rect">
                            <a:avLst/>
                          </a:prstGeom>
                          <a:noFill/>
                          <a:ln>
                            <a:noFill/>
                          </a:ln>
                        </pic:spPr>
                      </pic:pic>
                    </a:graphicData>
                  </a:graphic>
                </wp:inline>
              </w:drawing>
            </w:r>
            <w:r>
              <w:rPr>
                <w:color w:val="auto"/>
                <w:sz w:val="21"/>
                <w:szCs w:val="21"/>
              </w:rPr>
              <w:t>和透声面积换算成等效的室外声源，计算等效声源第i个倍频带的声功率级</w:t>
            </w:r>
            <w:r>
              <w:rPr>
                <w:color w:val="auto"/>
                <w:sz w:val="21"/>
                <w:szCs w:val="21"/>
              </w:rPr>
              <w:drawing>
                <wp:inline distT="0" distB="0" distL="114300" distR="114300">
                  <wp:extent cx="313690" cy="227330"/>
                  <wp:effectExtent l="0" t="0" r="10160" b="1270"/>
                  <wp:docPr id="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
                          <pic:cNvPicPr>
                            <a:picLocks noChangeAspect="1"/>
                          </pic:cNvPicPr>
                        </pic:nvPicPr>
                        <pic:blipFill>
                          <a:blip r:embed="rId26"/>
                          <a:stretch>
                            <a:fillRect/>
                          </a:stretch>
                        </pic:blipFill>
                        <pic:spPr>
                          <a:xfrm>
                            <a:off x="0" y="0"/>
                            <a:ext cx="313690" cy="227330"/>
                          </a:xfrm>
                          <a:prstGeom prst="rect">
                            <a:avLst/>
                          </a:prstGeom>
                          <a:noFill/>
                          <a:ln>
                            <a:noFill/>
                          </a:ln>
                        </pic:spPr>
                      </pic:pic>
                    </a:graphicData>
                  </a:graphic>
                </wp:inline>
              </w:drawing>
            </w:r>
            <w:r>
              <w:rPr>
                <w:color w:val="auto"/>
                <w:sz w:val="21"/>
                <w:szCs w:val="21"/>
              </w:rPr>
              <w:t>：</w:t>
            </w:r>
          </w:p>
          <w:p w14:paraId="38452037">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color w:val="auto"/>
                <w:sz w:val="21"/>
                <w:szCs w:val="21"/>
              </w:rPr>
            </w:pPr>
            <w:r>
              <w:rPr>
                <w:color w:val="auto"/>
                <w:sz w:val="21"/>
                <w:szCs w:val="21"/>
              </w:rPr>
              <w:drawing>
                <wp:inline distT="0" distB="0" distL="114300" distR="114300">
                  <wp:extent cx="1511300" cy="238125"/>
                  <wp:effectExtent l="0" t="0" r="0" b="9525"/>
                  <wp:docPr id="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pic:cNvPicPr>
                            <a:picLocks noChangeAspect="1"/>
                          </pic:cNvPicPr>
                        </pic:nvPicPr>
                        <pic:blipFill>
                          <a:blip r:embed="rId33"/>
                          <a:stretch>
                            <a:fillRect/>
                          </a:stretch>
                        </pic:blipFill>
                        <pic:spPr>
                          <a:xfrm>
                            <a:off x="0" y="0"/>
                            <a:ext cx="1511300" cy="238125"/>
                          </a:xfrm>
                          <a:prstGeom prst="rect">
                            <a:avLst/>
                          </a:prstGeom>
                          <a:noFill/>
                          <a:ln>
                            <a:noFill/>
                          </a:ln>
                        </pic:spPr>
                      </pic:pic>
                    </a:graphicData>
                  </a:graphic>
                </wp:inline>
              </w:drawing>
            </w:r>
          </w:p>
          <w:p w14:paraId="0D87720B">
            <w:pPr>
              <w:spacing w:line="360" w:lineRule="auto"/>
              <w:ind w:firstLine="420" w:firstLineChars="200"/>
              <w:jc w:val="left"/>
              <w:rPr>
                <w:color w:val="auto"/>
                <w:sz w:val="21"/>
                <w:szCs w:val="21"/>
              </w:rPr>
            </w:pPr>
            <w:r>
              <w:rPr>
                <w:color w:val="auto"/>
                <w:sz w:val="21"/>
                <w:szCs w:val="21"/>
              </w:rPr>
              <w:t>式中：</w:t>
            </w:r>
            <w:r>
              <w:rPr>
                <w:color w:val="auto"/>
                <w:sz w:val="21"/>
                <w:szCs w:val="21"/>
              </w:rPr>
              <w:drawing>
                <wp:inline distT="0" distB="0" distL="114300" distR="114300">
                  <wp:extent cx="139700" cy="174625"/>
                  <wp:effectExtent l="0" t="0" r="12700" b="16510"/>
                  <wp:docPr id="2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pic:cNvPicPr>
                            <a:picLocks noChangeAspect="1"/>
                          </pic:cNvPicPr>
                        </pic:nvPicPr>
                        <pic:blipFill>
                          <a:blip r:embed="rId34"/>
                          <a:stretch>
                            <a:fillRect/>
                          </a:stretch>
                        </pic:blipFill>
                        <pic:spPr>
                          <a:xfrm>
                            <a:off x="0" y="0"/>
                            <a:ext cx="139700" cy="174625"/>
                          </a:xfrm>
                          <a:prstGeom prst="rect">
                            <a:avLst/>
                          </a:prstGeom>
                          <a:noFill/>
                          <a:ln>
                            <a:noFill/>
                          </a:ln>
                        </pic:spPr>
                      </pic:pic>
                    </a:graphicData>
                  </a:graphic>
                </wp:inline>
              </w:drawing>
            </w:r>
            <w:r>
              <w:rPr>
                <w:color w:val="auto"/>
                <w:sz w:val="21"/>
                <w:szCs w:val="21"/>
              </w:rPr>
              <w:t>—透声面积，</w:t>
            </w:r>
            <w:r>
              <w:rPr>
                <w:rFonts w:hint="eastAsia"/>
                <w:color w:val="auto"/>
                <w:sz w:val="21"/>
                <w:szCs w:val="21"/>
                <w:lang w:val="en-US" w:eastAsia="zh-CN"/>
              </w:rPr>
              <w:t>m</w:t>
            </w:r>
            <w:r>
              <w:rPr>
                <w:rFonts w:hint="eastAsia"/>
                <w:color w:val="auto"/>
                <w:sz w:val="21"/>
                <w:szCs w:val="21"/>
                <w:vertAlign w:val="superscript"/>
                <w:lang w:val="en-US" w:eastAsia="zh-CN"/>
              </w:rPr>
              <w:t>2</w:t>
            </w:r>
            <w:r>
              <w:rPr>
                <w:color w:val="auto"/>
                <w:sz w:val="21"/>
                <w:szCs w:val="21"/>
              </w:rPr>
              <w:t>。</w:t>
            </w:r>
          </w:p>
          <w:p w14:paraId="7787E4ED">
            <w:pPr>
              <w:spacing w:line="360" w:lineRule="auto"/>
              <w:ind w:firstLine="420" w:firstLineChars="200"/>
              <w:jc w:val="left"/>
              <w:rPr>
                <w:color w:val="auto"/>
                <w:sz w:val="21"/>
                <w:szCs w:val="21"/>
              </w:rPr>
            </w:pPr>
            <w:r>
              <w:rPr>
                <w:rFonts w:hint="eastAsia"/>
                <w:color w:val="auto"/>
                <w:sz w:val="21"/>
                <w:szCs w:val="21"/>
              </w:rPr>
              <w:t>⑤</w:t>
            </w:r>
            <w:r>
              <w:rPr>
                <w:color w:val="auto"/>
                <w:sz w:val="21"/>
                <w:szCs w:val="21"/>
              </w:rPr>
              <w:t>等效室外声源的位置为围护结构的位置，其倍频带声功率级为</w:t>
            </w:r>
            <w:r>
              <w:rPr>
                <w:color w:val="auto"/>
                <w:sz w:val="21"/>
                <w:szCs w:val="21"/>
              </w:rPr>
              <w:drawing>
                <wp:inline distT="0" distB="0" distL="114300" distR="114300">
                  <wp:extent cx="313690" cy="227330"/>
                  <wp:effectExtent l="0" t="0" r="10160" b="1270"/>
                  <wp:docPr id="2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pic:cNvPicPr>
                            <a:picLocks noChangeAspect="1"/>
                          </pic:cNvPicPr>
                        </pic:nvPicPr>
                        <pic:blipFill>
                          <a:blip r:embed="rId26"/>
                          <a:stretch>
                            <a:fillRect/>
                          </a:stretch>
                        </pic:blipFill>
                        <pic:spPr>
                          <a:xfrm>
                            <a:off x="0" y="0"/>
                            <a:ext cx="313690" cy="227330"/>
                          </a:xfrm>
                          <a:prstGeom prst="rect">
                            <a:avLst/>
                          </a:prstGeom>
                          <a:noFill/>
                          <a:ln>
                            <a:noFill/>
                          </a:ln>
                        </pic:spPr>
                      </pic:pic>
                    </a:graphicData>
                  </a:graphic>
                </wp:inline>
              </w:drawing>
            </w:r>
            <w:r>
              <w:rPr>
                <w:color w:val="auto"/>
                <w:sz w:val="21"/>
                <w:szCs w:val="21"/>
              </w:rPr>
              <w:t>，由此按室外声源方法计算等效室外声源在预测点产生的A声级。</w:t>
            </w:r>
          </w:p>
          <w:p w14:paraId="16A3BE30">
            <w:pPr>
              <w:spacing w:line="360" w:lineRule="auto"/>
              <w:ind w:firstLine="420" w:firstLineChars="200"/>
              <w:jc w:val="left"/>
              <w:rPr>
                <w:rFonts w:hint="eastAsia" w:eastAsia="宋体"/>
                <w:color w:val="auto"/>
                <w:sz w:val="21"/>
                <w:szCs w:val="21"/>
                <w:lang w:eastAsia="zh-CN"/>
              </w:rPr>
            </w:pPr>
            <w:r>
              <w:rPr>
                <w:color w:val="auto"/>
                <w:sz w:val="21"/>
                <w:szCs w:val="21"/>
              </w:rPr>
              <w:t>室外声源</w:t>
            </w:r>
            <w:r>
              <w:rPr>
                <w:rFonts w:hint="eastAsia"/>
                <w:color w:val="auto"/>
                <w:sz w:val="21"/>
                <w:szCs w:val="21"/>
                <w:lang w:eastAsia="zh-CN"/>
              </w:rPr>
              <w:t>：</w:t>
            </w:r>
          </w:p>
          <w:p w14:paraId="7618D412">
            <w:pPr>
              <w:spacing w:line="360" w:lineRule="auto"/>
              <w:ind w:firstLine="420" w:firstLineChars="200"/>
              <w:jc w:val="left"/>
              <w:rPr>
                <w:color w:val="auto"/>
                <w:sz w:val="21"/>
                <w:szCs w:val="21"/>
              </w:rPr>
            </w:pPr>
            <w:r>
              <w:rPr>
                <w:rFonts w:hint="eastAsia"/>
                <w:color w:val="auto"/>
                <w:sz w:val="21"/>
                <w:szCs w:val="21"/>
              </w:rPr>
              <w:t>①</w:t>
            </w:r>
            <w:r>
              <w:rPr>
                <w:color w:val="auto"/>
                <w:sz w:val="21"/>
                <w:szCs w:val="21"/>
              </w:rPr>
              <w:t>计算某个声源在预测点的倍频带声压级</w:t>
            </w:r>
          </w:p>
          <w:p w14:paraId="28878B9F">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color w:val="auto"/>
                <w:sz w:val="21"/>
                <w:szCs w:val="21"/>
              </w:rPr>
            </w:pPr>
            <w:r>
              <w:rPr>
                <w:color w:val="auto"/>
                <w:sz w:val="21"/>
                <w:szCs w:val="21"/>
              </w:rPr>
              <w:drawing>
                <wp:inline distT="0" distB="0" distL="114300" distR="114300">
                  <wp:extent cx="2147570" cy="464185"/>
                  <wp:effectExtent l="0" t="0" r="0" b="12700"/>
                  <wp:docPr id="2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0"/>
                          <pic:cNvPicPr>
                            <a:picLocks noChangeAspect="1"/>
                          </pic:cNvPicPr>
                        </pic:nvPicPr>
                        <pic:blipFill>
                          <a:blip r:embed="rId35"/>
                          <a:stretch>
                            <a:fillRect/>
                          </a:stretch>
                        </pic:blipFill>
                        <pic:spPr>
                          <a:xfrm>
                            <a:off x="0" y="0"/>
                            <a:ext cx="2147570" cy="464185"/>
                          </a:xfrm>
                          <a:prstGeom prst="rect">
                            <a:avLst/>
                          </a:prstGeom>
                          <a:noFill/>
                          <a:ln>
                            <a:noFill/>
                          </a:ln>
                        </pic:spPr>
                      </pic:pic>
                    </a:graphicData>
                  </a:graphic>
                </wp:inline>
              </w:drawing>
            </w:r>
          </w:p>
          <w:p w14:paraId="38D52820">
            <w:pPr>
              <w:spacing w:line="360" w:lineRule="auto"/>
              <w:ind w:firstLine="420" w:firstLineChars="200"/>
              <w:jc w:val="left"/>
              <w:rPr>
                <w:color w:val="auto"/>
                <w:sz w:val="21"/>
                <w:szCs w:val="21"/>
              </w:rPr>
            </w:pPr>
            <w:r>
              <w:rPr>
                <w:color w:val="auto"/>
                <w:sz w:val="21"/>
                <w:szCs w:val="21"/>
              </w:rPr>
              <w:t>式中：L</w:t>
            </w:r>
            <w:r>
              <w:rPr>
                <w:color w:val="auto"/>
                <w:sz w:val="21"/>
                <w:szCs w:val="21"/>
                <w:vertAlign w:val="subscript"/>
              </w:rPr>
              <w:t>oct</w:t>
            </w:r>
            <w:r>
              <w:rPr>
                <w:color w:val="auto"/>
                <w:sz w:val="21"/>
                <w:szCs w:val="21"/>
              </w:rPr>
              <w:t>（r）——点声源在预测点产生的倍频带声压级；</w:t>
            </w:r>
          </w:p>
          <w:p w14:paraId="3477A2DA">
            <w:pPr>
              <w:keepNext w:val="0"/>
              <w:keepLines w:val="0"/>
              <w:pageBreakBefore w:val="0"/>
              <w:widowControl/>
              <w:kinsoku/>
              <w:wordWrap/>
              <w:overflowPunct/>
              <w:topLinePunct w:val="0"/>
              <w:autoSpaceDE/>
              <w:autoSpaceDN/>
              <w:bidi w:val="0"/>
              <w:adjustRightInd/>
              <w:snapToGrid w:val="0"/>
              <w:spacing w:line="360" w:lineRule="auto"/>
              <w:ind w:firstLine="1050" w:firstLineChars="500"/>
              <w:jc w:val="left"/>
              <w:textAlignment w:val="auto"/>
              <w:rPr>
                <w:color w:val="auto"/>
                <w:sz w:val="21"/>
                <w:szCs w:val="21"/>
              </w:rPr>
            </w:pPr>
            <w:r>
              <w:rPr>
                <w:color w:val="auto"/>
                <w:sz w:val="21"/>
                <w:szCs w:val="21"/>
              </w:rPr>
              <w:t>L</w:t>
            </w:r>
            <w:r>
              <w:rPr>
                <w:color w:val="auto"/>
                <w:sz w:val="21"/>
                <w:szCs w:val="21"/>
                <w:vertAlign w:val="subscript"/>
              </w:rPr>
              <w:t>oct</w:t>
            </w:r>
            <w:r>
              <w:rPr>
                <w:color w:val="auto"/>
                <w:sz w:val="21"/>
                <w:szCs w:val="21"/>
              </w:rPr>
              <w:t>（r</w:t>
            </w:r>
            <w:r>
              <w:rPr>
                <w:color w:val="auto"/>
                <w:sz w:val="21"/>
                <w:szCs w:val="21"/>
                <w:vertAlign w:val="subscript"/>
              </w:rPr>
              <w:t>0</w:t>
            </w:r>
            <w:r>
              <w:rPr>
                <w:color w:val="auto"/>
                <w:sz w:val="21"/>
                <w:szCs w:val="21"/>
              </w:rPr>
              <w:t>）——参考位置r</w:t>
            </w:r>
            <w:r>
              <w:rPr>
                <w:color w:val="auto"/>
                <w:sz w:val="21"/>
                <w:szCs w:val="21"/>
                <w:vertAlign w:val="subscript"/>
              </w:rPr>
              <w:t>0</w:t>
            </w:r>
            <w:r>
              <w:rPr>
                <w:color w:val="auto"/>
                <w:sz w:val="21"/>
                <w:szCs w:val="21"/>
              </w:rPr>
              <w:t>处的倍频带声压级；</w:t>
            </w:r>
          </w:p>
          <w:p w14:paraId="548B2870">
            <w:pPr>
              <w:keepNext w:val="0"/>
              <w:keepLines w:val="0"/>
              <w:pageBreakBefore w:val="0"/>
              <w:widowControl/>
              <w:kinsoku/>
              <w:wordWrap/>
              <w:overflowPunct/>
              <w:topLinePunct w:val="0"/>
              <w:autoSpaceDE/>
              <w:autoSpaceDN/>
              <w:bidi w:val="0"/>
              <w:adjustRightInd/>
              <w:snapToGrid w:val="0"/>
              <w:spacing w:line="360" w:lineRule="auto"/>
              <w:ind w:firstLine="1050" w:firstLineChars="500"/>
              <w:jc w:val="left"/>
              <w:textAlignment w:val="auto"/>
              <w:rPr>
                <w:color w:val="auto"/>
                <w:sz w:val="21"/>
                <w:szCs w:val="21"/>
              </w:rPr>
            </w:pPr>
            <w:r>
              <w:rPr>
                <w:color w:val="auto"/>
                <w:sz w:val="21"/>
                <w:szCs w:val="21"/>
              </w:rPr>
              <w:t>r——预测点距声源的距离，m；</w:t>
            </w:r>
          </w:p>
          <w:p w14:paraId="500F4E93">
            <w:pPr>
              <w:keepNext w:val="0"/>
              <w:keepLines w:val="0"/>
              <w:pageBreakBefore w:val="0"/>
              <w:widowControl/>
              <w:kinsoku/>
              <w:wordWrap/>
              <w:overflowPunct/>
              <w:topLinePunct w:val="0"/>
              <w:autoSpaceDE/>
              <w:autoSpaceDN/>
              <w:bidi w:val="0"/>
              <w:adjustRightInd/>
              <w:snapToGrid w:val="0"/>
              <w:spacing w:line="360" w:lineRule="auto"/>
              <w:ind w:firstLine="1050" w:firstLineChars="500"/>
              <w:jc w:val="left"/>
              <w:textAlignment w:val="auto"/>
              <w:rPr>
                <w:color w:val="auto"/>
                <w:sz w:val="21"/>
                <w:szCs w:val="21"/>
              </w:rPr>
            </w:pPr>
            <w:r>
              <w:rPr>
                <w:color w:val="auto"/>
                <w:sz w:val="21"/>
                <w:szCs w:val="21"/>
              </w:rPr>
              <w:t>r</w:t>
            </w:r>
            <w:r>
              <w:rPr>
                <w:color w:val="auto"/>
                <w:sz w:val="21"/>
                <w:szCs w:val="21"/>
                <w:vertAlign w:val="subscript"/>
              </w:rPr>
              <w:t>0</w:t>
            </w:r>
            <w:r>
              <w:rPr>
                <w:color w:val="auto"/>
                <w:sz w:val="21"/>
                <w:szCs w:val="21"/>
              </w:rPr>
              <w:t>——参考位置距声源的距离，m；</w:t>
            </w:r>
          </w:p>
          <w:p w14:paraId="39DDAF6A">
            <w:pPr>
              <w:keepNext w:val="0"/>
              <w:keepLines w:val="0"/>
              <w:pageBreakBefore w:val="0"/>
              <w:widowControl/>
              <w:kinsoku/>
              <w:wordWrap/>
              <w:overflowPunct/>
              <w:topLinePunct w:val="0"/>
              <w:autoSpaceDE/>
              <w:autoSpaceDN/>
              <w:bidi w:val="0"/>
              <w:adjustRightInd/>
              <w:snapToGrid w:val="0"/>
              <w:spacing w:line="360" w:lineRule="auto"/>
              <w:ind w:firstLine="1050" w:firstLineChars="500"/>
              <w:jc w:val="left"/>
              <w:textAlignment w:val="auto"/>
              <w:rPr>
                <w:color w:val="auto"/>
                <w:sz w:val="21"/>
                <w:szCs w:val="21"/>
              </w:rPr>
            </w:pPr>
            <w:r>
              <w:rPr>
                <w:color w:val="auto"/>
                <w:sz w:val="21"/>
                <w:szCs w:val="21"/>
              </w:rPr>
              <w:t>Δ</w:t>
            </w:r>
            <w:r>
              <w:rPr>
                <w:color w:val="auto"/>
                <w:sz w:val="21"/>
                <w:szCs w:val="21"/>
                <w:vertAlign w:val="subscript"/>
              </w:rPr>
              <w:t>Loct</w:t>
            </w:r>
            <w:r>
              <w:rPr>
                <w:color w:val="auto"/>
                <w:sz w:val="21"/>
                <w:szCs w:val="21"/>
              </w:rPr>
              <w:t>——各种因素引起的衰减量（包括声屏障、遮挡物、空气吸收、地面效应等引起的衰减量，其计算方</w:t>
            </w:r>
            <w:r>
              <w:rPr>
                <w:rFonts w:hint="eastAsia" w:ascii="宋体" w:hAnsi="宋体" w:eastAsia="宋体" w:cs="宋体"/>
                <w:color w:val="auto"/>
                <w:sz w:val="21"/>
                <w:szCs w:val="21"/>
              </w:rPr>
              <w:t>法详见“导则”正</w:t>
            </w:r>
            <w:r>
              <w:rPr>
                <w:color w:val="auto"/>
                <w:sz w:val="21"/>
                <w:szCs w:val="21"/>
              </w:rPr>
              <w:t>文）。</w:t>
            </w:r>
          </w:p>
          <w:p w14:paraId="3F48351D">
            <w:pPr>
              <w:widowControl/>
              <w:snapToGrid w:val="0"/>
              <w:spacing w:line="360" w:lineRule="auto"/>
              <w:ind w:firstLine="420" w:firstLineChars="200"/>
              <w:jc w:val="left"/>
              <w:rPr>
                <w:color w:val="auto"/>
                <w:sz w:val="21"/>
                <w:szCs w:val="21"/>
              </w:rPr>
            </w:pPr>
            <w:r>
              <w:rPr>
                <w:color w:val="auto"/>
                <w:sz w:val="21"/>
                <w:szCs w:val="21"/>
              </w:rPr>
              <w:t>如果已知声源的倍频带声功率级L</w:t>
            </w:r>
            <w:r>
              <w:rPr>
                <w:color w:val="auto"/>
                <w:sz w:val="21"/>
                <w:szCs w:val="21"/>
                <w:vertAlign w:val="subscript"/>
              </w:rPr>
              <w:t>w oct</w:t>
            </w:r>
            <w:r>
              <w:rPr>
                <w:color w:val="auto"/>
                <w:sz w:val="21"/>
                <w:szCs w:val="21"/>
              </w:rPr>
              <w:softHyphen/>
            </w:r>
            <w:r>
              <w:rPr>
                <w:color w:val="auto"/>
                <w:sz w:val="21"/>
                <w:szCs w:val="21"/>
              </w:rPr>
              <w:t>，且声源可看作是位于地面上的，则</w:t>
            </w:r>
          </w:p>
          <w:p w14:paraId="46889744">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color w:val="auto"/>
                <w:sz w:val="21"/>
                <w:szCs w:val="21"/>
              </w:rPr>
            </w:pPr>
            <w:r>
              <w:rPr>
                <w:color w:val="auto"/>
                <w:sz w:val="21"/>
                <w:szCs w:val="21"/>
              </w:rPr>
              <w:drawing>
                <wp:inline distT="0" distB="0" distL="114300" distR="114300">
                  <wp:extent cx="1739900" cy="232410"/>
                  <wp:effectExtent l="0" t="0" r="12700" b="15875"/>
                  <wp:docPr id="2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1"/>
                          <pic:cNvPicPr>
                            <a:picLocks noChangeAspect="1"/>
                          </pic:cNvPicPr>
                        </pic:nvPicPr>
                        <pic:blipFill>
                          <a:blip r:embed="rId36"/>
                          <a:stretch>
                            <a:fillRect/>
                          </a:stretch>
                        </pic:blipFill>
                        <pic:spPr>
                          <a:xfrm>
                            <a:off x="0" y="0"/>
                            <a:ext cx="1739900" cy="232410"/>
                          </a:xfrm>
                          <a:prstGeom prst="rect">
                            <a:avLst/>
                          </a:prstGeom>
                          <a:noFill/>
                          <a:ln>
                            <a:noFill/>
                          </a:ln>
                        </pic:spPr>
                      </pic:pic>
                    </a:graphicData>
                  </a:graphic>
                </wp:inline>
              </w:drawing>
            </w:r>
          </w:p>
          <w:p w14:paraId="44EA0B2D">
            <w:pPr>
              <w:widowControl/>
              <w:snapToGrid w:val="0"/>
              <w:spacing w:line="360" w:lineRule="auto"/>
              <w:ind w:firstLine="420" w:firstLineChars="200"/>
              <w:jc w:val="left"/>
              <w:rPr>
                <w:color w:val="auto"/>
                <w:sz w:val="21"/>
                <w:szCs w:val="21"/>
              </w:rPr>
            </w:pPr>
            <w:r>
              <w:rPr>
                <w:rFonts w:hint="eastAsia"/>
                <w:color w:val="auto"/>
                <w:sz w:val="21"/>
                <w:szCs w:val="21"/>
              </w:rPr>
              <w:t>②</w:t>
            </w:r>
            <w:r>
              <w:rPr>
                <w:color w:val="auto"/>
                <w:sz w:val="21"/>
                <w:szCs w:val="21"/>
              </w:rPr>
              <w:t>由各倍频带声压级合成计算出该声源产生的声级LA。</w:t>
            </w:r>
          </w:p>
          <w:p w14:paraId="3E37D88D">
            <w:pPr>
              <w:widowControl/>
              <w:snapToGrid w:val="0"/>
              <w:spacing w:line="360" w:lineRule="auto"/>
              <w:ind w:firstLine="420" w:firstLineChars="200"/>
              <w:jc w:val="left"/>
              <w:rPr>
                <w:color w:val="auto"/>
                <w:sz w:val="21"/>
                <w:szCs w:val="21"/>
              </w:rPr>
            </w:pPr>
            <w:r>
              <w:rPr>
                <w:rFonts w:hint="eastAsia"/>
                <w:color w:val="auto"/>
                <w:sz w:val="21"/>
                <w:szCs w:val="21"/>
                <w:lang w:eastAsia="zh-CN"/>
              </w:rPr>
              <w:t>（</w:t>
            </w:r>
            <w:r>
              <w:rPr>
                <w:rFonts w:hint="eastAsia"/>
                <w:color w:val="auto"/>
                <w:sz w:val="21"/>
                <w:szCs w:val="21"/>
                <w:lang w:val="en-US" w:eastAsia="zh-CN"/>
              </w:rPr>
              <w:t>3</w:t>
            </w:r>
            <w:r>
              <w:rPr>
                <w:rFonts w:hint="eastAsia"/>
                <w:color w:val="auto"/>
                <w:sz w:val="21"/>
                <w:szCs w:val="21"/>
                <w:lang w:eastAsia="zh-CN"/>
              </w:rPr>
              <w:t>）</w:t>
            </w:r>
            <w:r>
              <w:rPr>
                <w:color w:val="auto"/>
                <w:sz w:val="21"/>
                <w:szCs w:val="21"/>
              </w:rPr>
              <w:t>噪声贡献值计算：</w:t>
            </w:r>
          </w:p>
          <w:p w14:paraId="07EC5A0A">
            <w:pPr>
              <w:widowControl/>
              <w:snapToGrid w:val="0"/>
              <w:spacing w:line="360" w:lineRule="auto"/>
              <w:ind w:firstLine="420" w:firstLineChars="200"/>
              <w:jc w:val="left"/>
              <w:rPr>
                <w:color w:val="auto"/>
                <w:sz w:val="21"/>
                <w:szCs w:val="21"/>
              </w:rPr>
            </w:pPr>
            <w:r>
              <w:rPr>
                <w:color w:val="auto"/>
                <w:sz w:val="21"/>
                <w:szCs w:val="21"/>
              </w:rPr>
              <w:t>设第i个室外声源在预测点产生的A声级为</w:t>
            </w:r>
            <w:r>
              <w:rPr>
                <w:color w:val="auto"/>
                <w:sz w:val="21"/>
                <w:szCs w:val="21"/>
              </w:rPr>
              <w:drawing>
                <wp:inline distT="0" distB="0" distL="114300" distR="114300">
                  <wp:extent cx="326390" cy="241300"/>
                  <wp:effectExtent l="0" t="0" r="16510" b="5080"/>
                  <wp:docPr id="3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2"/>
                          <pic:cNvPicPr>
                            <a:picLocks noChangeAspect="1"/>
                          </pic:cNvPicPr>
                        </pic:nvPicPr>
                        <pic:blipFill>
                          <a:blip r:embed="rId37"/>
                          <a:stretch>
                            <a:fillRect/>
                          </a:stretch>
                        </pic:blipFill>
                        <pic:spPr>
                          <a:xfrm>
                            <a:off x="0" y="0"/>
                            <a:ext cx="326390" cy="241300"/>
                          </a:xfrm>
                          <a:prstGeom prst="rect">
                            <a:avLst/>
                          </a:prstGeom>
                          <a:noFill/>
                          <a:ln>
                            <a:noFill/>
                          </a:ln>
                        </pic:spPr>
                      </pic:pic>
                    </a:graphicData>
                  </a:graphic>
                </wp:inline>
              </w:drawing>
            </w:r>
            <w:r>
              <w:rPr>
                <w:color w:val="auto"/>
                <w:sz w:val="21"/>
                <w:szCs w:val="21"/>
              </w:rPr>
              <w:t>，在</w:t>
            </w:r>
            <w:r>
              <w:rPr>
                <w:color w:val="auto"/>
                <w:sz w:val="21"/>
                <w:szCs w:val="21"/>
              </w:rPr>
              <w:drawing>
                <wp:inline distT="0" distB="0" distL="114300" distR="114300">
                  <wp:extent cx="139065" cy="164465"/>
                  <wp:effectExtent l="0" t="0" r="13335" b="4445"/>
                  <wp:docPr id="4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3"/>
                          <pic:cNvPicPr>
                            <a:picLocks noChangeAspect="1"/>
                          </pic:cNvPicPr>
                        </pic:nvPicPr>
                        <pic:blipFill>
                          <a:blip r:embed="rId38"/>
                          <a:stretch>
                            <a:fillRect/>
                          </a:stretch>
                        </pic:blipFill>
                        <pic:spPr>
                          <a:xfrm>
                            <a:off x="0" y="0"/>
                            <a:ext cx="139065" cy="164465"/>
                          </a:xfrm>
                          <a:prstGeom prst="rect">
                            <a:avLst/>
                          </a:prstGeom>
                          <a:noFill/>
                          <a:ln>
                            <a:noFill/>
                          </a:ln>
                        </pic:spPr>
                      </pic:pic>
                    </a:graphicData>
                  </a:graphic>
                </wp:inline>
              </w:drawing>
            </w:r>
            <w:r>
              <w:rPr>
                <w:color w:val="auto"/>
                <w:sz w:val="21"/>
                <w:szCs w:val="21"/>
              </w:rPr>
              <w:t>时间内该声源工作时间为</w:t>
            </w:r>
            <w:r>
              <w:rPr>
                <w:color w:val="auto"/>
                <w:sz w:val="21"/>
                <w:szCs w:val="21"/>
              </w:rPr>
              <w:drawing>
                <wp:inline distT="0" distB="0" distL="114300" distR="114300">
                  <wp:extent cx="215265" cy="240665"/>
                  <wp:effectExtent l="0" t="0" r="13335" b="5080"/>
                  <wp:docPr id="3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4"/>
                          <pic:cNvPicPr>
                            <a:picLocks noChangeAspect="1"/>
                          </pic:cNvPicPr>
                        </pic:nvPicPr>
                        <pic:blipFill>
                          <a:blip r:embed="rId39"/>
                          <a:stretch>
                            <a:fillRect/>
                          </a:stretch>
                        </pic:blipFill>
                        <pic:spPr>
                          <a:xfrm>
                            <a:off x="0" y="0"/>
                            <a:ext cx="215265" cy="240665"/>
                          </a:xfrm>
                          <a:prstGeom prst="rect">
                            <a:avLst/>
                          </a:prstGeom>
                          <a:noFill/>
                          <a:ln>
                            <a:noFill/>
                          </a:ln>
                        </pic:spPr>
                      </pic:pic>
                    </a:graphicData>
                  </a:graphic>
                </wp:inline>
              </w:drawing>
            </w:r>
            <w:r>
              <w:rPr>
                <w:color w:val="auto"/>
                <w:sz w:val="21"/>
                <w:szCs w:val="21"/>
              </w:rPr>
              <w:t>，第j个等效室外声源在预测点产生的A声级为</w:t>
            </w:r>
            <w:r>
              <w:rPr>
                <w:color w:val="auto"/>
                <w:sz w:val="21"/>
                <w:szCs w:val="21"/>
              </w:rPr>
              <w:drawing>
                <wp:inline distT="0" distB="0" distL="114300" distR="114300">
                  <wp:extent cx="390525" cy="238760"/>
                  <wp:effectExtent l="0" t="0" r="9525" b="6985"/>
                  <wp:docPr id="3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5"/>
                          <pic:cNvPicPr>
                            <a:picLocks noChangeAspect="1"/>
                          </pic:cNvPicPr>
                        </pic:nvPicPr>
                        <pic:blipFill>
                          <a:blip r:embed="rId40"/>
                          <a:stretch>
                            <a:fillRect/>
                          </a:stretch>
                        </pic:blipFill>
                        <pic:spPr>
                          <a:xfrm>
                            <a:off x="0" y="0"/>
                            <a:ext cx="390525" cy="238760"/>
                          </a:xfrm>
                          <a:prstGeom prst="rect">
                            <a:avLst/>
                          </a:prstGeom>
                          <a:noFill/>
                          <a:ln>
                            <a:noFill/>
                          </a:ln>
                        </pic:spPr>
                      </pic:pic>
                    </a:graphicData>
                  </a:graphic>
                </wp:inline>
              </w:drawing>
            </w:r>
            <w:r>
              <w:rPr>
                <w:color w:val="auto"/>
                <w:sz w:val="21"/>
                <w:szCs w:val="21"/>
              </w:rPr>
              <w:t>，在</w:t>
            </w:r>
            <w:r>
              <w:rPr>
                <w:color w:val="auto"/>
                <w:sz w:val="21"/>
                <w:szCs w:val="21"/>
              </w:rPr>
              <w:drawing>
                <wp:inline distT="0" distB="0" distL="114300" distR="114300">
                  <wp:extent cx="139065" cy="164465"/>
                  <wp:effectExtent l="0" t="0" r="13335" b="4445"/>
                  <wp:docPr id="3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6"/>
                          <pic:cNvPicPr>
                            <a:picLocks noChangeAspect="1"/>
                          </pic:cNvPicPr>
                        </pic:nvPicPr>
                        <pic:blipFill>
                          <a:blip r:embed="rId38"/>
                          <a:stretch>
                            <a:fillRect/>
                          </a:stretch>
                        </pic:blipFill>
                        <pic:spPr>
                          <a:xfrm>
                            <a:off x="0" y="0"/>
                            <a:ext cx="139065" cy="164465"/>
                          </a:xfrm>
                          <a:prstGeom prst="rect">
                            <a:avLst/>
                          </a:prstGeom>
                          <a:noFill/>
                          <a:ln>
                            <a:noFill/>
                          </a:ln>
                        </pic:spPr>
                      </pic:pic>
                    </a:graphicData>
                  </a:graphic>
                </wp:inline>
              </w:drawing>
            </w:r>
            <w:r>
              <w:rPr>
                <w:color w:val="auto"/>
                <w:sz w:val="21"/>
                <w:szCs w:val="21"/>
              </w:rPr>
              <w:t>时间内该声源工作时间为</w:t>
            </w:r>
            <w:r>
              <w:rPr>
                <w:color w:val="auto"/>
                <w:sz w:val="21"/>
                <w:szCs w:val="21"/>
              </w:rPr>
              <w:drawing>
                <wp:inline distT="0" distB="0" distL="114300" distR="114300">
                  <wp:extent cx="292100" cy="240665"/>
                  <wp:effectExtent l="0" t="0" r="12700" b="5080"/>
                  <wp:docPr id="3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7"/>
                          <pic:cNvPicPr>
                            <a:picLocks noChangeAspect="1"/>
                          </pic:cNvPicPr>
                        </pic:nvPicPr>
                        <pic:blipFill>
                          <a:blip r:embed="rId41"/>
                          <a:stretch>
                            <a:fillRect/>
                          </a:stretch>
                        </pic:blipFill>
                        <pic:spPr>
                          <a:xfrm>
                            <a:off x="0" y="0"/>
                            <a:ext cx="292100" cy="240665"/>
                          </a:xfrm>
                          <a:prstGeom prst="rect">
                            <a:avLst/>
                          </a:prstGeom>
                          <a:noFill/>
                          <a:ln>
                            <a:noFill/>
                          </a:ln>
                        </pic:spPr>
                      </pic:pic>
                    </a:graphicData>
                  </a:graphic>
                </wp:inline>
              </w:drawing>
            </w:r>
            <w:r>
              <w:rPr>
                <w:color w:val="auto"/>
                <w:sz w:val="21"/>
                <w:szCs w:val="21"/>
              </w:rPr>
              <w:t>，则预测点的总等效声级为：</w:t>
            </w:r>
          </w:p>
          <w:p w14:paraId="1040A6A2">
            <w:pPr>
              <w:keepNext w:val="0"/>
              <w:keepLines w:val="0"/>
              <w:pageBreakBefore w:val="0"/>
              <w:widowControl/>
              <w:kinsoku/>
              <w:wordWrap/>
              <w:overflowPunct/>
              <w:topLinePunct w:val="0"/>
              <w:autoSpaceDE/>
              <w:autoSpaceDN/>
              <w:bidi w:val="0"/>
              <w:adjustRightInd/>
              <w:snapToGrid w:val="0"/>
              <w:spacing w:line="360" w:lineRule="auto"/>
              <w:ind w:firstLine="0" w:firstLineChars="0"/>
              <w:jc w:val="center"/>
              <w:textAlignment w:val="auto"/>
              <w:rPr>
                <w:color w:val="auto"/>
                <w:sz w:val="21"/>
                <w:szCs w:val="21"/>
              </w:rPr>
            </w:pPr>
            <w:r>
              <w:rPr>
                <w:color w:val="auto"/>
                <w:sz w:val="21"/>
                <w:szCs w:val="21"/>
              </w:rPr>
              <w:drawing>
                <wp:inline distT="0" distB="0" distL="114300" distR="114300">
                  <wp:extent cx="3276600" cy="480060"/>
                  <wp:effectExtent l="0" t="0" r="0" b="15240"/>
                  <wp:docPr id="3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8"/>
                          <pic:cNvPicPr>
                            <a:picLocks noChangeAspect="1"/>
                          </pic:cNvPicPr>
                        </pic:nvPicPr>
                        <pic:blipFill>
                          <a:blip r:embed="rId42"/>
                          <a:stretch>
                            <a:fillRect/>
                          </a:stretch>
                        </pic:blipFill>
                        <pic:spPr>
                          <a:xfrm>
                            <a:off x="0" y="0"/>
                            <a:ext cx="3276600" cy="480060"/>
                          </a:xfrm>
                          <a:prstGeom prst="rect">
                            <a:avLst/>
                          </a:prstGeom>
                          <a:noFill/>
                          <a:ln>
                            <a:noFill/>
                          </a:ln>
                        </pic:spPr>
                      </pic:pic>
                    </a:graphicData>
                  </a:graphic>
                </wp:inline>
              </w:drawing>
            </w:r>
          </w:p>
          <w:p w14:paraId="58B9D74E">
            <w:pPr>
              <w:widowControl/>
              <w:snapToGrid w:val="0"/>
              <w:spacing w:line="360" w:lineRule="auto"/>
              <w:ind w:firstLine="420" w:firstLineChars="200"/>
              <w:jc w:val="left"/>
              <w:rPr>
                <w:color w:val="auto"/>
                <w:sz w:val="21"/>
                <w:szCs w:val="21"/>
              </w:rPr>
            </w:pPr>
            <w:r>
              <w:rPr>
                <w:color w:val="auto"/>
                <w:sz w:val="21"/>
                <w:szCs w:val="21"/>
              </w:rPr>
              <w:t>式中：</w:t>
            </w:r>
            <w:r>
              <w:rPr>
                <w:color w:val="auto"/>
                <w:sz w:val="21"/>
                <w:szCs w:val="21"/>
              </w:rPr>
              <w:drawing>
                <wp:inline distT="0" distB="0" distL="114300" distR="114300">
                  <wp:extent cx="139065" cy="164465"/>
                  <wp:effectExtent l="0" t="0" r="13335" b="4445"/>
                  <wp:docPr id="4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9"/>
                          <pic:cNvPicPr>
                            <a:picLocks noChangeAspect="1"/>
                          </pic:cNvPicPr>
                        </pic:nvPicPr>
                        <pic:blipFill>
                          <a:blip r:embed="rId38"/>
                          <a:stretch>
                            <a:fillRect/>
                          </a:stretch>
                        </pic:blipFill>
                        <pic:spPr>
                          <a:xfrm>
                            <a:off x="0" y="0"/>
                            <a:ext cx="139065" cy="164465"/>
                          </a:xfrm>
                          <a:prstGeom prst="rect">
                            <a:avLst/>
                          </a:prstGeom>
                          <a:noFill/>
                          <a:ln>
                            <a:noFill/>
                          </a:ln>
                        </pic:spPr>
                      </pic:pic>
                    </a:graphicData>
                  </a:graphic>
                </wp:inline>
              </w:drawing>
            </w:r>
            <w:r>
              <w:rPr>
                <w:color w:val="auto"/>
                <w:sz w:val="21"/>
                <w:szCs w:val="21"/>
              </w:rPr>
              <w:t>—计算等效声级的时间，h；</w:t>
            </w:r>
          </w:p>
          <w:p w14:paraId="014382BF">
            <w:pPr>
              <w:keepNext w:val="0"/>
              <w:keepLines w:val="0"/>
              <w:pageBreakBefore w:val="0"/>
              <w:widowControl/>
              <w:kinsoku/>
              <w:wordWrap/>
              <w:overflowPunct/>
              <w:topLinePunct w:val="0"/>
              <w:autoSpaceDE/>
              <w:autoSpaceDN/>
              <w:bidi w:val="0"/>
              <w:adjustRightInd/>
              <w:snapToGrid w:val="0"/>
              <w:spacing w:line="360" w:lineRule="auto"/>
              <w:ind w:firstLine="1050" w:firstLineChars="500"/>
              <w:jc w:val="left"/>
              <w:textAlignment w:val="auto"/>
              <w:rPr>
                <w:color w:val="auto"/>
                <w:sz w:val="21"/>
                <w:szCs w:val="21"/>
              </w:rPr>
            </w:pPr>
            <w:r>
              <w:rPr>
                <w:color w:val="auto"/>
                <w:sz w:val="21"/>
                <w:szCs w:val="21"/>
              </w:rPr>
              <w:drawing>
                <wp:inline distT="0" distB="0" distL="114300" distR="114300">
                  <wp:extent cx="175260" cy="175260"/>
                  <wp:effectExtent l="0" t="0" r="15240" b="15875"/>
                  <wp:docPr id="4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0"/>
                          <pic:cNvPicPr>
                            <a:picLocks noChangeAspect="1"/>
                          </pic:cNvPicPr>
                        </pic:nvPicPr>
                        <pic:blipFill>
                          <a:blip r:embed="rId43"/>
                          <a:stretch>
                            <a:fillRect/>
                          </a:stretch>
                        </pic:blipFill>
                        <pic:spPr>
                          <a:xfrm>
                            <a:off x="0" y="0"/>
                            <a:ext cx="175260" cy="175260"/>
                          </a:xfrm>
                          <a:prstGeom prst="rect">
                            <a:avLst/>
                          </a:prstGeom>
                          <a:noFill/>
                          <a:ln>
                            <a:noFill/>
                          </a:ln>
                        </pic:spPr>
                      </pic:pic>
                    </a:graphicData>
                  </a:graphic>
                </wp:inline>
              </w:drawing>
            </w:r>
            <w:r>
              <w:rPr>
                <w:color w:val="auto"/>
                <w:sz w:val="21"/>
                <w:szCs w:val="21"/>
              </w:rPr>
              <w:t>—室外声源个数；</w:t>
            </w:r>
          </w:p>
          <w:p w14:paraId="6C6147A2">
            <w:pPr>
              <w:keepNext w:val="0"/>
              <w:keepLines w:val="0"/>
              <w:pageBreakBefore w:val="0"/>
              <w:widowControl/>
              <w:kinsoku/>
              <w:wordWrap/>
              <w:overflowPunct/>
              <w:topLinePunct w:val="0"/>
              <w:autoSpaceDE/>
              <w:autoSpaceDN/>
              <w:bidi w:val="0"/>
              <w:adjustRightInd/>
              <w:snapToGrid w:val="0"/>
              <w:spacing w:line="360" w:lineRule="auto"/>
              <w:ind w:firstLine="1050" w:firstLineChars="500"/>
              <w:jc w:val="left"/>
              <w:textAlignment w:val="auto"/>
              <w:rPr>
                <w:color w:val="auto"/>
                <w:sz w:val="21"/>
                <w:szCs w:val="21"/>
              </w:rPr>
            </w:pPr>
            <w:r>
              <w:rPr>
                <w:color w:val="auto"/>
                <w:sz w:val="21"/>
                <w:szCs w:val="21"/>
              </w:rPr>
              <w:drawing>
                <wp:inline distT="0" distB="0" distL="114300" distR="114300">
                  <wp:extent cx="201930" cy="163830"/>
                  <wp:effectExtent l="0" t="0" r="0" b="5080"/>
                  <wp:docPr id="4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1"/>
                          <pic:cNvPicPr>
                            <a:picLocks noChangeAspect="1"/>
                          </pic:cNvPicPr>
                        </pic:nvPicPr>
                        <pic:blipFill>
                          <a:blip r:embed="rId44"/>
                          <a:stretch>
                            <a:fillRect/>
                          </a:stretch>
                        </pic:blipFill>
                        <pic:spPr>
                          <a:xfrm>
                            <a:off x="0" y="0"/>
                            <a:ext cx="201930" cy="163830"/>
                          </a:xfrm>
                          <a:prstGeom prst="rect">
                            <a:avLst/>
                          </a:prstGeom>
                          <a:noFill/>
                          <a:ln>
                            <a:noFill/>
                          </a:ln>
                        </pic:spPr>
                      </pic:pic>
                    </a:graphicData>
                  </a:graphic>
                </wp:inline>
              </w:drawing>
            </w:r>
            <w:r>
              <w:rPr>
                <w:color w:val="auto"/>
                <w:sz w:val="21"/>
                <w:szCs w:val="21"/>
              </w:rPr>
              <w:t>—等效室外声源个数。</w:t>
            </w:r>
          </w:p>
          <w:p w14:paraId="1333B972">
            <w:pPr>
              <w:keepNext w:val="0"/>
              <w:keepLines w:val="0"/>
              <w:pageBreakBefore w:val="0"/>
              <w:widowControl w:val="0"/>
              <w:kinsoku/>
              <w:wordWrap/>
              <w:overflowPunct/>
              <w:topLinePunct w:val="0"/>
              <w:autoSpaceDE w:val="0"/>
              <w:autoSpaceDN w:val="0"/>
              <w:bidi w:val="0"/>
              <w:snapToGrid/>
              <w:spacing w:line="360" w:lineRule="auto"/>
              <w:ind w:firstLine="420" w:firstLineChars="200"/>
              <w:textAlignment w:val="auto"/>
              <w:rPr>
                <w:rFonts w:ascii="Times New Roman" w:hAnsi="Times New Roman"/>
                <w:color w:val="auto"/>
                <w:sz w:val="21"/>
                <w:szCs w:val="21"/>
                <w:highlight w:val="none"/>
              </w:rPr>
            </w:pPr>
            <w:r>
              <w:rPr>
                <w:rFonts w:hint="eastAsia"/>
                <w:color w:val="auto"/>
                <w:sz w:val="21"/>
                <w:szCs w:val="21"/>
                <w:highlight w:val="none"/>
                <w:lang w:eastAsia="zh-CN"/>
              </w:rPr>
              <w:t>（</w:t>
            </w:r>
            <w:r>
              <w:rPr>
                <w:rFonts w:hint="eastAsia"/>
                <w:color w:val="auto"/>
                <w:sz w:val="21"/>
                <w:szCs w:val="21"/>
                <w:highlight w:val="none"/>
                <w:lang w:val="en-US" w:eastAsia="zh-CN"/>
              </w:rPr>
              <w:t>4</w:t>
            </w:r>
            <w:r>
              <w:rPr>
                <w:rFonts w:hint="eastAsia"/>
                <w:color w:val="auto"/>
                <w:sz w:val="21"/>
                <w:szCs w:val="21"/>
                <w:highlight w:val="none"/>
                <w:lang w:eastAsia="zh-CN"/>
              </w:rPr>
              <w:t>）</w:t>
            </w:r>
            <w:r>
              <w:rPr>
                <w:rFonts w:ascii="Times New Roman" w:hAnsi="Times New Roman"/>
                <w:color w:val="auto"/>
                <w:sz w:val="21"/>
                <w:szCs w:val="21"/>
                <w:highlight w:val="none"/>
              </w:rPr>
              <w:t>预测点位的确定</w:t>
            </w:r>
          </w:p>
          <w:p w14:paraId="4ACCD885">
            <w:pPr>
              <w:keepNext w:val="0"/>
              <w:keepLines w:val="0"/>
              <w:pageBreakBefore w:val="0"/>
              <w:widowControl w:val="0"/>
              <w:kinsoku/>
              <w:wordWrap/>
              <w:overflowPunct/>
              <w:topLinePunct w:val="0"/>
              <w:bidi w:val="0"/>
              <w:adjustRightInd w:val="0"/>
              <w:snapToGrid/>
              <w:spacing w:line="360" w:lineRule="auto"/>
              <w:ind w:firstLine="420" w:firstLineChars="200"/>
              <w:textAlignment w:val="auto"/>
              <w:rPr>
                <w:rFonts w:hint="eastAsia" w:ascii="Times New Roman" w:hAnsi="Times New Roman" w:eastAsia="宋体"/>
                <w:color w:val="auto"/>
                <w:sz w:val="21"/>
                <w:szCs w:val="21"/>
                <w:highlight w:val="none"/>
                <w:lang w:eastAsia="zh-CN"/>
              </w:rPr>
            </w:pPr>
            <w:r>
              <w:rPr>
                <w:rFonts w:ascii="Times New Roman" w:hAnsi="Times New Roman"/>
                <w:color w:val="auto"/>
                <w:sz w:val="21"/>
                <w:szCs w:val="21"/>
                <w:highlight w:val="none"/>
              </w:rPr>
              <w:t>根据噪声源的分布情况，利用上述预测模式和参数，分别计算各噪声设备对厂界外1m处的最大噪声贡献值，以此确定出厂界的最大叠加噪声点位，作为本次噪声的预测点。对东、南、西、北四个厂界进行预测与评价</w:t>
            </w:r>
            <w:r>
              <w:rPr>
                <w:rFonts w:hint="eastAsia" w:ascii="Times New Roman" w:hAnsi="Times New Roman"/>
                <w:color w:val="auto"/>
                <w:sz w:val="21"/>
                <w:szCs w:val="21"/>
                <w:highlight w:val="none"/>
                <w:lang w:eastAsia="zh-CN"/>
              </w:rPr>
              <w:t>。</w:t>
            </w:r>
          </w:p>
          <w:p w14:paraId="10F0E402">
            <w:pPr>
              <w:keepNext w:val="0"/>
              <w:keepLines w:val="0"/>
              <w:pageBreakBefore w:val="0"/>
              <w:widowControl w:val="0"/>
              <w:kinsoku/>
              <w:wordWrap/>
              <w:overflowPunct/>
              <w:topLinePunct w:val="0"/>
              <w:bidi w:val="0"/>
              <w:adjustRightInd w:val="0"/>
              <w:snapToGrid/>
              <w:spacing w:line="360" w:lineRule="auto"/>
              <w:ind w:firstLine="420" w:firstLineChars="200"/>
              <w:textAlignment w:val="auto"/>
              <w:rPr>
                <w:rFonts w:ascii="Times New Roman" w:hAnsi="Times New Roman" w:eastAsia="宋体" w:cs="宋体"/>
                <w:color w:val="auto"/>
                <w:sz w:val="21"/>
                <w:szCs w:val="21"/>
                <w:highlight w:val="none"/>
              </w:rPr>
            </w:pPr>
            <w:r>
              <w:rPr>
                <w:rFonts w:hint="eastAsia" w:cs="宋体"/>
                <w:color w:val="auto"/>
                <w:sz w:val="21"/>
                <w:szCs w:val="21"/>
                <w:highlight w:val="none"/>
                <w:lang w:val="en-US" w:eastAsia="zh-CN"/>
              </w:rPr>
              <w:t>（5）</w:t>
            </w:r>
            <w:r>
              <w:rPr>
                <w:rFonts w:ascii="Times New Roman" w:hAnsi="Times New Roman" w:eastAsia="宋体" w:cs="宋体"/>
                <w:color w:val="auto"/>
                <w:sz w:val="21"/>
                <w:szCs w:val="21"/>
                <w:highlight w:val="none"/>
              </w:rPr>
              <w:t>预测结果及评价</w:t>
            </w:r>
          </w:p>
          <w:p w14:paraId="7438C6C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highlight w:val="none"/>
              </w:rPr>
            </w:pPr>
            <w:r>
              <w:rPr>
                <w:color w:val="auto"/>
                <w:sz w:val="21"/>
                <w:szCs w:val="21"/>
                <w:highlight w:val="none"/>
              </w:rPr>
              <w:t>利用以上预测模式和参数计算得预测厂界噪声贡献值，结合本项目采取的噪声防治措施，项目噪声预测结果见表</w:t>
            </w:r>
            <w:r>
              <w:rPr>
                <w:rFonts w:hint="eastAsia"/>
                <w:color w:val="auto"/>
                <w:sz w:val="21"/>
                <w:szCs w:val="21"/>
                <w:highlight w:val="none"/>
                <w:lang w:val="en-US" w:eastAsia="zh-CN"/>
              </w:rPr>
              <w:t>4-22</w:t>
            </w:r>
            <w:r>
              <w:rPr>
                <w:color w:val="auto"/>
                <w:sz w:val="21"/>
                <w:szCs w:val="21"/>
                <w:highlight w:val="none"/>
              </w:rPr>
              <w:t>。</w:t>
            </w:r>
          </w:p>
          <w:p w14:paraId="12B55DC8">
            <w:pPr>
              <w:spacing w:line="360" w:lineRule="auto"/>
              <w:jc w:val="center"/>
              <w:rPr>
                <w:rFonts w:hint="default" w:ascii="Times New Roman" w:hAnsi="Times New Roman" w:eastAsia="黑体" w:cs="Times New Roman"/>
                <w:color w:val="auto"/>
                <w:sz w:val="18"/>
                <w:szCs w:val="21"/>
              </w:rPr>
            </w:pPr>
            <w:bookmarkStart w:id="12" w:name="_Ref410335845"/>
            <w:bookmarkStart w:id="13" w:name="_Ref398630268"/>
            <w:r>
              <w:rPr>
                <w:rFonts w:hint="default" w:ascii="Times New Roman" w:hAnsi="Times New Roman" w:eastAsia="黑体" w:cs="Times New Roman"/>
                <w:color w:val="auto"/>
                <w:sz w:val="21"/>
                <w:szCs w:val="21"/>
              </w:rPr>
              <w:t>表</w:t>
            </w:r>
            <w:bookmarkEnd w:id="12"/>
            <w:bookmarkEnd w:id="13"/>
            <w:r>
              <w:rPr>
                <w:rFonts w:hint="eastAsia" w:eastAsia="黑体" w:cs="Times New Roman"/>
                <w:color w:val="auto"/>
                <w:sz w:val="21"/>
                <w:szCs w:val="21"/>
                <w:lang w:val="en-US" w:eastAsia="zh-CN"/>
              </w:rPr>
              <w:t>4-22</w:t>
            </w:r>
            <w:r>
              <w:rPr>
                <w:rFonts w:hint="default" w:ascii="Times New Roman" w:hAnsi="Times New Roman" w:eastAsia="黑体" w:cs="Times New Roman"/>
                <w:color w:val="auto"/>
                <w:sz w:val="21"/>
                <w:szCs w:val="21"/>
              </w:rPr>
              <w:t xml:space="preserve">  项目厂界噪声贡献值预测结果             单位：dB(A)</w:t>
            </w:r>
          </w:p>
          <w:tbl>
            <w:tblPr>
              <w:tblStyle w:val="33"/>
              <w:tblW w:w="4993"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63"/>
              <w:gridCol w:w="778"/>
              <w:gridCol w:w="780"/>
              <w:gridCol w:w="788"/>
              <w:gridCol w:w="962"/>
              <w:gridCol w:w="1375"/>
              <w:gridCol w:w="1375"/>
              <w:gridCol w:w="1169"/>
            </w:tblGrid>
            <w:tr w14:paraId="4A53E5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exact"/>
                <w:jc w:val="center"/>
              </w:trPr>
              <w:tc>
                <w:tcPr>
                  <w:tcW w:w="641" w:type="pct"/>
                  <w:vMerge w:val="restart"/>
                  <w:noWrap w:val="0"/>
                  <w:vAlign w:val="center"/>
                </w:tcPr>
                <w:p w14:paraId="7BF864B2">
                  <w:pPr>
                    <w:snapToGrid w:val="0"/>
                    <w:jc w:val="center"/>
                    <w:rPr>
                      <w:rFonts w:cs="Times New Roman"/>
                      <w:bCs/>
                      <w:color w:val="auto"/>
                      <w:sz w:val="18"/>
                      <w:szCs w:val="21"/>
                      <w:highlight w:val="none"/>
                    </w:rPr>
                  </w:pPr>
                  <w:r>
                    <w:rPr>
                      <w:rFonts w:cs="Times New Roman"/>
                      <w:bCs/>
                      <w:color w:val="auto"/>
                      <w:sz w:val="18"/>
                      <w:szCs w:val="21"/>
                      <w:highlight w:val="none"/>
                    </w:rPr>
                    <w:t>预测方位</w:t>
                  </w:r>
                </w:p>
              </w:tc>
              <w:tc>
                <w:tcPr>
                  <w:tcW w:w="1414" w:type="pct"/>
                  <w:gridSpan w:val="3"/>
                  <w:noWrap w:val="0"/>
                  <w:vAlign w:val="center"/>
                </w:tcPr>
                <w:p w14:paraId="7E685A62">
                  <w:pPr>
                    <w:snapToGrid w:val="0"/>
                    <w:jc w:val="center"/>
                    <w:rPr>
                      <w:rFonts w:cs="Times New Roman"/>
                      <w:bCs/>
                      <w:color w:val="auto"/>
                      <w:sz w:val="18"/>
                      <w:szCs w:val="21"/>
                      <w:highlight w:val="none"/>
                    </w:rPr>
                  </w:pPr>
                  <w:r>
                    <w:rPr>
                      <w:rFonts w:cs="Times New Roman"/>
                      <w:bCs/>
                      <w:color w:val="auto"/>
                      <w:sz w:val="18"/>
                      <w:szCs w:val="21"/>
                      <w:highlight w:val="none"/>
                    </w:rPr>
                    <w:t>最大值点空间相对位置/m</w:t>
                  </w:r>
                </w:p>
              </w:tc>
              <w:tc>
                <w:tcPr>
                  <w:tcW w:w="580" w:type="pct"/>
                  <w:vMerge w:val="restart"/>
                  <w:noWrap w:val="0"/>
                  <w:vAlign w:val="center"/>
                </w:tcPr>
                <w:p w14:paraId="07F8743C">
                  <w:pPr>
                    <w:snapToGrid w:val="0"/>
                    <w:jc w:val="center"/>
                    <w:rPr>
                      <w:rFonts w:cs="Times New Roman"/>
                      <w:bCs/>
                      <w:color w:val="auto"/>
                      <w:sz w:val="18"/>
                      <w:szCs w:val="21"/>
                      <w:highlight w:val="none"/>
                    </w:rPr>
                  </w:pPr>
                  <w:r>
                    <w:rPr>
                      <w:rFonts w:cs="Times New Roman"/>
                      <w:bCs/>
                      <w:color w:val="auto"/>
                      <w:sz w:val="18"/>
                      <w:szCs w:val="21"/>
                      <w:highlight w:val="none"/>
                    </w:rPr>
                    <w:t>时段</w:t>
                  </w:r>
                </w:p>
              </w:tc>
              <w:tc>
                <w:tcPr>
                  <w:tcW w:w="829" w:type="pct"/>
                  <w:vMerge w:val="restart"/>
                  <w:noWrap w:val="0"/>
                  <w:vAlign w:val="center"/>
                </w:tcPr>
                <w:p w14:paraId="24639C21">
                  <w:pPr>
                    <w:snapToGrid w:val="0"/>
                    <w:jc w:val="center"/>
                    <w:rPr>
                      <w:rFonts w:cs="Times New Roman"/>
                      <w:bCs/>
                      <w:color w:val="auto"/>
                      <w:sz w:val="18"/>
                      <w:szCs w:val="21"/>
                      <w:highlight w:val="none"/>
                    </w:rPr>
                  </w:pPr>
                  <w:r>
                    <w:rPr>
                      <w:rFonts w:cs="Times New Roman"/>
                      <w:bCs/>
                      <w:color w:val="auto"/>
                      <w:sz w:val="18"/>
                      <w:szCs w:val="21"/>
                      <w:highlight w:val="none"/>
                    </w:rPr>
                    <w:t>贡献值（dB(A)）</w:t>
                  </w:r>
                </w:p>
              </w:tc>
              <w:tc>
                <w:tcPr>
                  <w:tcW w:w="829" w:type="pct"/>
                  <w:vMerge w:val="restart"/>
                  <w:noWrap w:val="0"/>
                  <w:vAlign w:val="center"/>
                </w:tcPr>
                <w:p w14:paraId="048CE857">
                  <w:pPr>
                    <w:snapToGrid w:val="0"/>
                    <w:jc w:val="center"/>
                    <w:rPr>
                      <w:rFonts w:cs="Times New Roman"/>
                      <w:bCs/>
                      <w:color w:val="auto"/>
                      <w:sz w:val="18"/>
                      <w:szCs w:val="21"/>
                      <w:highlight w:val="none"/>
                    </w:rPr>
                  </w:pPr>
                  <w:r>
                    <w:rPr>
                      <w:rFonts w:cs="Times New Roman"/>
                      <w:bCs/>
                      <w:color w:val="auto"/>
                      <w:sz w:val="18"/>
                      <w:szCs w:val="21"/>
                      <w:highlight w:val="none"/>
                    </w:rPr>
                    <w:t>标准限值（dB(A)）</w:t>
                  </w:r>
                </w:p>
              </w:tc>
              <w:tc>
                <w:tcPr>
                  <w:tcW w:w="704" w:type="pct"/>
                  <w:vMerge w:val="restart"/>
                  <w:noWrap w:val="0"/>
                  <w:vAlign w:val="center"/>
                </w:tcPr>
                <w:p w14:paraId="75930A80">
                  <w:pPr>
                    <w:snapToGrid w:val="0"/>
                    <w:jc w:val="center"/>
                    <w:rPr>
                      <w:rFonts w:cs="Times New Roman"/>
                      <w:bCs/>
                      <w:color w:val="auto"/>
                      <w:sz w:val="18"/>
                      <w:szCs w:val="21"/>
                      <w:highlight w:val="none"/>
                    </w:rPr>
                  </w:pPr>
                  <w:r>
                    <w:rPr>
                      <w:rFonts w:cs="Times New Roman"/>
                      <w:bCs/>
                      <w:color w:val="auto"/>
                      <w:sz w:val="18"/>
                      <w:szCs w:val="21"/>
                      <w:highlight w:val="none"/>
                    </w:rPr>
                    <w:t>达标情况</w:t>
                  </w:r>
                </w:p>
              </w:tc>
            </w:tr>
            <w:tr w14:paraId="01B1CA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41" w:type="pct"/>
                  <w:vMerge w:val="continue"/>
                  <w:noWrap w:val="0"/>
                  <w:vAlign w:val="center"/>
                </w:tcPr>
                <w:p w14:paraId="2E556392">
                  <w:pPr>
                    <w:snapToGrid w:val="0"/>
                    <w:jc w:val="center"/>
                    <w:rPr>
                      <w:rFonts w:cs="Times New Roman"/>
                      <w:bCs/>
                      <w:color w:val="auto"/>
                      <w:sz w:val="18"/>
                      <w:szCs w:val="21"/>
                      <w:highlight w:val="none"/>
                    </w:rPr>
                  </w:pPr>
                </w:p>
              </w:tc>
              <w:tc>
                <w:tcPr>
                  <w:tcW w:w="469" w:type="pct"/>
                  <w:noWrap w:val="0"/>
                  <w:vAlign w:val="center"/>
                </w:tcPr>
                <w:p w14:paraId="0C05AAE8">
                  <w:pPr>
                    <w:snapToGrid w:val="0"/>
                    <w:jc w:val="center"/>
                    <w:rPr>
                      <w:rFonts w:cs="Times New Roman"/>
                      <w:bCs/>
                      <w:color w:val="auto"/>
                      <w:sz w:val="18"/>
                      <w:szCs w:val="21"/>
                      <w:highlight w:val="none"/>
                    </w:rPr>
                  </w:pPr>
                  <w:r>
                    <w:rPr>
                      <w:rFonts w:cs="Times New Roman"/>
                      <w:bCs/>
                      <w:color w:val="auto"/>
                      <w:sz w:val="18"/>
                      <w:szCs w:val="21"/>
                      <w:highlight w:val="none"/>
                    </w:rPr>
                    <w:t>X</w:t>
                  </w:r>
                </w:p>
              </w:tc>
              <w:tc>
                <w:tcPr>
                  <w:tcW w:w="470" w:type="pct"/>
                  <w:noWrap w:val="0"/>
                  <w:vAlign w:val="center"/>
                </w:tcPr>
                <w:p w14:paraId="5238900F">
                  <w:pPr>
                    <w:snapToGrid w:val="0"/>
                    <w:jc w:val="center"/>
                    <w:rPr>
                      <w:rFonts w:cs="Times New Roman"/>
                      <w:bCs/>
                      <w:color w:val="auto"/>
                      <w:sz w:val="18"/>
                      <w:szCs w:val="21"/>
                      <w:highlight w:val="none"/>
                    </w:rPr>
                  </w:pPr>
                  <w:r>
                    <w:rPr>
                      <w:rFonts w:cs="Times New Roman"/>
                      <w:bCs/>
                      <w:color w:val="auto"/>
                      <w:sz w:val="18"/>
                      <w:szCs w:val="21"/>
                      <w:highlight w:val="none"/>
                    </w:rPr>
                    <w:t>Y</w:t>
                  </w:r>
                </w:p>
              </w:tc>
              <w:tc>
                <w:tcPr>
                  <w:tcW w:w="475" w:type="pct"/>
                  <w:noWrap w:val="0"/>
                  <w:vAlign w:val="center"/>
                </w:tcPr>
                <w:p w14:paraId="5931BEE1">
                  <w:pPr>
                    <w:snapToGrid w:val="0"/>
                    <w:jc w:val="center"/>
                    <w:rPr>
                      <w:rFonts w:cs="Times New Roman"/>
                      <w:bCs/>
                      <w:color w:val="auto"/>
                      <w:sz w:val="18"/>
                      <w:szCs w:val="21"/>
                      <w:highlight w:val="none"/>
                    </w:rPr>
                  </w:pPr>
                  <w:r>
                    <w:rPr>
                      <w:rFonts w:cs="Times New Roman"/>
                      <w:bCs/>
                      <w:color w:val="auto"/>
                      <w:sz w:val="18"/>
                      <w:szCs w:val="21"/>
                      <w:highlight w:val="none"/>
                    </w:rPr>
                    <w:t>Z</w:t>
                  </w:r>
                </w:p>
              </w:tc>
              <w:tc>
                <w:tcPr>
                  <w:tcW w:w="580" w:type="pct"/>
                  <w:vMerge w:val="continue"/>
                  <w:noWrap w:val="0"/>
                  <w:vAlign w:val="center"/>
                </w:tcPr>
                <w:p w14:paraId="03259B6B">
                  <w:pPr>
                    <w:snapToGrid w:val="0"/>
                    <w:jc w:val="center"/>
                    <w:rPr>
                      <w:rFonts w:cs="Times New Roman"/>
                      <w:bCs/>
                      <w:color w:val="auto"/>
                      <w:sz w:val="18"/>
                      <w:szCs w:val="21"/>
                      <w:highlight w:val="none"/>
                    </w:rPr>
                  </w:pPr>
                </w:p>
              </w:tc>
              <w:tc>
                <w:tcPr>
                  <w:tcW w:w="829" w:type="pct"/>
                  <w:vMerge w:val="continue"/>
                  <w:noWrap w:val="0"/>
                  <w:vAlign w:val="center"/>
                </w:tcPr>
                <w:p w14:paraId="4DB42712">
                  <w:pPr>
                    <w:snapToGrid w:val="0"/>
                    <w:jc w:val="center"/>
                    <w:rPr>
                      <w:rFonts w:cs="Times New Roman"/>
                      <w:bCs/>
                      <w:color w:val="auto"/>
                      <w:sz w:val="18"/>
                      <w:szCs w:val="21"/>
                      <w:highlight w:val="none"/>
                    </w:rPr>
                  </w:pPr>
                </w:p>
              </w:tc>
              <w:tc>
                <w:tcPr>
                  <w:tcW w:w="829" w:type="pct"/>
                  <w:vMerge w:val="continue"/>
                  <w:noWrap w:val="0"/>
                  <w:vAlign w:val="center"/>
                </w:tcPr>
                <w:p w14:paraId="61659E42">
                  <w:pPr>
                    <w:snapToGrid w:val="0"/>
                    <w:jc w:val="center"/>
                    <w:rPr>
                      <w:rFonts w:cs="Times New Roman"/>
                      <w:bCs/>
                      <w:color w:val="auto"/>
                      <w:sz w:val="18"/>
                      <w:szCs w:val="21"/>
                      <w:highlight w:val="none"/>
                    </w:rPr>
                  </w:pPr>
                </w:p>
              </w:tc>
              <w:tc>
                <w:tcPr>
                  <w:tcW w:w="704" w:type="pct"/>
                  <w:vMerge w:val="continue"/>
                  <w:noWrap w:val="0"/>
                  <w:vAlign w:val="center"/>
                </w:tcPr>
                <w:p w14:paraId="5B2CC675">
                  <w:pPr>
                    <w:snapToGrid w:val="0"/>
                    <w:jc w:val="center"/>
                    <w:rPr>
                      <w:rFonts w:cs="Times New Roman"/>
                      <w:bCs/>
                      <w:color w:val="auto"/>
                      <w:sz w:val="18"/>
                      <w:szCs w:val="21"/>
                      <w:highlight w:val="none"/>
                    </w:rPr>
                  </w:pPr>
                </w:p>
              </w:tc>
            </w:tr>
            <w:tr w14:paraId="6CD175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exact"/>
                <w:jc w:val="center"/>
              </w:trPr>
              <w:tc>
                <w:tcPr>
                  <w:tcW w:w="641" w:type="pct"/>
                  <w:vMerge w:val="restart"/>
                  <w:noWrap w:val="0"/>
                  <w:vAlign w:val="center"/>
                </w:tcPr>
                <w:p w14:paraId="284F664C">
                  <w:pPr>
                    <w:snapToGrid w:val="0"/>
                    <w:jc w:val="center"/>
                    <w:rPr>
                      <w:rFonts w:ascii="Times New Roman" w:hAnsi="Times New Roman" w:eastAsia="宋体" w:cs="Times New Roman"/>
                      <w:bCs/>
                      <w:color w:val="auto"/>
                      <w:sz w:val="18"/>
                      <w:szCs w:val="21"/>
                      <w:highlight w:val="none"/>
                    </w:rPr>
                  </w:pPr>
                  <w:r>
                    <w:rPr>
                      <w:rFonts w:ascii="Times New Roman" w:hAnsi="Times New Roman" w:eastAsia="宋体" w:cs="Times New Roman"/>
                      <w:bCs/>
                      <w:color w:val="auto"/>
                      <w:sz w:val="18"/>
                      <w:szCs w:val="21"/>
                      <w:highlight w:val="none"/>
                    </w:rPr>
                    <w:t>东侧</w:t>
                  </w:r>
                </w:p>
              </w:tc>
              <w:tc>
                <w:tcPr>
                  <w:tcW w:w="903" w:type="dxa"/>
                  <w:noWrap w:val="0"/>
                  <w:vAlign w:val="center"/>
                </w:tcPr>
                <w:p w14:paraId="3369EBC6">
                  <w:pPr>
                    <w:snapToGrid w:val="0"/>
                    <w:jc w:val="center"/>
                    <w:rPr>
                      <w:rFonts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167.7</w:t>
                  </w:r>
                </w:p>
              </w:tc>
              <w:tc>
                <w:tcPr>
                  <w:tcW w:w="904" w:type="dxa"/>
                  <w:noWrap w:val="0"/>
                  <w:vAlign w:val="center"/>
                </w:tcPr>
                <w:p w14:paraId="5D4787DB">
                  <w:pPr>
                    <w:snapToGrid w:val="0"/>
                    <w:jc w:val="center"/>
                    <w:rPr>
                      <w:rFonts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-37.6</w:t>
                  </w:r>
                </w:p>
              </w:tc>
              <w:tc>
                <w:tcPr>
                  <w:tcW w:w="914" w:type="dxa"/>
                  <w:noWrap w:val="0"/>
                  <w:vAlign w:val="center"/>
                </w:tcPr>
                <w:p w14:paraId="7C4B6BB0">
                  <w:pPr>
                    <w:snapToGrid w:val="0"/>
                    <w:jc w:val="center"/>
                    <w:rPr>
                      <w:rFonts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1.2</w:t>
                  </w:r>
                </w:p>
              </w:tc>
              <w:tc>
                <w:tcPr>
                  <w:tcW w:w="1116" w:type="dxa"/>
                  <w:noWrap w:val="0"/>
                  <w:vAlign w:val="center"/>
                </w:tcPr>
                <w:p w14:paraId="43DCDD7A">
                  <w:pPr>
                    <w:snapToGrid w:val="0"/>
                    <w:jc w:val="center"/>
                    <w:rPr>
                      <w:rFonts w:ascii="Times New Roman" w:hAnsi="Times New Roman" w:eastAsia="宋体" w:cs="Times New Roman"/>
                      <w:bCs/>
                      <w:color w:val="auto"/>
                      <w:sz w:val="18"/>
                      <w:szCs w:val="21"/>
                      <w:highlight w:val="none"/>
                    </w:rPr>
                  </w:pPr>
                  <w:r>
                    <w:rPr>
                      <w:rFonts w:ascii="Times New Roman" w:hAnsi="Times New Roman" w:eastAsia="宋体" w:cs="Times New Roman"/>
                      <w:bCs/>
                      <w:color w:val="auto"/>
                      <w:sz w:val="18"/>
                      <w:szCs w:val="21"/>
                      <w:highlight w:val="none"/>
                    </w:rPr>
                    <w:t>昼间</w:t>
                  </w:r>
                </w:p>
              </w:tc>
              <w:tc>
                <w:tcPr>
                  <w:tcW w:w="1595" w:type="dxa"/>
                  <w:noWrap w:val="0"/>
                  <w:vAlign w:val="center"/>
                </w:tcPr>
                <w:p w14:paraId="7EEE3983">
                  <w:pPr>
                    <w:snapToGrid w:val="0"/>
                    <w:jc w:val="center"/>
                    <w:rPr>
                      <w:rFonts w:hint="default"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46.6</w:t>
                  </w:r>
                </w:p>
              </w:tc>
              <w:tc>
                <w:tcPr>
                  <w:tcW w:w="1595" w:type="dxa"/>
                  <w:noWrap w:val="0"/>
                  <w:vAlign w:val="center"/>
                </w:tcPr>
                <w:p w14:paraId="4A1BCFB5">
                  <w:pPr>
                    <w:snapToGrid w:val="0"/>
                    <w:jc w:val="center"/>
                    <w:rPr>
                      <w:rFonts w:hint="default"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65</w:t>
                  </w:r>
                </w:p>
              </w:tc>
              <w:tc>
                <w:tcPr>
                  <w:tcW w:w="1355" w:type="dxa"/>
                  <w:noWrap w:val="0"/>
                  <w:vAlign w:val="center"/>
                </w:tcPr>
                <w:p w14:paraId="790EF143">
                  <w:pPr>
                    <w:snapToGrid w:val="0"/>
                    <w:jc w:val="center"/>
                    <w:rPr>
                      <w:rFonts w:ascii="Times New Roman" w:hAnsi="Times New Roman" w:eastAsia="宋体" w:cs="Times New Roman"/>
                      <w:bCs/>
                      <w:color w:val="auto"/>
                      <w:sz w:val="18"/>
                      <w:szCs w:val="21"/>
                      <w:highlight w:val="none"/>
                    </w:rPr>
                  </w:pPr>
                  <w:r>
                    <w:rPr>
                      <w:rFonts w:ascii="Times New Roman" w:hAnsi="Times New Roman" w:eastAsia="宋体" w:cs="Times New Roman"/>
                      <w:bCs/>
                      <w:color w:val="auto"/>
                      <w:sz w:val="18"/>
                      <w:szCs w:val="21"/>
                      <w:highlight w:val="none"/>
                    </w:rPr>
                    <w:t>达标</w:t>
                  </w:r>
                </w:p>
              </w:tc>
            </w:tr>
            <w:tr w14:paraId="50E517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exact"/>
                <w:jc w:val="center"/>
              </w:trPr>
              <w:tc>
                <w:tcPr>
                  <w:tcW w:w="641" w:type="pct"/>
                  <w:vMerge w:val="continue"/>
                  <w:noWrap w:val="0"/>
                  <w:vAlign w:val="center"/>
                </w:tcPr>
                <w:p w14:paraId="225DFA0F">
                  <w:pPr>
                    <w:snapToGrid w:val="0"/>
                    <w:jc w:val="center"/>
                    <w:rPr>
                      <w:rFonts w:ascii="Times New Roman" w:hAnsi="Times New Roman" w:eastAsia="宋体" w:cs="Times New Roman"/>
                      <w:bCs/>
                      <w:color w:val="auto"/>
                      <w:sz w:val="18"/>
                      <w:szCs w:val="21"/>
                      <w:highlight w:val="none"/>
                    </w:rPr>
                  </w:pPr>
                </w:p>
              </w:tc>
              <w:tc>
                <w:tcPr>
                  <w:tcW w:w="903" w:type="dxa"/>
                  <w:noWrap w:val="0"/>
                  <w:vAlign w:val="center"/>
                </w:tcPr>
                <w:p w14:paraId="6065E6EA">
                  <w:pPr>
                    <w:snapToGrid w:val="0"/>
                    <w:jc w:val="center"/>
                    <w:rPr>
                      <w:rFonts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167.7</w:t>
                  </w:r>
                </w:p>
              </w:tc>
              <w:tc>
                <w:tcPr>
                  <w:tcW w:w="904" w:type="dxa"/>
                  <w:noWrap w:val="0"/>
                  <w:vAlign w:val="center"/>
                </w:tcPr>
                <w:p w14:paraId="2CDF330C">
                  <w:pPr>
                    <w:snapToGrid w:val="0"/>
                    <w:jc w:val="center"/>
                    <w:rPr>
                      <w:rFonts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-37.6</w:t>
                  </w:r>
                </w:p>
              </w:tc>
              <w:tc>
                <w:tcPr>
                  <w:tcW w:w="914" w:type="dxa"/>
                  <w:noWrap w:val="0"/>
                  <w:vAlign w:val="center"/>
                </w:tcPr>
                <w:p w14:paraId="78D707BA">
                  <w:pPr>
                    <w:snapToGrid w:val="0"/>
                    <w:jc w:val="center"/>
                    <w:rPr>
                      <w:rFonts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1.2</w:t>
                  </w:r>
                </w:p>
              </w:tc>
              <w:tc>
                <w:tcPr>
                  <w:tcW w:w="1116" w:type="dxa"/>
                  <w:noWrap w:val="0"/>
                  <w:vAlign w:val="center"/>
                </w:tcPr>
                <w:p w14:paraId="241BDC69">
                  <w:pPr>
                    <w:snapToGrid w:val="0"/>
                    <w:jc w:val="center"/>
                    <w:rPr>
                      <w:rFonts w:ascii="Times New Roman" w:hAnsi="Times New Roman" w:eastAsia="宋体" w:cs="Times New Roman"/>
                      <w:bCs/>
                      <w:color w:val="auto"/>
                      <w:sz w:val="18"/>
                      <w:szCs w:val="21"/>
                      <w:highlight w:val="none"/>
                    </w:rPr>
                  </w:pPr>
                  <w:r>
                    <w:rPr>
                      <w:rFonts w:ascii="Times New Roman" w:hAnsi="Times New Roman" w:eastAsia="宋体" w:cs="Times New Roman"/>
                      <w:bCs/>
                      <w:color w:val="auto"/>
                      <w:sz w:val="18"/>
                      <w:szCs w:val="21"/>
                      <w:highlight w:val="none"/>
                    </w:rPr>
                    <w:t>夜间</w:t>
                  </w:r>
                </w:p>
              </w:tc>
              <w:tc>
                <w:tcPr>
                  <w:tcW w:w="1595" w:type="dxa"/>
                  <w:noWrap w:val="0"/>
                  <w:vAlign w:val="center"/>
                </w:tcPr>
                <w:p w14:paraId="5C9CAA53">
                  <w:pPr>
                    <w:snapToGrid w:val="0"/>
                    <w:jc w:val="center"/>
                    <w:rPr>
                      <w:rFonts w:hint="default"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46.6</w:t>
                  </w:r>
                </w:p>
              </w:tc>
              <w:tc>
                <w:tcPr>
                  <w:tcW w:w="1595" w:type="dxa"/>
                  <w:noWrap w:val="0"/>
                  <w:vAlign w:val="center"/>
                </w:tcPr>
                <w:p w14:paraId="4D6DB3BE">
                  <w:pPr>
                    <w:snapToGrid w:val="0"/>
                    <w:jc w:val="center"/>
                    <w:rPr>
                      <w:rFonts w:hint="default"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55</w:t>
                  </w:r>
                </w:p>
              </w:tc>
              <w:tc>
                <w:tcPr>
                  <w:tcW w:w="1355" w:type="dxa"/>
                  <w:noWrap w:val="0"/>
                  <w:vAlign w:val="center"/>
                </w:tcPr>
                <w:p w14:paraId="5E7828A7">
                  <w:pPr>
                    <w:snapToGrid w:val="0"/>
                    <w:jc w:val="center"/>
                    <w:rPr>
                      <w:rFonts w:ascii="Times New Roman" w:hAnsi="Times New Roman" w:eastAsia="宋体" w:cs="Times New Roman"/>
                      <w:bCs/>
                      <w:color w:val="auto"/>
                      <w:sz w:val="18"/>
                      <w:szCs w:val="21"/>
                      <w:highlight w:val="none"/>
                    </w:rPr>
                  </w:pPr>
                  <w:r>
                    <w:rPr>
                      <w:rFonts w:ascii="Times New Roman" w:hAnsi="Times New Roman" w:eastAsia="宋体" w:cs="Times New Roman"/>
                      <w:bCs/>
                      <w:color w:val="auto"/>
                      <w:sz w:val="18"/>
                      <w:szCs w:val="21"/>
                      <w:highlight w:val="none"/>
                    </w:rPr>
                    <w:t>达标</w:t>
                  </w:r>
                </w:p>
              </w:tc>
            </w:tr>
            <w:tr w14:paraId="7487D1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exact"/>
                <w:jc w:val="center"/>
              </w:trPr>
              <w:tc>
                <w:tcPr>
                  <w:tcW w:w="641" w:type="pct"/>
                  <w:vMerge w:val="restart"/>
                  <w:noWrap w:val="0"/>
                  <w:vAlign w:val="center"/>
                </w:tcPr>
                <w:p w14:paraId="0DBE2379">
                  <w:pPr>
                    <w:snapToGrid w:val="0"/>
                    <w:jc w:val="center"/>
                    <w:rPr>
                      <w:rFonts w:hint="default" w:ascii="Times New Roman" w:hAnsi="Times New Roman" w:eastAsia="宋体" w:cs="Times New Roman"/>
                      <w:bCs/>
                      <w:color w:val="auto"/>
                      <w:sz w:val="18"/>
                      <w:szCs w:val="21"/>
                      <w:highlight w:val="none"/>
                      <w:lang w:val="en-US" w:eastAsia="zh-CN"/>
                    </w:rPr>
                  </w:pPr>
                  <w:r>
                    <w:rPr>
                      <w:rFonts w:hint="eastAsia" w:ascii="Times New Roman" w:hAnsi="Times New Roman" w:eastAsia="宋体" w:cs="Times New Roman"/>
                      <w:bCs/>
                      <w:color w:val="auto"/>
                      <w:sz w:val="18"/>
                      <w:szCs w:val="21"/>
                      <w:highlight w:val="none"/>
                      <w:lang w:val="en-US" w:eastAsia="zh-CN"/>
                    </w:rPr>
                    <w:t>南侧</w:t>
                  </w:r>
                </w:p>
              </w:tc>
              <w:tc>
                <w:tcPr>
                  <w:tcW w:w="903" w:type="dxa"/>
                  <w:noWrap w:val="0"/>
                  <w:vAlign w:val="center"/>
                </w:tcPr>
                <w:p w14:paraId="2B9CE4E6">
                  <w:pPr>
                    <w:snapToGrid w:val="0"/>
                    <w:jc w:val="center"/>
                    <w:rPr>
                      <w:rFonts w:hint="default"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-43.8</w:t>
                  </w:r>
                </w:p>
              </w:tc>
              <w:tc>
                <w:tcPr>
                  <w:tcW w:w="904" w:type="dxa"/>
                  <w:noWrap w:val="0"/>
                  <w:vAlign w:val="center"/>
                </w:tcPr>
                <w:p w14:paraId="3A04ECAB">
                  <w:pPr>
                    <w:snapToGrid w:val="0"/>
                    <w:jc w:val="center"/>
                    <w:rPr>
                      <w:rFonts w:hint="default"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-258.5</w:t>
                  </w:r>
                </w:p>
              </w:tc>
              <w:tc>
                <w:tcPr>
                  <w:tcW w:w="914" w:type="dxa"/>
                  <w:noWrap w:val="0"/>
                  <w:vAlign w:val="center"/>
                </w:tcPr>
                <w:p w14:paraId="13A92E1D">
                  <w:pPr>
                    <w:snapToGrid w:val="0"/>
                    <w:jc w:val="center"/>
                    <w:rPr>
                      <w:rFonts w:hint="default"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1.2</w:t>
                  </w:r>
                </w:p>
              </w:tc>
              <w:tc>
                <w:tcPr>
                  <w:tcW w:w="1116" w:type="dxa"/>
                  <w:noWrap w:val="0"/>
                  <w:vAlign w:val="center"/>
                </w:tcPr>
                <w:p w14:paraId="71AAA07E">
                  <w:pPr>
                    <w:snapToGrid w:val="0"/>
                    <w:jc w:val="center"/>
                    <w:rPr>
                      <w:rFonts w:hint="default"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昼间</w:t>
                  </w:r>
                </w:p>
              </w:tc>
              <w:tc>
                <w:tcPr>
                  <w:tcW w:w="1595" w:type="dxa"/>
                  <w:noWrap w:val="0"/>
                  <w:vAlign w:val="center"/>
                </w:tcPr>
                <w:p w14:paraId="66314645">
                  <w:pPr>
                    <w:snapToGrid w:val="0"/>
                    <w:jc w:val="center"/>
                    <w:rPr>
                      <w:rFonts w:hint="default"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42.6</w:t>
                  </w:r>
                </w:p>
              </w:tc>
              <w:tc>
                <w:tcPr>
                  <w:tcW w:w="1595" w:type="dxa"/>
                  <w:noWrap w:val="0"/>
                  <w:vAlign w:val="center"/>
                </w:tcPr>
                <w:p w14:paraId="5D58A745">
                  <w:pPr>
                    <w:snapToGrid w:val="0"/>
                    <w:jc w:val="center"/>
                    <w:rPr>
                      <w:rFonts w:hint="default"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65</w:t>
                  </w:r>
                </w:p>
              </w:tc>
              <w:tc>
                <w:tcPr>
                  <w:tcW w:w="1355" w:type="dxa"/>
                  <w:noWrap w:val="0"/>
                  <w:vAlign w:val="center"/>
                </w:tcPr>
                <w:p w14:paraId="1B540000">
                  <w:pPr>
                    <w:snapToGrid w:val="0"/>
                    <w:jc w:val="center"/>
                    <w:rPr>
                      <w:rFonts w:ascii="Times New Roman" w:hAnsi="Times New Roman" w:eastAsia="宋体" w:cs="Times New Roman"/>
                      <w:bCs/>
                      <w:color w:val="auto"/>
                      <w:sz w:val="18"/>
                      <w:szCs w:val="21"/>
                      <w:highlight w:val="none"/>
                    </w:rPr>
                  </w:pPr>
                  <w:r>
                    <w:rPr>
                      <w:rFonts w:ascii="Times New Roman" w:hAnsi="Times New Roman" w:eastAsia="宋体" w:cs="Times New Roman"/>
                      <w:bCs/>
                      <w:color w:val="auto"/>
                      <w:sz w:val="18"/>
                      <w:szCs w:val="21"/>
                      <w:highlight w:val="none"/>
                    </w:rPr>
                    <w:t>达标</w:t>
                  </w:r>
                </w:p>
              </w:tc>
            </w:tr>
            <w:tr w14:paraId="0072FD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exact"/>
                <w:jc w:val="center"/>
              </w:trPr>
              <w:tc>
                <w:tcPr>
                  <w:tcW w:w="641" w:type="pct"/>
                  <w:vMerge w:val="continue"/>
                  <w:noWrap w:val="0"/>
                  <w:vAlign w:val="center"/>
                </w:tcPr>
                <w:p w14:paraId="6263BA73">
                  <w:pPr>
                    <w:snapToGrid w:val="0"/>
                    <w:jc w:val="center"/>
                    <w:rPr>
                      <w:rFonts w:ascii="Times New Roman" w:hAnsi="Times New Roman" w:eastAsia="宋体" w:cs="Times New Roman"/>
                      <w:bCs/>
                      <w:color w:val="auto"/>
                      <w:sz w:val="18"/>
                      <w:szCs w:val="21"/>
                      <w:highlight w:val="none"/>
                    </w:rPr>
                  </w:pPr>
                </w:p>
              </w:tc>
              <w:tc>
                <w:tcPr>
                  <w:tcW w:w="903" w:type="dxa"/>
                  <w:noWrap w:val="0"/>
                  <w:vAlign w:val="center"/>
                </w:tcPr>
                <w:p w14:paraId="5364610C">
                  <w:pPr>
                    <w:snapToGrid w:val="0"/>
                    <w:jc w:val="center"/>
                    <w:rPr>
                      <w:rFonts w:hint="default"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-43.8</w:t>
                  </w:r>
                </w:p>
              </w:tc>
              <w:tc>
                <w:tcPr>
                  <w:tcW w:w="904" w:type="dxa"/>
                  <w:noWrap w:val="0"/>
                  <w:vAlign w:val="center"/>
                </w:tcPr>
                <w:p w14:paraId="3C49F69A">
                  <w:pPr>
                    <w:snapToGrid w:val="0"/>
                    <w:jc w:val="center"/>
                    <w:rPr>
                      <w:rFonts w:hint="default"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-258.5</w:t>
                  </w:r>
                </w:p>
              </w:tc>
              <w:tc>
                <w:tcPr>
                  <w:tcW w:w="914" w:type="dxa"/>
                  <w:noWrap w:val="0"/>
                  <w:vAlign w:val="center"/>
                </w:tcPr>
                <w:p w14:paraId="5FDFF455">
                  <w:pPr>
                    <w:snapToGrid w:val="0"/>
                    <w:jc w:val="center"/>
                    <w:rPr>
                      <w:rFonts w:hint="default"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1.2</w:t>
                  </w:r>
                </w:p>
              </w:tc>
              <w:tc>
                <w:tcPr>
                  <w:tcW w:w="1116" w:type="dxa"/>
                  <w:noWrap w:val="0"/>
                  <w:vAlign w:val="center"/>
                </w:tcPr>
                <w:p w14:paraId="0124AD4A">
                  <w:pPr>
                    <w:snapToGrid w:val="0"/>
                    <w:jc w:val="center"/>
                    <w:rPr>
                      <w:rFonts w:hint="eastAsia"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夜间</w:t>
                  </w:r>
                </w:p>
              </w:tc>
              <w:tc>
                <w:tcPr>
                  <w:tcW w:w="1595" w:type="dxa"/>
                  <w:noWrap w:val="0"/>
                  <w:vAlign w:val="center"/>
                </w:tcPr>
                <w:p w14:paraId="6C622B45">
                  <w:pPr>
                    <w:snapToGrid w:val="0"/>
                    <w:jc w:val="center"/>
                    <w:rPr>
                      <w:rFonts w:hint="default"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42.6</w:t>
                  </w:r>
                </w:p>
              </w:tc>
              <w:tc>
                <w:tcPr>
                  <w:tcW w:w="1595" w:type="dxa"/>
                  <w:noWrap w:val="0"/>
                  <w:vAlign w:val="center"/>
                </w:tcPr>
                <w:p w14:paraId="476D10E1">
                  <w:pPr>
                    <w:snapToGrid w:val="0"/>
                    <w:jc w:val="center"/>
                    <w:rPr>
                      <w:rFonts w:hint="default"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55</w:t>
                  </w:r>
                </w:p>
              </w:tc>
              <w:tc>
                <w:tcPr>
                  <w:tcW w:w="1355" w:type="dxa"/>
                  <w:noWrap w:val="0"/>
                  <w:vAlign w:val="center"/>
                </w:tcPr>
                <w:p w14:paraId="79E6EB18">
                  <w:pPr>
                    <w:snapToGrid w:val="0"/>
                    <w:jc w:val="center"/>
                    <w:rPr>
                      <w:rFonts w:ascii="Times New Roman" w:hAnsi="Times New Roman" w:eastAsia="宋体" w:cs="Times New Roman"/>
                      <w:bCs/>
                      <w:color w:val="auto"/>
                      <w:sz w:val="18"/>
                      <w:szCs w:val="21"/>
                      <w:highlight w:val="none"/>
                    </w:rPr>
                  </w:pPr>
                  <w:r>
                    <w:rPr>
                      <w:rFonts w:ascii="Times New Roman" w:hAnsi="Times New Roman" w:eastAsia="宋体" w:cs="Times New Roman"/>
                      <w:bCs/>
                      <w:color w:val="auto"/>
                      <w:sz w:val="18"/>
                      <w:szCs w:val="21"/>
                      <w:highlight w:val="none"/>
                    </w:rPr>
                    <w:t>达标</w:t>
                  </w:r>
                </w:p>
              </w:tc>
            </w:tr>
            <w:tr w14:paraId="4E9762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exact"/>
                <w:jc w:val="center"/>
              </w:trPr>
              <w:tc>
                <w:tcPr>
                  <w:tcW w:w="641" w:type="pct"/>
                  <w:vMerge w:val="restart"/>
                  <w:noWrap w:val="0"/>
                  <w:vAlign w:val="center"/>
                </w:tcPr>
                <w:p w14:paraId="79DCF229">
                  <w:pPr>
                    <w:snapToGrid w:val="0"/>
                    <w:jc w:val="center"/>
                    <w:rPr>
                      <w:rFonts w:ascii="Times New Roman" w:hAnsi="Times New Roman" w:eastAsia="宋体" w:cs="Times New Roman"/>
                      <w:bCs/>
                      <w:color w:val="auto"/>
                      <w:sz w:val="18"/>
                      <w:szCs w:val="21"/>
                      <w:highlight w:val="none"/>
                    </w:rPr>
                  </w:pPr>
                  <w:r>
                    <w:rPr>
                      <w:rFonts w:ascii="Times New Roman" w:hAnsi="Times New Roman" w:eastAsia="宋体" w:cs="Times New Roman"/>
                      <w:bCs/>
                      <w:color w:val="auto"/>
                      <w:sz w:val="18"/>
                      <w:szCs w:val="21"/>
                      <w:highlight w:val="none"/>
                    </w:rPr>
                    <w:t>西侧</w:t>
                  </w:r>
                </w:p>
              </w:tc>
              <w:tc>
                <w:tcPr>
                  <w:tcW w:w="903" w:type="dxa"/>
                  <w:noWrap w:val="0"/>
                  <w:vAlign w:val="center"/>
                </w:tcPr>
                <w:p w14:paraId="5160FE2D">
                  <w:pPr>
                    <w:snapToGrid w:val="0"/>
                    <w:jc w:val="center"/>
                    <w:rPr>
                      <w:rFonts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-160.4</w:t>
                  </w:r>
                </w:p>
              </w:tc>
              <w:tc>
                <w:tcPr>
                  <w:tcW w:w="904" w:type="dxa"/>
                  <w:noWrap w:val="0"/>
                  <w:vAlign w:val="center"/>
                </w:tcPr>
                <w:p w14:paraId="124A4A2F">
                  <w:pPr>
                    <w:snapToGrid w:val="0"/>
                    <w:jc w:val="center"/>
                    <w:rPr>
                      <w:rFonts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86.6</w:t>
                  </w:r>
                </w:p>
              </w:tc>
              <w:tc>
                <w:tcPr>
                  <w:tcW w:w="914" w:type="dxa"/>
                  <w:noWrap w:val="0"/>
                  <w:vAlign w:val="center"/>
                </w:tcPr>
                <w:p w14:paraId="728C9E04">
                  <w:pPr>
                    <w:snapToGrid w:val="0"/>
                    <w:jc w:val="center"/>
                    <w:rPr>
                      <w:rFonts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1.2</w:t>
                  </w:r>
                </w:p>
              </w:tc>
              <w:tc>
                <w:tcPr>
                  <w:tcW w:w="1116" w:type="dxa"/>
                  <w:noWrap w:val="0"/>
                  <w:vAlign w:val="center"/>
                </w:tcPr>
                <w:p w14:paraId="10C5914F">
                  <w:pPr>
                    <w:snapToGrid w:val="0"/>
                    <w:jc w:val="center"/>
                    <w:rPr>
                      <w:rFonts w:ascii="Times New Roman" w:hAnsi="Times New Roman" w:eastAsia="宋体" w:cs="Times New Roman"/>
                      <w:bCs/>
                      <w:color w:val="auto"/>
                      <w:sz w:val="18"/>
                      <w:szCs w:val="21"/>
                      <w:highlight w:val="none"/>
                    </w:rPr>
                  </w:pPr>
                  <w:r>
                    <w:rPr>
                      <w:rFonts w:ascii="Times New Roman" w:hAnsi="Times New Roman" w:eastAsia="宋体" w:cs="Times New Roman"/>
                      <w:bCs/>
                      <w:color w:val="auto"/>
                      <w:sz w:val="18"/>
                      <w:szCs w:val="21"/>
                      <w:highlight w:val="none"/>
                    </w:rPr>
                    <w:t>昼间</w:t>
                  </w:r>
                </w:p>
              </w:tc>
              <w:tc>
                <w:tcPr>
                  <w:tcW w:w="1595" w:type="dxa"/>
                  <w:noWrap w:val="0"/>
                  <w:vAlign w:val="center"/>
                </w:tcPr>
                <w:p w14:paraId="18A21B88">
                  <w:pPr>
                    <w:snapToGrid w:val="0"/>
                    <w:jc w:val="center"/>
                    <w:rPr>
                      <w:rFonts w:hint="default"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42.6</w:t>
                  </w:r>
                </w:p>
              </w:tc>
              <w:tc>
                <w:tcPr>
                  <w:tcW w:w="1595" w:type="dxa"/>
                  <w:noWrap w:val="0"/>
                  <w:vAlign w:val="center"/>
                </w:tcPr>
                <w:p w14:paraId="6DBDD239">
                  <w:pPr>
                    <w:snapToGrid w:val="0"/>
                    <w:jc w:val="center"/>
                    <w:rPr>
                      <w:rFonts w:hint="default"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65</w:t>
                  </w:r>
                </w:p>
              </w:tc>
              <w:tc>
                <w:tcPr>
                  <w:tcW w:w="1355" w:type="dxa"/>
                  <w:noWrap w:val="0"/>
                  <w:vAlign w:val="center"/>
                </w:tcPr>
                <w:p w14:paraId="43A0DFA1">
                  <w:pPr>
                    <w:snapToGrid w:val="0"/>
                    <w:jc w:val="center"/>
                    <w:rPr>
                      <w:rFonts w:ascii="Times New Roman" w:hAnsi="Times New Roman" w:eastAsia="宋体" w:cs="Times New Roman"/>
                      <w:bCs/>
                      <w:color w:val="auto"/>
                      <w:sz w:val="18"/>
                      <w:szCs w:val="21"/>
                      <w:highlight w:val="none"/>
                    </w:rPr>
                  </w:pPr>
                  <w:r>
                    <w:rPr>
                      <w:rFonts w:ascii="Times New Roman" w:hAnsi="Times New Roman" w:eastAsia="宋体" w:cs="Times New Roman"/>
                      <w:bCs/>
                      <w:color w:val="auto"/>
                      <w:sz w:val="18"/>
                      <w:szCs w:val="21"/>
                      <w:highlight w:val="none"/>
                    </w:rPr>
                    <w:t>达标</w:t>
                  </w:r>
                </w:p>
              </w:tc>
            </w:tr>
            <w:tr w14:paraId="2101DE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exact"/>
                <w:jc w:val="center"/>
              </w:trPr>
              <w:tc>
                <w:tcPr>
                  <w:tcW w:w="641" w:type="pct"/>
                  <w:vMerge w:val="continue"/>
                  <w:noWrap w:val="0"/>
                  <w:vAlign w:val="center"/>
                </w:tcPr>
                <w:p w14:paraId="50D13BD9">
                  <w:pPr>
                    <w:snapToGrid w:val="0"/>
                    <w:jc w:val="center"/>
                    <w:rPr>
                      <w:rFonts w:ascii="Times New Roman" w:hAnsi="Times New Roman" w:eastAsia="宋体" w:cs="Times New Roman"/>
                      <w:bCs/>
                      <w:color w:val="auto"/>
                      <w:sz w:val="18"/>
                      <w:szCs w:val="21"/>
                      <w:highlight w:val="none"/>
                    </w:rPr>
                  </w:pPr>
                </w:p>
              </w:tc>
              <w:tc>
                <w:tcPr>
                  <w:tcW w:w="903" w:type="dxa"/>
                  <w:noWrap w:val="0"/>
                  <w:vAlign w:val="center"/>
                </w:tcPr>
                <w:p w14:paraId="6DB2B109">
                  <w:pPr>
                    <w:snapToGrid w:val="0"/>
                    <w:jc w:val="center"/>
                    <w:rPr>
                      <w:rFonts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-160.4</w:t>
                  </w:r>
                </w:p>
              </w:tc>
              <w:tc>
                <w:tcPr>
                  <w:tcW w:w="904" w:type="dxa"/>
                  <w:noWrap w:val="0"/>
                  <w:vAlign w:val="center"/>
                </w:tcPr>
                <w:p w14:paraId="3E32145D">
                  <w:pPr>
                    <w:snapToGrid w:val="0"/>
                    <w:jc w:val="center"/>
                    <w:rPr>
                      <w:rFonts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86.6</w:t>
                  </w:r>
                </w:p>
              </w:tc>
              <w:tc>
                <w:tcPr>
                  <w:tcW w:w="914" w:type="dxa"/>
                  <w:noWrap w:val="0"/>
                  <w:vAlign w:val="center"/>
                </w:tcPr>
                <w:p w14:paraId="334421AE">
                  <w:pPr>
                    <w:snapToGrid w:val="0"/>
                    <w:jc w:val="center"/>
                    <w:rPr>
                      <w:rFonts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1.2</w:t>
                  </w:r>
                </w:p>
              </w:tc>
              <w:tc>
                <w:tcPr>
                  <w:tcW w:w="1116" w:type="dxa"/>
                  <w:noWrap w:val="0"/>
                  <w:vAlign w:val="center"/>
                </w:tcPr>
                <w:p w14:paraId="3423DFD3">
                  <w:pPr>
                    <w:snapToGrid w:val="0"/>
                    <w:jc w:val="center"/>
                    <w:rPr>
                      <w:rFonts w:ascii="Times New Roman" w:hAnsi="Times New Roman" w:eastAsia="宋体" w:cs="Times New Roman"/>
                      <w:bCs/>
                      <w:color w:val="auto"/>
                      <w:sz w:val="18"/>
                      <w:szCs w:val="21"/>
                      <w:highlight w:val="none"/>
                    </w:rPr>
                  </w:pPr>
                  <w:r>
                    <w:rPr>
                      <w:rFonts w:ascii="Times New Roman" w:hAnsi="Times New Roman" w:eastAsia="宋体" w:cs="Times New Roman"/>
                      <w:bCs/>
                      <w:color w:val="auto"/>
                      <w:sz w:val="18"/>
                      <w:szCs w:val="21"/>
                      <w:highlight w:val="none"/>
                    </w:rPr>
                    <w:t>夜间</w:t>
                  </w:r>
                </w:p>
              </w:tc>
              <w:tc>
                <w:tcPr>
                  <w:tcW w:w="1595" w:type="dxa"/>
                  <w:noWrap w:val="0"/>
                  <w:vAlign w:val="center"/>
                </w:tcPr>
                <w:p w14:paraId="0FC040E3">
                  <w:pPr>
                    <w:snapToGrid w:val="0"/>
                    <w:jc w:val="center"/>
                    <w:rPr>
                      <w:rFonts w:hint="default"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42.6</w:t>
                  </w:r>
                </w:p>
              </w:tc>
              <w:tc>
                <w:tcPr>
                  <w:tcW w:w="1595" w:type="dxa"/>
                  <w:noWrap w:val="0"/>
                  <w:vAlign w:val="center"/>
                </w:tcPr>
                <w:p w14:paraId="68A33DD1">
                  <w:pPr>
                    <w:snapToGrid w:val="0"/>
                    <w:jc w:val="center"/>
                    <w:rPr>
                      <w:rFonts w:hint="default"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55</w:t>
                  </w:r>
                </w:p>
              </w:tc>
              <w:tc>
                <w:tcPr>
                  <w:tcW w:w="1355" w:type="dxa"/>
                  <w:noWrap w:val="0"/>
                  <w:vAlign w:val="center"/>
                </w:tcPr>
                <w:p w14:paraId="5D87D419">
                  <w:pPr>
                    <w:snapToGrid w:val="0"/>
                    <w:jc w:val="center"/>
                    <w:rPr>
                      <w:rFonts w:ascii="Times New Roman" w:hAnsi="Times New Roman" w:eastAsia="宋体" w:cs="Times New Roman"/>
                      <w:bCs/>
                      <w:color w:val="auto"/>
                      <w:sz w:val="18"/>
                      <w:szCs w:val="21"/>
                      <w:highlight w:val="none"/>
                    </w:rPr>
                  </w:pPr>
                  <w:r>
                    <w:rPr>
                      <w:rFonts w:ascii="Times New Roman" w:hAnsi="Times New Roman" w:eastAsia="宋体" w:cs="Times New Roman"/>
                      <w:bCs/>
                      <w:color w:val="auto"/>
                      <w:sz w:val="18"/>
                      <w:szCs w:val="21"/>
                      <w:highlight w:val="none"/>
                    </w:rPr>
                    <w:t>达标</w:t>
                  </w:r>
                </w:p>
              </w:tc>
            </w:tr>
            <w:tr w14:paraId="38CCDF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exact"/>
                <w:jc w:val="center"/>
              </w:trPr>
              <w:tc>
                <w:tcPr>
                  <w:tcW w:w="641" w:type="pct"/>
                  <w:vMerge w:val="restart"/>
                  <w:noWrap w:val="0"/>
                  <w:vAlign w:val="center"/>
                </w:tcPr>
                <w:p w14:paraId="25B3F3E5">
                  <w:pPr>
                    <w:snapToGrid w:val="0"/>
                    <w:jc w:val="center"/>
                    <w:rPr>
                      <w:rFonts w:ascii="Times New Roman" w:hAnsi="Times New Roman" w:eastAsia="宋体" w:cs="Times New Roman"/>
                      <w:bCs/>
                      <w:color w:val="auto"/>
                      <w:sz w:val="18"/>
                      <w:szCs w:val="21"/>
                      <w:highlight w:val="none"/>
                    </w:rPr>
                  </w:pPr>
                  <w:r>
                    <w:rPr>
                      <w:rFonts w:ascii="Times New Roman" w:hAnsi="Times New Roman" w:eastAsia="宋体" w:cs="Times New Roman"/>
                      <w:bCs/>
                      <w:color w:val="auto"/>
                      <w:sz w:val="18"/>
                      <w:szCs w:val="21"/>
                      <w:highlight w:val="none"/>
                    </w:rPr>
                    <w:t>北侧</w:t>
                  </w:r>
                </w:p>
              </w:tc>
              <w:tc>
                <w:tcPr>
                  <w:tcW w:w="903" w:type="dxa"/>
                  <w:noWrap w:val="0"/>
                  <w:vAlign w:val="center"/>
                </w:tcPr>
                <w:p w14:paraId="33CD097F">
                  <w:pPr>
                    <w:snapToGrid w:val="0"/>
                    <w:jc w:val="center"/>
                    <w:rPr>
                      <w:rFonts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148.6</w:t>
                  </w:r>
                </w:p>
              </w:tc>
              <w:tc>
                <w:tcPr>
                  <w:tcW w:w="904" w:type="dxa"/>
                  <w:noWrap w:val="0"/>
                  <w:vAlign w:val="center"/>
                </w:tcPr>
                <w:p w14:paraId="1AF81141">
                  <w:pPr>
                    <w:snapToGrid w:val="0"/>
                    <w:jc w:val="center"/>
                    <w:rPr>
                      <w:rFonts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187.4</w:t>
                  </w:r>
                </w:p>
              </w:tc>
              <w:tc>
                <w:tcPr>
                  <w:tcW w:w="914" w:type="dxa"/>
                  <w:noWrap w:val="0"/>
                  <w:vAlign w:val="center"/>
                </w:tcPr>
                <w:p w14:paraId="59541D15">
                  <w:pPr>
                    <w:snapToGrid w:val="0"/>
                    <w:jc w:val="center"/>
                    <w:rPr>
                      <w:rFonts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1.2</w:t>
                  </w:r>
                </w:p>
              </w:tc>
              <w:tc>
                <w:tcPr>
                  <w:tcW w:w="1116" w:type="dxa"/>
                  <w:noWrap w:val="0"/>
                  <w:vAlign w:val="center"/>
                </w:tcPr>
                <w:p w14:paraId="57FB9F0D">
                  <w:pPr>
                    <w:snapToGrid w:val="0"/>
                    <w:jc w:val="center"/>
                    <w:rPr>
                      <w:rFonts w:ascii="Times New Roman" w:hAnsi="Times New Roman" w:eastAsia="宋体" w:cs="Times New Roman"/>
                      <w:bCs/>
                      <w:color w:val="auto"/>
                      <w:sz w:val="18"/>
                      <w:szCs w:val="21"/>
                      <w:highlight w:val="none"/>
                    </w:rPr>
                  </w:pPr>
                  <w:r>
                    <w:rPr>
                      <w:rFonts w:ascii="Times New Roman" w:hAnsi="Times New Roman" w:eastAsia="宋体" w:cs="Times New Roman"/>
                      <w:bCs/>
                      <w:color w:val="auto"/>
                      <w:sz w:val="18"/>
                      <w:szCs w:val="21"/>
                      <w:highlight w:val="none"/>
                    </w:rPr>
                    <w:t>昼间</w:t>
                  </w:r>
                </w:p>
              </w:tc>
              <w:tc>
                <w:tcPr>
                  <w:tcW w:w="1595" w:type="dxa"/>
                  <w:noWrap w:val="0"/>
                  <w:vAlign w:val="center"/>
                </w:tcPr>
                <w:p w14:paraId="1431EE2D">
                  <w:pPr>
                    <w:snapToGrid w:val="0"/>
                    <w:jc w:val="center"/>
                    <w:rPr>
                      <w:rFonts w:hint="default"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43.6</w:t>
                  </w:r>
                </w:p>
              </w:tc>
              <w:tc>
                <w:tcPr>
                  <w:tcW w:w="1595" w:type="dxa"/>
                  <w:noWrap w:val="0"/>
                  <w:vAlign w:val="center"/>
                </w:tcPr>
                <w:p w14:paraId="31B32BFB">
                  <w:pPr>
                    <w:snapToGrid w:val="0"/>
                    <w:jc w:val="center"/>
                    <w:rPr>
                      <w:rFonts w:hint="default"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65</w:t>
                  </w:r>
                </w:p>
              </w:tc>
              <w:tc>
                <w:tcPr>
                  <w:tcW w:w="1355" w:type="dxa"/>
                  <w:noWrap w:val="0"/>
                  <w:vAlign w:val="center"/>
                </w:tcPr>
                <w:p w14:paraId="0EA697C4">
                  <w:pPr>
                    <w:snapToGrid w:val="0"/>
                    <w:jc w:val="center"/>
                    <w:rPr>
                      <w:rFonts w:ascii="Times New Roman" w:hAnsi="Times New Roman" w:eastAsia="宋体" w:cs="Times New Roman"/>
                      <w:bCs/>
                      <w:color w:val="auto"/>
                      <w:sz w:val="18"/>
                      <w:szCs w:val="21"/>
                      <w:highlight w:val="none"/>
                    </w:rPr>
                  </w:pPr>
                  <w:r>
                    <w:rPr>
                      <w:rFonts w:ascii="Times New Roman" w:hAnsi="Times New Roman" w:eastAsia="宋体" w:cs="Times New Roman"/>
                      <w:bCs/>
                      <w:color w:val="auto"/>
                      <w:sz w:val="18"/>
                      <w:szCs w:val="21"/>
                      <w:highlight w:val="none"/>
                    </w:rPr>
                    <w:t>达标</w:t>
                  </w:r>
                </w:p>
              </w:tc>
            </w:tr>
            <w:tr w14:paraId="6B88E7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exact"/>
                <w:jc w:val="center"/>
              </w:trPr>
              <w:tc>
                <w:tcPr>
                  <w:tcW w:w="641" w:type="pct"/>
                  <w:vMerge w:val="continue"/>
                  <w:noWrap w:val="0"/>
                  <w:vAlign w:val="center"/>
                </w:tcPr>
                <w:p w14:paraId="3EF369EE">
                  <w:pPr>
                    <w:snapToGrid w:val="0"/>
                    <w:jc w:val="center"/>
                    <w:rPr>
                      <w:rFonts w:ascii="Times New Roman" w:hAnsi="Times New Roman" w:eastAsia="宋体" w:cs="Times New Roman"/>
                      <w:bCs/>
                      <w:color w:val="auto"/>
                      <w:sz w:val="18"/>
                      <w:szCs w:val="21"/>
                      <w:highlight w:val="none"/>
                    </w:rPr>
                  </w:pPr>
                </w:p>
              </w:tc>
              <w:tc>
                <w:tcPr>
                  <w:tcW w:w="903" w:type="dxa"/>
                  <w:noWrap w:val="0"/>
                  <w:vAlign w:val="center"/>
                </w:tcPr>
                <w:p w14:paraId="3779A9B2">
                  <w:pPr>
                    <w:snapToGrid w:val="0"/>
                    <w:jc w:val="center"/>
                    <w:rPr>
                      <w:rFonts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148.6</w:t>
                  </w:r>
                </w:p>
              </w:tc>
              <w:tc>
                <w:tcPr>
                  <w:tcW w:w="904" w:type="dxa"/>
                  <w:noWrap w:val="0"/>
                  <w:vAlign w:val="center"/>
                </w:tcPr>
                <w:p w14:paraId="012D8D36">
                  <w:pPr>
                    <w:snapToGrid w:val="0"/>
                    <w:jc w:val="center"/>
                    <w:rPr>
                      <w:rFonts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187.4</w:t>
                  </w:r>
                </w:p>
              </w:tc>
              <w:tc>
                <w:tcPr>
                  <w:tcW w:w="914" w:type="dxa"/>
                  <w:noWrap w:val="0"/>
                  <w:vAlign w:val="center"/>
                </w:tcPr>
                <w:p w14:paraId="229B76C5">
                  <w:pPr>
                    <w:snapToGrid w:val="0"/>
                    <w:jc w:val="center"/>
                    <w:rPr>
                      <w:rFonts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1.2</w:t>
                  </w:r>
                </w:p>
              </w:tc>
              <w:tc>
                <w:tcPr>
                  <w:tcW w:w="1116" w:type="dxa"/>
                  <w:noWrap w:val="0"/>
                  <w:vAlign w:val="center"/>
                </w:tcPr>
                <w:p w14:paraId="103E4C77">
                  <w:pPr>
                    <w:snapToGrid w:val="0"/>
                    <w:jc w:val="center"/>
                    <w:rPr>
                      <w:rFonts w:ascii="Times New Roman" w:hAnsi="Times New Roman" w:eastAsia="宋体" w:cs="Times New Roman"/>
                      <w:bCs/>
                      <w:color w:val="auto"/>
                      <w:sz w:val="18"/>
                      <w:szCs w:val="21"/>
                      <w:highlight w:val="none"/>
                    </w:rPr>
                  </w:pPr>
                  <w:r>
                    <w:rPr>
                      <w:rFonts w:ascii="Times New Roman" w:hAnsi="Times New Roman" w:eastAsia="宋体" w:cs="Times New Roman"/>
                      <w:bCs/>
                      <w:color w:val="auto"/>
                      <w:sz w:val="18"/>
                      <w:szCs w:val="21"/>
                      <w:highlight w:val="none"/>
                    </w:rPr>
                    <w:t>夜间</w:t>
                  </w:r>
                </w:p>
              </w:tc>
              <w:tc>
                <w:tcPr>
                  <w:tcW w:w="1595" w:type="dxa"/>
                  <w:noWrap w:val="0"/>
                  <w:vAlign w:val="center"/>
                </w:tcPr>
                <w:p w14:paraId="103FF4AD">
                  <w:pPr>
                    <w:snapToGrid w:val="0"/>
                    <w:jc w:val="center"/>
                    <w:rPr>
                      <w:rFonts w:hint="default"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43.6</w:t>
                  </w:r>
                </w:p>
              </w:tc>
              <w:tc>
                <w:tcPr>
                  <w:tcW w:w="1595" w:type="dxa"/>
                  <w:noWrap w:val="0"/>
                  <w:vAlign w:val="center"/>
                </w:tcPr>
                <w:p w14:paraId="440293ED">
                  <w:pPr>
                    <w:snapToGrid w:val="0"/>
                    <w:jc w:val="center"/>
                    <w:rPr>
                      <w:rFonts w:hint="default" w:ascii="Times New Roman" w:hAnsi="Times New Roman" w:eastAsia="宋体" w:cs="Times New Roman"/>
                      <w:bCs/>
                      <w:color w:val="auto"/>
                      <w:sz w:val="18"/>
                      <w:szCs w:val="21"/>
                      <w:highlight w:val="none"/>
                      <w:lang w:val="en-US" w:eastAsia="zh-CN"/>
                    </w:rPr>
                  </w:pPr>
                  <w:r>
                    <w:rPr>
                      <w:rFonts w:ascii="Times New Roman" w:hAnsi="Times New Roman" w:eastAsia="宋体" w:cs="Times New Roman"/>
                      <w:bCs/>
                      <w:color w:val="auto"/>
                      <w:sz w:val="18"/>
                      <w:szCs w:val="21"/>
                      <w:highlight w:val="none"/>
                    </w:rPr>
                    <w:t>55</w:t>
                  </w:r>
                </w:p>
              </w:tc>
              <w:tc>
                <w:tcPr>
                  <w:tcW w:w="1355" w:type="dxa"/>
                  <w:noWrap w:val="0"/>
                  <w:vAlign w:val="center"/>
                </w:tcPr>
                <w:p w14:paraId="49FDA9A8">
                  <w:pPr>
                    <w:snapToGrid w:val="0"/>
                    <w:jc w:val="center"/>
                    <w:rPr>
                      <w:rFonts w:ascii="Times New Roman" w:hAnsi="Times New Roman" w:eastAsia="宋体" w:cs="Times New Roman"/>
                      <w:bCs/>
                      <w:color w:val="auto"/>
                      <w:sz w:val="18"/>
                      <w:szCs w:val="21"/>
                      <w:highlight w:val="none"/>
                    </w:rPr>
                  </w:pPr>
                  <w:r>
                    <w:rPr>
                      <w:rFonts w:ascii="Times New Roman" w:hAnsi="Times New Roman" w:eastAsia="宋体" w:cs="Times New Roman"/>
                      <w:bCs/>
                      <w:color w:val="auto"/>
                      <w:sz w:val="18"/>
                      <w:szCs w:val="21"/>
                      <w:highlight w:val="none"/>
                    </w:rPr>
                    <w:t>达标</w:t>
                  </w:r>
                </w:p>
              </w:tc>
            </w:tr>
          </w:tbl>
          <w:p w14:paraId="189FA6BA">
            <w:pPr>
              <w:snapToGrid w:val="0"/>
              <w:spacing w:line="360" w:lineRule="auto"/>
              <w:ind w:firstLine="48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由预测结果</w:t>
            </w:r>
            <w:r>
              <w:rPr>
                <w:rFonts w:hint="eastAsia" w:ascii="Times New Roman" w:hAnsi="Times New Roman" w:cs="Times New Roman"/>
                <w:color w:val="auto"/>
                <w:sz w:val="21"/>
                <w:szCs w:val="21"/>
                <w:lang w:val="en-US" w:eastAsia="zh-CN"/>
              </w:rPr>
              <w:t>可</w:t>
            </w:r>
            <w:r>
              <w:rPr>
                <w:rFonts w:hint="default" w:ascii="Times New Roman" w:hAnsi="Times New Roman" w:cs="Times New Roman"/>
                <w:color w:val="auto"/>
                <w:sz w:val="21"/>
                <w:szCs w:val="21"/>
              </w:rPr>
              <w:t>知，项目各厂界噪声贡献值可满足《工业企业厂界环境噪声排放标准》（GB12348-2008）中的</w:t>
            </w:r>
            <w:r>
              <w:rPr>
                <w:rFonts w:hint="eastAsia" w:cs="Times New Roman"/>
                <w:color w:val="auto"/>
                <w:sz w:val="21"/>
                <w:szCs w:val="21"/>
                <w:lang w:val="en-US" w:eastAsia="zh-CN"/>
              </w:rPr>
              <w:t>3</w:t>
            </w:r>
            <w:r>
              <w:rPr>
                <w:rFonts w:hint="default" w:ascii="Times New Roman" w:hAnsi="Times New Roman" w:cs="Times New Roman"/>
                <w:color w:val="auto"/>
                <w:sz w:val="21"/>
                <w:szCs w:val="21"/>
              </w:rPr>
              <w:t>类标准要求。项目周边200米范围内无敏感目标，项目噪声对周围环境影响较小。</w:t>
            </w:r>
          </w:p>
          <w:p w14:paraId="45031C52">
            <w:pPr>
              <w:spacing w:line="353" w:lineRule="auto"/>
              <w:ind w:firstLine="422" w:firstLineChars="200"/>
              <w:jc w:val="left"/>
              <w:rPr>
                <w:rFonts w:ascii="Times New Roman" w:hAnsi="Times New Roman"/>
                <w:b/>
                <w:color w:val="auto"/>
                <w:sz w:val="21"/>
                <w:szCs w:val="21"/>
                <w:highlight w:val="none"/>
              </w:rPr>
            </w:pPr>
            <w:r>
              <w:rPr>
                <w:rFonts w:ascii="Times New Roman" w:hAnsi="Times New Roman"/>
                <w:b/>
                <w:color w:val="auto"/>
                <w:sz w:val="21"/>
                <w:szCs w:val="21"/>
                <w:highlight w:val="none"/>
              </w:rPr>
              <w:t>3、监测要求</w:t>
            </w:r>
          </w:p>
          <w:p w14:paraId="24E0787D">
            <w:pPr>
              <w:pStyle w:val="17"/>
              <w:spacing w:line="353" w:lineRule="auto"/>
              <w:ind w:firstLine="420" w:firstLineChars="200"/>
              <w:jc w:val="both"/>
              <w:rPr>
                <w:rFonts w:ascii="Times New Roman" w:hAnsi="Times New Roman"/>
                <w:color w:val="auto"/>
                <w:sz w:val="24"/>
                <w:szCs w:val="24"/>
                <w:highlight w:val="none"/>
              </w:rPr>
            </w:pPr>
            <w:r>
              <w:rPr>
                <w:rFonts w:hint="eastAsia" w:ascii="Times New Roman" w:hAnsi="Times New Roman" w:eastAsia="宋体"/>
                <w:color w:val="auto"/>
                <w:sz w:val="21"/>
                <w:szCs w:val="21"/>
                <w:highlight w:val="none"/>
                <w:lang w:val="en-US" w:eastAsia="zh-CN"/>
              </w:rPr>
              <w:t>根据《排污单位自行监测技术指南总则》（HJ819-2017）、《排污许可证申请与核发技术规范钢铁工</w:t>
            </w:r>
            <w:r>
              <w:rPr>
                <w:rFonts w:hint="default" w:ascii="Times New Roman" w:hAnsi="Times New Roman" w:eastAsia="宋体"/>
                <w:color w:val="auto"/>
                <w:sz w:val="21"/>
                <w:szCs w:val="21"/>
                <w:highlight w:val="none"/>
                <w:lang w:val="en-US" w:eastAsia="zh-CN"/>
              </w:rPr>
              <w:t>业》（HJ846-2017）</w:t>
            </w:r>
            <w:r>
              <w:rPr>
                <w:rFonts w:hint="eastAsia" w:ascii="Times New Roman" w:hAnsi="Times New Roman" w:eastAsia="宋体"/>
                <w:color w:val="auto"/>
                <w:sz w:val="21"/>
                <w:szCs w:val="21"/>
                <w:highlight w:val="none"/>
                <w:lang w:val="en-US" w:eastAsia="zh-CN"/>
              </w:rPr>
              <w:t>、《排污单位自行监测技术指南</w:t>
            </w:r>
            <w:r>
              <w:rPr>
                <w:rFonts w:hint="eastAsia" w:ascii="Times New Roman" w:hAnsi="Times New Roman"/>
                <w:color w:val="auto"/>
                <w:sz w:val="21"/>
                <w:szCs w:val="21"/>
                <w:highlight w:val="none"/>
                <w:lang w:val="en-US" w:eastAsia="zh-CN"/>
              </w:rPr>
              <w:t xml:space="preserve">  </w:t>
            </w:r>
            <w:r>
              <w:rPr>
                <w:rFonts w:hint="eastAsia" w:ascii="Times New Roman" w:hAnsi="Times New Roman" w:eastAsia="宋体"/>
                <w:color w:val="auto"/>
                <w:sz w:val="21"/>
                <w:szCs w:val="21"/>
                <w:highlight w:val="none"/>
                <w:lang w:val="en-US" w:eastAsia="zh-CN"/>
              </w:rPr>
              <w:t>钢铁工业及炼焦化学工业》（</w:t>
            </w:r>
            <w:r>
              <w:rPr>
                <w:rFonts w:hint="default" w:ascii="Times New Roman" w:hAnsi="Times New Roman" w:eastAsia="宋体"/>
                <w:color w:val="auto"/>
                <w:sz w:val="21"/>
                <w:szCs w:val="21"/>
                <w:highlight w:val="none"/>
                <w:lang w:val="en-US" w:eastAsia="zh-CN"/>
              </w:rPr>
              <w:t>HJ878-2017</w:t>
            </w:r>
            <w:r>
              <w:rPr>
                <w:rFonts w:hint="eastAsia" w:ascii="Times New Roman" w:hAnsi="Times New Roman" w:eastAsia="宋体"/>
                <w:color w:val="auto"/>
                <w:sz w:val="21"/>
                <w:szCs w:val="21"/>
                <w:highlight w:val="none"/>
                <w:lang w:val="en-US" w:eastAsia="zh-CN"/>
              </w:rPr>
              <w:t>）</w:t>
            </w:r>
            <w:r>
              <w:rPr>
                <w:rFonts w:hint="eastAsia" w:ascii="Times New Roman" w:hAnsi="Times New Roman"/>
                <w:color w:val="auto"/>
                <w:sz w:val="21"/>
                <w:szCs w:val="21"/>
                <w:highlight w:val="none"/>
                <w:lang w:val="en-US" w:eastAsia="zh-CN"/>
              </w:rPr>
              <w:t>等</w:t>
            </w:r>
            <w:r>
              <w:rPr>
                <w:rFonts w:hint="default" w:ascii="Times New Roman" w:hAnsi="Times New Roman" w:cs="Times New Roman"/>
                <w:color w:val="auto"/>
                <w:kern w:val="0"/>
                <w:sz w:val="21"/>
                <w:szCs w:val="18"/>
                <w:highlight w:val="none"/>
              </w:rPr>
              <w:t>文件</w:t>
            </w:r>
            <w:r>
              <w:rPr>
                <w:rFonts w:hint="default" w:ascii="Times New Roman" w:hAnsi="Times New Roman" w:cs="Times New Roman"/>
                <w:color w:val="auto"/>
                <w:sz w:val="21"/>
                <w:szCs w:val="21"/>
                <w:highlight w:val="none"/>
              </w:rPr>
              <w:t>的相</w:t>
            </w:r>
            <w:r>
              <w:rPr>
                <w:rFonts w:ascii="Times New Roman" w:hAnsi="Times New Roman"/>
                <w:color w:val="auto"/>
                <w:sz w:val="21"/>
                <w:szCs w:val="21"/>
                <w:highlight w:val="none"/>
              </w:rPr>
              <w:t>关</w:t>
            </w:r>
            <w:r>
              <w:rPr>
                <w:rFonts w:hint="eastAsia" w:ascii="Times New Roman" w:hAnsi="Times New Roman"/>
                <w:color w:val="auto"/>
                <w:sz w:val="21"/>
                <w:szCs w:val="21"/>
                <w:highlight w:val="none"/>
                <w:lang w:val="en-US" w:eastAsia="zh-CN"/>
              </w:rPr>
              <w:t>要求</w:t>
            </w:r>
            <w:r>
              <w:rPr>
                <w:rFonts w:ascii="Times New Roman" w:hAnsi="Times New Roman"/>
                <w:color w:val="auto"/>
                <w:sz w:val="21"/>
                <w:szCs w:val="21"/>
                <w:highlight w:val="none"/>
              </w:rPr>
              <w:t>制定噪声监测计划，监测计划见下表。</w:t>
            </w:r>
          </w:p>
          <w:p w14:paraId="34D08EC6">
            <w:pPr>
              <w:spacing w:line="360" w:lineRule="auto"/>
              <w:jc w:val="center"/>
              <w:rPr>
                <w:rFonts w:ascii="Times New Roman" w:hAnsi="Times New Roman" w:eastAsia="黑体"/>
                <w:bCs/>
                <w:color w:val="auto"/>
                <w:spacing w:val="2"/>
                <w:sz w:val="24"/>
                <w:highlight w:val="none"/>
              </w:rPr>
            </w:pPr>
            <w:r>
              <w:rPr>
                <w:rFonts w:ascii="Times New Roman" w:hAnsi="Times New Roman" w:eastAsia="黑体"/>
                <w:bCs/>
                <w:color w:val="auto"/>
                <w:spacing w:val="2"/>
                <w:sz w:val="21"/>
                <w:szCs w:val="21"/>
                <w:highlight w:val="none"/>
              </w:rPr>
              <w:t>表4-</w:t>
            </w:r>
            <w:r>
              <w:rPr>
                <w:rFonts w:hint="eastAsia" w:eastAsia="黑体"/>
                <w:bCs/>
                <w:color w:val="auto"/>
                <w:spacing w:val="2"/>
                <w:sz w:val="21"/>
                <w:szCs w:val="21"/>
                <w:highlight w:val="none"/>
                <w:lang w:val="en-US" w:eastAsia="zh-CN"/>
              </w:rPr>
              <w:t xml:space="preserve">23  </w:t>
            </w:r>
            <w:r>
              <w:rPr>
                <w:rFonts w:ascii="Times New Roman" w:hAnsi="Times New Roman" w:eastAsia="黑体"/>
                <w:bCs/>
                <w:color w:val="auto"/>
                <w:spacing w:val="2"/>
                <w:sz w:val="21"/>
                <w:szCs w:val="21"/>
                <w:highlight w:val="none"/>
              </w:rPr>
              <w:t>噪声监测工作计划表</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52"/>
              <w:gridCol w:w="1146"/>
              <w:gridCol w:w="1856"/>
              <w:gridCol w:w="3648"/>
            </w:tblGrid>
            <w:tr w14:paraId="31F2C2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5000" w:type="pct"/>
                  <w:gridSpan w:val="4"/>
                  <w:noWrap w:val="0"/>
                  <w:vAlign w:val="center"/>
                </w:tcPr>
                <w:p w14:paraId="4BC68E75">
                  <w:pPr>
                    <w:jc w:val="center"/>
                    <w:rPr>
                      <w:rFonts w:ascii="Times New Roman" w:hAnsi="Times New Roman"/>
                      <w:b/>
                      <w:color w:val="auto"/>
                      <w:sz w:val="18"/>
                      <w:szCs w:val="18"/>
                      <w:highlight w:val="none"/>
                    </w:rPr>
                  </w:pPr>
                  <w:r>
                    <w:rPr>
                      <w:rFonts w:ascii="Times New Roman" w:hAnsi="Times New Roman"/>
                      <w:b/>
                      <w:color w:val="auto"/>
                      <w:sz w:val="18"/>
                      <w:szCs w:val="18"/>
                      <w:highlight w:val="none"/>
                    </w:rPr>
                    <w:t>噪声监测计划</w:t>
                  </w:r>
                </w:p>
              </w:tc>
            </w:tr>
            <w:tr w14:paraId="5FD284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95" w:type="pct"/>
                  <w:noWrap w:val="0"/>
                  <w:vAlign w:val="center"/>
                </w:tcPr>
                <w:p w14:paraId="50BA0FC7">
                  <w:pPr>
                    <w:jc w:val="center"/>
                    <w:rPr>
                      <w:rFonts w:ascii="Times New Roman" w:hAnsi="Times New Roman"/>
                      <w:color w:val="auto"/>
                      <w:sz w:val="18"/>
                      <w:szCs w:val="18"/>
                      <w:highlight w:val="none"/>
                    </w:rPr>
                  </w:pPr>
                  <w:r>
                    <w:rPr>
                      <w:rFonts w:ascii="Times New Roman" w:hAnsi="Times New Roman"/>
                      <w:color w:val="auto"/>
                      <w:sz w:val="18"/>
                      <w:szCs w:val="18"/>
                      <w:highlight w:val="none"/>
                    </w:rPr>
                    <w:t>监测点位</w:t>
                  </w:r>
                </w:p>
              </w:tc>
              <w:tc>
                <w:tcPr>
                  <w:tcW w:w="690" w:type="pct"/>
                  <w:noWrap w:val="0"/>
                  <w:vAlign w:val="center"/>
                </w:tcPr>
                <w:p w14:paraId="33EE0226">
                  <w:pPr>
                    <w:jc w:val="center"/>
                    <w:rPr>
                      <w:rFonts w:ascii="Times New Roman" w:hAnsi="Times New Roman"/>
                      <w:color w:val="auto"/>
                      <w:sz w:val="18"/>
                      <w:szCs w:val="18"/>
                      <w:highlight w:val="none"/>
                      <w:vertAlign w:val="subscript"/>
                    </w:rPr>
                  </w:pPr>
                  <w:r>
                    <w:rPr>
                      <w:rFonts w:ascii="Times New Roman" w:hAnsi="Times New Roman"/>
                      <w:color w:val="auto"/>
                      <w:sz w:val="18"/>
                      <w:szCs w:val="18"/>
                      <w:highlight w:val="none"/>
                    </w:rPr>
                    <w:t>监测指标</w:t>
                  </w:r>
                </w:p>
              </w:tc>
              <w:tc>
                <w:tcPr>
                  <w:tcW w:w="1118" w:type="pct"/>
                  <w:noWrap w:val="0"/>
                  <w:vAlign w:val="center"/>
                </w:tcPr>
                <w:p w14:paraId="7B8CADFA">
                  <w:pPr>
                    <w:jc w:val="center"/>
                    <w:rPr>
                      <w:rFonts w:ascii="Times New Roman" w:hAnsi="Times New Roman"/>
                      <w:color w:val="auto"/>
                      <w:sz w:val="18"/>
                      <w:szCs w:val="18"/>
                      <w:highlight w:val="none"/>
                    </w:rPr>
                  </w:pPr>
                  <w:r>
                    <w:rPr>
                      <w:rFonts w:ascii="Times New Roman" w:hAnsi="Times New Roman"/>
                      <w:color w:val="auto"/>
                      <w:sz w:val="18"/>
                      <w:szCs w:val="18"/>
                      <w:highlight w:val="none"/>
                    </w:rPr>
                    <w:t>监测频次</w:t>
                  </w:r>
                </w:p>
              </w:tc>
              <w:tc>
                <w:tcPr>
                  <w:tcW w:w="2195" w:type="pct"/>
                  <w:noWrap w:val="0"/>
                  <w:vAlign w:val="center"/>
                </w:tcPr>
                <w:p w14:paraId="181E6E37">
                  <w:pPr>
                    <w:jc w:val="center"/>
                    <w:rPr>
                      <w:rFonts w:ascii="Times New Roman" w:hAnsi="Times New Roman"/>
                      <w:color w:val="auto"/>
                      <w:sz w:val="18"/>
                      <w:szCs w:val="18"/>
                      <w:highlight w:val="none"/>
                    </w:rPr>
                  </w:pPr>
                  <w:r>
                    <w:rPr>
                      <w:rFonts w:ascii="Times New Roman" w:hAnsi="Times New Roman"/>
                      <w:color w:val="auto"/>
                      <w:sz w:val="18"/>
                      <w:szCs w:val="18"/>
                      <w:highlight w:val="none"/>
                    </w:rPr>
                    <w:t>执行排放标准</w:t>
                  </w:r>
                </w:p>
              </w:tc>
            </w:tr>
            <w:tr w14:paraId="2FD61B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95" w:type="pct"/>
                  <w:noWrap w:val="0"/>
                  <w:vAlign w:val="center"/>
                </w:tcPr>
                <w:p w14:paraId="3AD103E2">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厂界外1m</w:t>
                  </w:r>
                </w:p>
              </w:tc>
              <w:tc>
                <w:tcPr>
                  <w:tcW w:w="690" w:type="pct"/>
                  <w:noWrap w:val="0"/>
                  <w:vAlign w:val="center"/>
                </w:tcPr>
                <w:p w14:paraId="66BA24E1">
                  <w:pPr>
                    <w:jc w:val="center"/>
                    <w:rPr>
                      <w:rFonts w:hint="eastAsia" w:ascii="Times New Roman" w:hAnsi="Times New Roman" w:eastAsia="宋体"/>
                      <w:color w:val="auto"/>
                      <w:sz w:val="18"/>
                      <w:szCs w:val="18"/>
                      <w:highlight w:val="none"/>
                      <w:lang w:eastAsia="zh-CN"/>
                    </w:rPr>
                  </w:pPr>
                  <w:r>
                    <w:rPr>
                      <w:rFonts w:ascii="Times New Roman" w:hAnsi="Times New Roman"/>
                      <w:color w:val="auto"/>
                      <w:sz w:val="18"/>
                      <w:szCs w:val="18"/>
                      <w:highlight w:val="none"/>
                    </w:rPr>
                    <w:t>Leq</w:t>
                  </w:r>
                  <w:r>
                    <w:rPr>
                      <w:rFonts w:hint="eastAsia"/>
                      <w:color w:val="auto"/>
                      <w:sz w:val="18"/>
                      <w:szCs w:val="18"/>
                      <w:highlight w:val="none"/>
                      <w:lang w:eastAsia="zh-CN"/>
                    </w:rPr>
                    <w:t>（</w:t>
                  </w:r>
                  <w:r>
                    <w:rPr>
                      <w:rFonts w:hint="eastAsia"/>
                      <w:color w:val="auto"/>
                      <w:sz w:val="18"/>
                      <w:szCs w:val="18"/>
                      <w:highlight w:val="none"/>
                      <w:lang w:val="en-US" w:eastAsia="zh-CN"/>
                    </w:rPr>
                    <w:t>A</w:t>
                  </w:r>
                  <w:r>
                    <w:rPr>
                      <w:rFonts w:hint="eastAsia"/>
                      <w:color w:val="auto"/>
                      <w:sz w:val="18"/>
                      <w:szCs w:val="18"/>
                      <w:highlight w:val="none"/>
                      <w:lang w:eastAsia="zh-CN"/>
                    </w:rPr>
                    <w:t>）</w:t>
                  </w:r>
                </w:p>
              </w:tc>
              <w:tc>
                <w:tcPr>
                  <w:tcW w:w="1118" w:type="pct"/>
                  <w:noWrap w:val="0"/>
                  <w:vAlign w:val="center"/>
                </w:tcPr>
                <w:p w14:paraId="44A393F7">
                  <w:pPr>
                    <w:jc w:val="center"/>
                    <w:rPr>
                      <w:rFonts w:hint="default" w:ascii="Times New Roman" w:hAnsi="Times New Roman" w:eastAsia="宋体"/>
                      <w:color w:val="auto"/>
                      <w:sz w:val="18"/>
                      <w:szCs w:val="18"/>
                      <w:highlight w:val="none"/>
                      <w:lang w:val="en-US" w:eastAsia="zh-CN"/>
                    </w:rPr>
                  </w:pPr>
                  <w:r>
                    <w:rPr>
                      <w:rFonts w:ascii="Times New Roman" w:hAnsi="Times New Roman"/>
                      <w:color w:val="auto"/>
                      <w:sz w:val="18"/>
                      <w:szCs w:val="18"/>
                      <w:highlight w:val="none"/>
                    </w:rPr>
                    <w:t>1次/季度</w:t>
                  </w:r>
                  <w:r>
                    <w:rPr>
                      <w:rFonts w:hint="eastAsia"/>
                      <w:color w:val="auto"/>
                      <w:lang w:eastAsia="zh-CN"/>
                    </w:rPr>
                    <w:t>，</w:t>
                  </w:r>
                  <w:r>
                    <w:rPr>
                      <w:rFonts w:hint="eastAsia" w:ascii="Times New Roman" w:hAnsi="Times New Roman"/>
                      <w:color w:val="auto"/>
                      <w:sz w:val="18"/>
                      <w:szCs w:val="18"/>
                      <w:highlight w:val="none"/>
                      <w:lang w:val="en-US" w:eastAsia="zh-CN"/>
                    </w:rPr>
                    <w:t>每次昼夜各</w:t>
                  </w:r>
                  <w:r>
                    <w:rPr>
                      <w:rFonts w:hint="eastAsia"/>
                      <w:color w:val="auto"/>
                      <w:sz w:val="18"/>
                      <w:szCs w:val="18"/>
                      <w:highlight w:val="none"/>
                      <w:lang w:val="en-US" w:eastAsia="zh-CN"/>
                    </w:rPr>
                    <w:t>监测</w:t>
                  </w:r>
                  <w:r>
                    <w:rPr>
                      <w:rFonts w:hint="eastAsia" w:ascii="Times New Roman" w:hAnsi="Times New Roman"/>
                      <w:color w:val="auto"/>
                      <w:sz w:val="18"/>
                      <w:szCs w:val="18"/>
                      <w:highlight w:val="none"/>
                      <w:lang w:val="en-US" w:eastAsia="zh-CN"/>
                    </w:rPr>
                    <w:t>一次</w:t>
                  </w:r>
                </w:p>
              </w:tc>
              <w:tc>
                <w:tcPr>
                  <w:tcW w:w="2195" w:type="pct"/>
                  <w:noWrap w:val="0"/>
                  <w:vAlign w:val="center"/>
                </w:tcPr>
                <w:p w14:paraId="4F04F61C">
                  <w:pPr>
                    <w:jc w:val="center"/>
                    <w:rPr>
                      <w:rFonts w:ascii="Times New Roman" w:hAnsi="Times New Roman"/>
                      <w:color w:val="auto"/>
                      <w:sz w:val="18"/>
                      <w:szCs w:val="18"/>
                      <w:highlight w:val="none"/>
                    </w:rPr>
                  </w:pPr>
                  <w:r>
                    <w:rPr>
                      <w:rFonts w:ascii="Times New Roman" w:hAnsi="Times New Roman"/>
                      <w:color w:val="auto"/>
                      <w:sz w:val="18"/>
                      <w:szCs w:val="18"/>
                      <w:highlight w:val="none"/>
                    </w:rPr>
                    <w:t>《工业企业厂界环境噪声排放标准》（GB12348-2008）3类标准</w:t>
                  </w:r>
                </w:p>
              </w:tc>
            </w:tr>
          </w:tbl>
          <w:p w14:paraId="4BCADAB8">
            <w:pPr>
              <w:pStyle w:val="155"/>
              <w:keepNext w:val="0"/>
              <w:keepLines w:val="0"/>
              <w:pageBreakBefore w:val="0"/>
              <w:widowControl w:val="0"/>
              <w:kinsoku/>
              <w:wordWrap/>
              <w:overflowPunct/>
              <w:topLinePunct w:val="0"/>
              <w:autoSpaceDE/>
              <w:autoSpaceDN/>
              <w:bidi w:val="0"/>
              <w:adjustRightInd/>
              <w:snapToGrid/>
              <w:spacing w:line="360" w:lineRule="auto"/>
              <w:ind w:right="0" w:firstLine="420" w:firstLineChars="200"/>
              <w:jc w:val="left"/>
              <w:textAlignment w:val="auto"/>
              <w:rPr>
                <w:rFonts w:hint="default" w:ascii="Times New Roman" w:hAnsi="Times New Roman" w:eastAsia="Times New Roman" w:cs="Times New Roman"/>
                <w:b/>
                <w:bCs/>
                <w:color w:val="auto"/>
                <w:kern w:val="0"/>
                <w:sz w:val="21"/>
                <w:szCs w:val="21"/>
                <w:highlight w:val="none"/>
                <w:lang w:val="en-US" w:eastAsia="zh-CN" w:bidi="ar-SA"/>
              </w:rPr>
            </w:pPr>
            <w:r>
              <w:rPr>
                <w:rFonts w:hint="eastAsia" w:ascii="Times New Roman" w:hAnsi="Times New Roman" w:eastAsia="Times New Roman" w:cs="Times New Roman"/>
                <w:b/>
                <w:bCs/>
                <w:color w:val="auto"/>
                <w:kern w:val="0"/>
                <w:sz w:val="21"/>
                <w:szCs w:val="21"/>
                <w:highlight w:val="none"/>
                <w:lang w:val="en-US" w:eastAsia="zh-CN" w:bidi="ar-SA"/>
              </w:rPr>
              <w:t>四、</w:t>
            </w:r>
            <w:r>
              <w:rPr>
                <w:rFonts w:hint="default" w:ascii="Times New Roman" w:hAnsi="Times New Roman" w:eastAsia="Times New Roman" w:cs="Times New Roman"/>
                <w:b/>
                <w:bCs/>
                <w:color w:val="auto"/>
                <w:kern w:val="0"/>
                <w:sz w:val="21"/>
                <w:szCs w:val="21"/>
                <w:highlight w:val="none"/>
                <w:lang w:val="en-US" w:eastAsia="zh-CN" w:bidi="ar-SA"/>
              </w:rPr>
              <w:t>固体</w:t>
            </w:r>
            <w:r>
              <w:rPr>
                <w:rFonts w:hint="eastAsia" w:ascii="Times New Roman" w:hAnsi="Times New Roman" w:eastAsia="Times New Roman" w:cs="Times New Roman"/>
                <w:b/>
                <w:bCs/>
                <w:color w:val="auto"/>
                <w:kern w:val="0"/>
                <w:sz w:val="21"/>
                <w:szCs w:val="21"/>
                <w:highlight w:val="none"/>
                <w:lang w:val="en-US" w:eastAsia="zh-CN" w:bidi="ar-SA"/>
              </w:rPr>
              <w:t>废物</w:t>
            </w:r>
          </w:p>
          <w:p w14:paraId="797C1B1B">
            <w:pPr>
              <w:pStyle w:val="17"/>
              <w:spacing w:line="355" w:lineRule="auto"/>
              <w:ind w:right="261" w:firstLine="422" w:firstLineChars="200"/>
              <w:jc w:val="left"/>
              <w:rPr>
                <w:rFonts w:ascii="Times New Roman" w:hAnsi="Times New Roman"/>
                <w:b/>
                <w:color w:val="auto"/>
                <w:sz w:val="21"/>
                <w:szCs w:val="21"/>
                <w:highlight w:val="none"/>
              </w:rPr>
            </w:pPr>
            <w:r>
              <w:rPr>
                <w:rFonts w:ascii="Times New Roman" w:hAnsi="Times New Roman"/>
                <w:b/>
                <w:color w:val="auto"/>
                <w:sz w:val="21"/>
                <w:szCs w:val="21"/>
                <w:highlight w:val="none"/>
              </w:rPr>
              <w:t>1、固废产生及处置情况</w:t>
            </w:r>
          </w:p>
          <w:p w14:paraId="25113C08">
            <w:pPr>
              <w:pStyle w:val="226"/>
              <w:spacing w:line="360" w:lineRule="auto"/>
              <w:ind w:firstLine="420" w:firstLineChars="200"/>
              <w:jc w:val="both"/>
              <w:rPr>
                <w:rFonts w:ascii="Times New Roman" w:hAnsi="Times New Roman"/>
                <w:color w:val="auto"/>
                <w:sz w:val="21"/>
                <w:szCs w:val="21"/>
                <w:highlight w:val="none"/>
              </w:rPr>
            </w:pPr>
            <w:bookmarkStart w:id="14" w:name="_Hlk112829166"/>
            <w:r>
              <w:rPr>
                <w:rFonts w:ascii="Times New Roman" w:hAnsi="Times New Roman"/>
                <w:color w:val="auto"/>
                <w:sz w:val="21"/>
                <w:szCs w:val="21"/>
                <w:highlight w:val="none"/>
              </w:rPr>
              <w:t>本项目固废主要为一般工业固废</w:t>
            </w:r>
            <w:r>
              <w:rPr>
                <w:rFonts w:hint="eastAsia" w:ascii="Times New Roman" w:hAnsi="Times New Roman"/>
                <w:color w:val="auto"/>
                <w:sz w:val="21"/>
                <w:szCs w:val="21"/>
                <w:highlight w:val="none"/>
              </w:rPr>
              <w:t>、</w:t>
            </w:r>
            <w:r>
              <w:rPr>
                <w:rFonts w:ascii="Times New Roman" w:hAnsi="Times New Roman"/>
                <w:color w:val="auto"/>
                <w:sz w:val="21"/>
                <w:szCs w:val="21"/>
                <w:highlight w:val="none"/>
              </w:rPr>
              <w:t>危险废物</w:t>
            </w:r>
            <w:r>
              <w:rPr>
                <w:rFonts w:hint="eastAsia"/>
                <w:color w:val="auto"/>
                <w:sz w:val="21"/>
                <w:szCs w:val="21"/>
                <w:highlight w:val="none"/>
                <w:lang w:eastAsia="zh-CN"/>
              </w:rPr>
              <w:t>、</w:t>
            </w:r>
            <w:r>
              <w:rPr>
                <w:rFonts w:hint="eastAsia"/>
                <w:color w:val="auto"/>
                <w:sz w:val="21"/>
                <w:szCs w:val="21"/>
                <w:highlight w:val="none"/>
                <w:lang w:val="en-US" w:eastAsia="zh-CN"/>
              </w:rPr>
              <w:t>生活垃圾</w:t>
            </w:r>
            <w:r>
              <w:rPr>
                <w:rFonts w:ascii="Times New Roman" w:hAnsi="Times New Roman"/>
                <w:color w:val="auto"/>
                <w:sz w:val="21"/>
                <w:szCs w:val="21"/>
                <w:highlight w:val="none"/>
              </w:rPr>
              <w:t>。</w:t>
            </w:r>
          </w:p>
          <w:p w14:paraId="6D8E2A48">
            <w:pPr>
              <w:pStyle w:val="226"/>
              <w:spacing w:line="360" w:lineRule="auto"/>
              <w:ind w:firstLine="420" w:firstLineChars="200"/>
              <w:jc w:val="both"/>
              <w:rPr>
                <w:rFonts w:ascii="Times New Roman" w:hAnsi="Times New Roman"/>
                <w:color w:val="auto"/>
                <w:sz w:val="21"/>
                <w:szCs w:val="21"/>
                <w:highlight w:val="none"/>
              </w:rPr>
            </w:pPr>
            <w:r>
              <w:rPr>
                <w:rFonts w:ascii="Times New Roman" w:hAnsi="Times New Roman"/>
                <w:color w:val="auto"/>
                <w:sz w:val="21"/>
                <w:szCs w:val="21"/>
                <w:highlight w:val="none"/>
              </w:rPr>
              <w:t>（1）一般工业固废</w:t>
            </w:r>
          </w:p>
          <w:p w14:paraId="502020A3">
            <w:pPr>
              <w:spacing w:line="360" w:lineRule="auto"/>
              <w:ind w:firstLine="420" w:firstLineChars="200"/>
              <w:jc w:val="both"/>
              <w:rPr>
                <w:rFonts w:hint="default"/>
                <w:color w:val="auto"/>
                <w:sz w:val="21"/>
                <w:szCs w:val="21"/>
                <w:highlight w:val="none"/>
                <w:lang w:val="en-US" w:eastAsia="zh-CN"/>
              </w:rPr>
            </w:pPr>
            <w:r>
              <w:rPr>
                <w:rFonts w:ascii="Times New Roman" w:hAnsi="Times New Roman"/>
                <w:color w:val="auto"/>
                <w:sz w:val="21"/>
                <w:szCs w:val="21"/>
                <w:highlight w:val="none"/>
              </w:rPr>
              <w:t>本项目产生的一般工业固废主要为</w:t>
            </w:r>
            <w:r>
              <w:rPr>
                <w:rFonts w:hint="eastAsia"/>
                <w:color w:val="auto"/>
                <w:sz w:val="21"/>
                <w:szCs w:val="21"/>
                <w:highlight w:val="none"/>
                <w:lang w:val="en-US" w:eastAsia="zh-CN"/>
              </w:rPr>
              <w:t>各工序切头切尾边角料</w:t>
            </w:r>
            <w:r>
              <w:rPr>
                <w:rFonts w:hint="eastAsia" w:ascii="Times New Roman" w:hAnsi="Times New Roman"/>
                <w:color w:val="auto"/>
                <w:sz w:val="21"/>
                <w:szCs w:val="21"/>
                <w:highlight w:val="none"/>
              </w:rPr>
              <w:t>、</w:t>
            </w:r>
            <w:r>
              <w:rPr>
                <w:rFonts w:hint="eastAsia"/>
                <w:color w:val="auto"/>
                <w:sz w:val="21"/>
                <w:szCs w:val="21"/>
                <w:highlight w:val="none"/>
                <w:lang w:val="en-US" w:eastAsia="zh-CN"/>
              </w:rPr>
              <w:t>焊渣、废耐火材料、MgO废水沉淀池沉渣、带钢喷淋冷却废水沉淀池沉渣、废布袋及除尘灰、浊循环系统废过滤器、脱盐水系统产生的废多介质及活性炭过滤器、废反渗透膜、制氮系统更换的废分子筛、废包装材料及氧化铁粉。</w:t>
            </w:r>
          </w:p>
          <w:p w14:paraId="6AA6FF04">
            <w:pPr>
              <w:pStyle w:val="226"/>
              <w:spacing w:line="360" w:lineRule="auto"/>
              <w:ind w:firstLine="420" w:firstLineChars="200"/>
              <w:jc w:val="both"/>
              <w:rPr>
                <w:rFonts w:ascii="Times New Roman" w:hAnsi="Times New Roman"/>
                <w:color w:val="auto"/>
                <w:sz w:val="21"/>
                <w:szCs w:val="21"/>
                <w:highlight w:val="none"/>
              </w:rPr>
            </w:pPr>
            <w:r>
              <w:rPr>
                <w:rFonts w:ascii="Times New Roman" w:hAnsi="Times New Roman"/>
                <w:color w:val="auto"/>
                <w:sz w:val="21"/>
                <w:szCs w:val="21"/>
                <w:highlight w:val="none"/>
              </w:rPr>
              <w:t>（</w:t>
            </w:r>
            <w:r>
              <w:rPr>
                <w:rFonts w:hint="eastAsia" w:ascii="Times New Roman" w:hAnsi="Times New Roman"/>
                <w:color w:val="auto"/>
                <w:sz w:val="21"/>
                <w:szCs w:val="21"/>
                <w:highlight w:val="none"/>
              </w:rPr>
              <w:t>2</w:t>
            </w:r>
            <w:r>
              <w:rPr>
                <w:rFonts w:ascii="Times New Roman" w:hAnsi="Times New Roman"/>
                <w:color w:val="auto"/>
                <w:sz w:val="21"/>
                <w:szCs w:val="21"/>
                <w:highlight w:val="none"/>
              </w:rPr>
              <w:t>）危险废物</w:t>
            </w:r>
          </w:p>
          <w:p w14:paraId="5BEE522C">
            <w:pPr>
              <w:pStyle w:val="226"/>
              <w:spacing w:line="360" w:lineRule="auto"/>
              <w:ind w:firstLine="420" w:firstLineChars="200"/>
              <w:jc w:val="both"/>
              <w:rPr>
                <w:rFonts w:hint="default" w:ascii="Times New Roman" w:hAnsi="Times New Roman" w:eastAsia="宋体"/>
                <w:color w:val="auto"/>
                <w:sz w:val="21"/>
                <w:szCs w:val="21"/>
                <w:highlight w:val="none"/>
                <w:lang w:val="en-US" w:eastAsia="zh-CN"/>
              </w:rPr>
            </w:pPr>
            <w:r>
              <w:rPr>
                <w:rFonts w:ascii="Times New Roman" w:hAnsi="Times New Roman"/>
                <w:color w:val="auto"/>
                <w:sz w:val="21"/>
                <w:szCs w:val="21"/>
                <w:highlight w:val="none"/>
              </w:rPr>
              <w:t>根据《国家危险废物名录（202</w:t>
            </w:r>
            <w:r>
              <w:rPr>
                <w:rFonts w:hint="eastAsia"/>
                <w:color w:val="auto"/>
                <w:sz w:val="21"/>
                <w:szCs w:val="21"/>
                <w:highlight w:val="none"/>
                <w:lang w:val="en-US" w:eastAsia="zh-CN"/>
              </w:rPr>
              <w:t>5</w:t>
            </w:r>
            <w:r>
              <w:rPr>
                <w:rFonts w:ascii="Times New Roman" w:hAnsi="Times New Roman"/>
                <w:color w:val="auto"/>
                <w:sz w:val="21"/>
                <w:szCs w:val="21"/>
                <w:highlight w:val="none"/>
              </w:rPr>
              <w:t>年版）》，本项目产生的危险废物主要</w:t>
            </w:r>
            <w:r>
              <w:rPr>
                <w:rFonts w:hint="eastAsia"/>
                <w:color w:val="auto"/>
                <w:sz w:val="21"/>
                <w:szCs w:val="21"/>
                <w:highlight w:val="none"/>
                <w:lang w:val="en-US" w:eastAsia="zh-CN"/>
              </w:rPr>
              <w:t>为酸洗废液、油雾净化器废油及废滤网、碱洗槽滤渣及槽渣、酸洗槽滤渣及槽渣、碱性含油废水处理站浮油及污泥、酸性废水处理站污泥、废液压油、废齿轮油、废油桶、废弃的含油抹布和劳保用品、制氮系统产生的废透平油。</w:t>
            </w:r>
          </w:p>
          <w:bookmarkEnd w:id="14"/>
          <w:p w14:paraId="75AB9437">
            <w:pPr>
              <w:pStyle w:val="17"/>
              <w:spacing w:line="360" w:lineRule="auto"/>
              <w:ind w:firstLine="420" w:firstLineChars="200"/>
              <w:jc w:val="both"/>
              <w:rPr>
                <w:rFonts w:ascii="Times New Roman" w:hAnsi="Times New Roman"/>
                <w:color w:val="auto"/>
                <w:sz w:val="21"/>
                <w:szCs w:val="21"/>
                <w:highlight w:val="none"/>
              </w:rPr>
            </w:pPr>
            <w:r>
              <w:rPr>
                <w:rFonts w:ascii="Times New Roman" w:hAnsi="Times New Roman"/>
                <w:color w:val="auto"/>
                <w:sz w:val="21"/>
                <w:szCs w:val="21"/>
                <w:highlight w:val="none"/>
              </w:rPr>
              <w:t>项目固废产生量及处置措施如下表所示。</w:t>
            </w:r>
          </w:p>
          <w:p w14:paraId="71E36876">
            <w:pPr>
              <w:spacing w:line="360" w:lineRule="auto"/>
              <w:jc w:val="center"/>
              <w:rPr>
                <w:rFonts w:ascii="Times New Roman" w:hAnsi="Times New Roman" w:eastAsia="黑体"/>
                <w:bCs/>
                <w:color w:val="auto"/>
                <w:spacing w:val="2"/>
                <w:sz w:val="21"/>
                <w:szCs w:val="21"/>
                <w:highlight w:val="none"/>
              </w:rPr>
            </w:pPr>
            <w:r>
              <w:rPr>
                <w:rFonts w:ascii="Times New Roman" w:hAnsi="Times New Roman" w:eastAsia="黑体"/>
                <w:bCs/>
                <w:color w:val="auto"/>
                <w:spacing w:val="2"/>
                <w:sz w:val="21"/>
                <w:szCs w:val="21"/>
                <w:highlight w:val="none"/>
              </w:rPr>
              <w:t>表4-</w:t>
            </w:r>
            <w:r>
              <w:rPr>
                <w:rFonts w:hint="eastAsia" w:eastAsia="黑体"/>
                <w:bCs/>
                <w:color w:val="auto"/>
                <w:spacing w:val="2"/>
                <w:sz w:val="21"/>
                <w:szCs w:val="21"/>
                <w:highlight w:val="none"/>
                <w:lang w:val="en-US" w:eastAsia="zh-CN"/>
              </w:rPr>
              <w:t xml:space="preserve">24  </w:t>
            </w:r>
            <w:r>
              <w:rPr>
                <w:rFonts w:ascii="Times New Roman" w:hAnsi="Times New Roman" w:eastAsia="黑体"/>
                <w:bCs/>
                <w:color w:val="auto"/>
                <w:spacing w:val="2"/>
                <w:sz w:val="21"/>
                <w:szCs w:val="21"/>
                <w:highlight w:val="none"/>
              </w:rPr>
              <w:t>固体废物汇总表</w:t>
            </w:r>
          </w:p>
          <w:tbl>
            <w:tblPr>
              <w:tblStyle w:val="33"/>
              <w:tblW w:w="499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39"/>
              <w:gridCol w:w="1032"/>
              <w:gridCol w:w="600"/>
              <w:gridCol w:w="878"/>
              <w:gridCol w:w="906"/>
              <w:gridCol w:w="1000"/>
              <w:gridCol w:w="1397"/>
              <w:gridCol w:w="1242"/>
            </w:tblGrid>
            <w:tr w14:paraId="3B55CD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noWrap w:val="0"/>
                  <w:vAlign w:val="center"/>
                </w:tcPr>
                <w:p w14:paraId="5C39D665">
                  <w:pPr>
                    <w:jc w:val="center"/>
                    <w:rPr>
                      <w:rFonts w:ascii="Times New Roman" w:hAnsi="Times New Roman"/>
                      <w:color w:val="auto"/>
                      <w:sz w:val="18"/>
                      <w:szCs w:val="18"/>
                      <w:highlight w:val="none"/>
                    </w:rPr>
                  </w:pPr>
                  <w:r>
                    <w:rPr>
                      <w:rFonts w:ascii="Times New Roman" w:hAnsi="Times New Roman"/>
                      <w:color w:val="auto"/>
                      <w:sz w:val="18"/>
                      <w:szCs w:val="18"/>
                      <w:highlight w:val="none"/>
                    </w:rPr>
                    <w:t>固废名称</w:t>
                  </w:r>
                </w:p>
              </w:tc>
              <w:tc>
                <w:tcPr>
                  <w:tcW w:w="624" w:type="pct"/>
                  <w:noWrap w:val="0"/>
                  <w:vAlign w:val="center"/>
                </w:tcPr>
                <w:p w14:paraId="636B2AC2">
                  <w:pPr>
                    <w:jc w:val="center"/>
                    <w:rPr>
                      <w:rFonts w:ascii="Times New Roman" w:hAnsi="Times New Roman"/>
                      <w:color w:val="auto"/>
                      <w:sz w:val="18"/>
                      <w:szCs w:val="18"/>
                      <w:highlight w:val="none"/>
                    </w:rPr>
                  </w:pPr>
                  <w:r>
                    <w:rPr>
                      <w:rFonts w:ascii="Times New Roman" w:hAnsi="Times New Roman"/>
                      <w:color w:val="auto"/>
                      <w:sz w:val="18"/>
                      <w:szCs w:val="18"/>
                      <w:highlight w:val="none"/>
                    </w:rPr>
                    <w:t>产生工序</w:t>
                  </w:r>
                </w:p>
              </w:tc>
              <w:tc>
                <w:tcPr>
                  <w:tcW w:w="364" w:type="pct"/>
                  <w:noWrap w:val="0"/>
                  <w:vAlign w:val="center"/>
                </w:tcPr>
                <w:p w14:paraId="38CA1772">
                  <w:pPr>
                    <w:jc w:val="center"/>
                    <w:rPr>
                      <w:rFonts w:ascii="Times New Roman" w:hAnsi="Times New Roman"/>
                      <w:color w:val="auto"/>
                      <w:sz w:val="18"/>
                      <w:szCs w:val="18"/>
                      <w:highlight w:val="none"/>
                      <w:vertAlign w:val="subscript"/>
                    </w:rPr>
                  </w:pPr>
                  <w:r>
                    <w:rPr>
                      <w:rFonts w:ascii="Times New Roman" w:hAnsi="Times New Roman"/>
                      <w:color w:val="auto"/>
                      <w:sz w:val="18"/>
                      <w:szCs w:val="18"/>
                      <w:highlight w:val="none"/>
                    </w:rPr>
                    <w:t>形态</w:t>
                  </w:r>
                </w:p>
              </w:tc>
              <w:tc>
                <w:tcPr>
                  <w:tcW w:w="531" w:type="pct"/>
                  <w:noWrap w:val="0"/>
                  <w:vAlign w:val="center"/>
                </w:tcPr>
                <w:p w14:paraId="63B95267">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计算依据</w:t>
                  </w:r>
                </w:p>
              </w:tc>
              <w:tc>
                <w:tcPr>
                  <w:tcW w:w="531" w:type="pct"/>
                  <w:noWrap w:val="0"/>
                  <w:vAlign w:val="center"/>
                </w:tcPr>
                <w:p w14:paraId="61294EED">
                  <w:pPr>
                    <w:jc w:val="center"/>
                    <w:rPr>
                      <w:rFonts w:ascii="Times New Roman" w:hAnsi="Times New Roman"/>
                      <w:color w:val="auto"/>
                      <w:sz w:val="18"/>
                      <w:szCs w:val="18"/>
                      <w:highlight w:val="none"/>
                    </w:rPr>
                  </w:pPr>
                  <w:r>
                    <w:rPr>
                      <w:rFonts w:ascii="Times New Roman" w:hAnsi="Times New Roman"/>
                      <w:color w:val="auto"/>
                      <w:sz w:val="18"/>
                      <w:szCs w:val="18"/>
                      <w:highlight w:val="none"/>
                    </w:rPr>
                    <w:t>产生量</w:t>
                  </w:r>
                  <w:r>
                    <w:rPr>
                      <w:rFonts w:ascii="Times New Roman" w:hAnsi="Times New Roman"/>
                      <w:color w:val="auto"/>
                      <w:kern w:val="0"/>
                      <w:sz w:val="18"/>
                      <w:szCs w:val="18"/>
                      <w:highlight w:val="none"/>
                    </w:rPr>
                    <w:t>（t/a）</w:t>
                  </w:r>
                </w:p>
              </w:tc>
              <w:tc>
                <w:tcPr>
                  <w:tcW w:w="604" w:type="pct"/>
                  <w:noWrap w:val="0"/>
                  <w:vAlign w:val="center"/>
                </w:tcPr>
                <w:p w14:paraId="73EBDEB3">
                  <w:pPr>
                    <w:jc w:val="center"/>
                    <w:rPr>
                      <w:rFonts w:ascii="Times New Roman" w:hAnsi="Times New Roman"/>
                      <w:color w:val="auto"/>
                      <w:sz w:val="18"/>
                      <w:szCs w:val="18"/>
                      <w:highlight w:val="none"/>
                    </w:rPr>
                  </w:pPr>
                  <w:r>
                    <w:rPr>
                      <w:rFonts w:ascii="Times New Roman" w:hAnsi="Times New Roman"/>
                      <w:color w:val="auto"/>
                      <w:sz w:val="18"/>
                      <w:szCs w:val="18"/>
                      <w:highlight w:val="none"/>
                    </w:rPr>
                    <w:t>属性</w:t>
                  </w:r>
                </w:p>
              </w:tc>
              <w:tc>
                <w:tcPr>
                  <w:tcW w:w="843" w:type="pct"/>
                  <w:noWrap w:val="0"/>
                  <w:vAlign w:val="center"/>
                </w:tcPr>
                <w:p w14:paraId="2C039278">
                  <w:pPr>
                    <w:jc w:val="center"/>
                    <w:rPr>
                      <w:rFonts w:ascii="Times New Roman" w:hAnsi="Times New Roman"/>
                      <w:color w:val="auto"/>
                      <w:sz w:val="18"/>
                      <w:szCs w:val="18"/>
                      <w:highlight w:val="none"/>
                    </w:rPr>
                  </w:pPr>
                  <w:r>
                    <w:rPr>
                      <w:rFonts w:ascii="Times New Roman" w:hAnsi="Times New Roman"/>
                      <w:color w:val="auto"/>
                      <w:sz w:val="18"/>
                      <w:szCs w:val="18"/>
                      <w:highlight w:val="none"/>
                    </w:rPr>
                    <w:t>类别、代码</w:t>
                  </w:r>
                </w:p>
              </w:tc>
              <w:tc>
                <w:tcPr>
                  <w:tcW w:w="750" w:type="pct"/>
                  <w:noWrap w:val="0"/>
                  <w:vAlign w:val="center"/>
                </w:tcPr>
                <w:p w14:paraId="05431521">
                  <w:pPr>
                    <w:jc w:val="center"/>
                    <w:rPr>
                      <w:rFonts w:ascii="Times New Roman" w:hAnsi="Times New Roman"/>
                      <w:color w:val="auto"/>
                      <w:sz w:val="18"/>
                      <w:szCs w:val="18"/>
                      <w:highlight w:val="none"/>
                    </w:rPr>
                  </w:pPr>
                  <w:r>
                    <w:rPr>
                      <w:rFonts w:ascii="Times New Roman" w:hAnsi="Times New Roman"/>
                      <w:color w:val="auto"/>
                      <w:sz w:val="18"/>
                      <w:szCs w:val="18"/>
                      <w:highlight w:val="none"/>
                    </w:rPr>
                    <w:t>处置方式</w:t>
                  </w:r>
                </w:p>
              </w:tc>
            </w:tr>
            <w:tr w14:paraId="1C8973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noWrap w:val="0"/>
                  <w:vAlign w:val="center"/>
                </w:tcPr>
                <w:p w14:paraId="4DE10838">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边角料</w:t>
                  </w:r>
                </w:p>
              </w:tc>
              <w:tc>
                <w:tcPr>
                  <w:tcW w:w="624" w:type="pct"/>
                  <w:shd w:val="clear" w:color="auto" w:fill="auto"/>
                  <w:noWrap w:val="0"/>
                  <w:vAlign w:val="center"/>
                </w:tcPr>
                <w:p w14:paraId="7CD4D50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各工序切头切尾等</w:t>
                  </w:r>
                </w:p>
              </w:tc>
              <w:tc>
                <w:tcPr>
                  <w:tcW w:w="364" w:type="pct"/>
                  <w:noWrap w:val="0"/>
                  <w:vAlign w:val="center"/>
                </w:tcPr>
                <w:p w14:paraId="75A9882D">
                  <w:pPr>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固态</w:t>
                  </w:r>
                </w:p>
              </w:tc>
              <w:tc>
                <w:tcPr>
                  <w:tcW w:w="531" w:type="pct"/>
                  <w:noWrap w:val="0"/>
                  <w:vAlign w:val="center"/>
                </w:tcPr>
                <w:p w14:paraId="05519154">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金属平衡</w:t>
                  </w:r>
                </w:p>
              </w:tc>
              <w:tc>
                <w:tcPr>
                  <w:tcW w:w="531" w:type="pct"/>
                  <w:noWrap w:val="0"/>
                  <w:vAlign w:val="center"/>
                </w:tcPr>
                <w:p w14:paraId="2959476D">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9445</w:t>
                  </w:r>
                </w:p>
              </w:tc>
              <w:tc>
                <w:tcPr>
                  <w:tcW w:w="604" w:type="pct"/>
                  <w:vMerge w:val="restart"/>
                  <w:noWrap w:val="0"/>
                  <w:vAlign w:val="center"/>
                </w:tcPr>
                <w:p w14:paraId="44ACB0E4">
                  <w:pPr>
                    <w:jc w:val="center"/>
                    <w:rPr>
                      <w:rFonts w:ascii="Times New Roman" w:hAnsi="Times New Roman"/>
                      <w:color w:val="auto"/>
                      <w:sz w:val="18"/>
                      <w:szCs w:val="18"/>
                      <w:highlight w:val="none"/>
                    </w:rPr>
                  </w:pPr>
                  <w:r>
                    <w:rPr>
                      <w:rFonts w:ascii="Times New Roman" w:hAnsi="Times New Roman"/>
                      <w:color w:val="auto"/>
                      <w:sz w:val="18"/>
                      <w:szCs w:val="18"/>
                      <w:highlight w:val="none"/>
                    </w:rPr>
                    <w:t>一般工业固废</w:t>
                  </w:r>
                </w:p>
              </w:tc>
              <w:tc>
                <w:tcPr>
                  <w:tcW w:w="843" w:type="pct"/>
                  <w:noWrap w:val="0"/>
                  <w:vAlign w:val="center"/>
                </w:tcPr>
                <w:p w14:paraId="5FDA3C72">
                  <w:pPr>
                    <w:jc w:val="center"/>
                    <w:rPr>
                      <w:rFonts w:hint="eastAsia"/>
                      <w:color w:val="auto"/>
                      <w:sz w:val="18"/>
                      <w:szCs w:val="18"/>
                      <w:highlight w:val="none"/>
                      <w:lang w:val="en-US" w:eastAsia="zh-CN"/>
                    </w:rPr>
                  </w:pPr>
                  <w:r>
                    <w:rPr>
                      <w:rFonts w:hint="eastAsia"/>
                      <w:color w:val="auto"/>
                      <w:sz w:val="18"/>
                      <w:szCs w:val="18"/>
                      <w:highlight w:val="none"/>
                      <w:lang w:val="en-US" w:eastAsia="zh-CN"/>
                    </w:rPr>
                    <w:t>SW17</w:t>
                  </w:r>
                </w:p>
                <w:p w14:paraId="64B5CA5F">
                  <w:pPr>
                    <w:jc w:val="center"/>
                    <w:rPr>
                      <w:rFonts w:hint="default"/>
                      <w:color w:val="auto"/>
                      <w:sz w:val="18"/>
                      <w:szCs w:val="18"/>
                      <w:highlight w:val="none"/>
                      <w:lang w:val="en-US" w:eastAsia="zh-CN"/>
                    </w:rPr>
                  </w:pPr>
                  <w:r>
                    <w:rPr>
                      <w:rFonts w:hint="eastAsia"/>
                      <w:color w:val="auto"/>
                      <w:sz w:val="18"/>
                      <w:szCs w:val="18"/>
                      <w:highlight w:val="none"/>
                      <w:lang w:val="en-US" w:eastAsia="zh-CN"/>
                    </w:rPr>
                    <w:t>900-001-S17</w:t>
                  </w:r>
                </w:p>
              </w:tc>
              <w:tc>
                <w:tcPr>
                  <w:tcW w:w="750" w:type="pct"/>
                  <w:vMerge w:val="restart"/>
                  <w:noWrap w:val="0"/>
                  <w:vAlign w:val="center"/>
                </w:tcPr>
                <w:p w14:paraId="087EA9FD">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外售综合利用</w:t>
                  </w:r>
                </w:p>
              </w:tc>
            </w:tr>
            <w:tr w14:paraId="08EED6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8" w:hRule="atLeast"/>
                <w:jc w:val="center"/>
              </w:trPr>
              <w:tc>
                <w:tcPr>
                  <w:tcW w:w="749" w:type="pct"/>
                  <w:noWrap w:val="0"/>
                  <w:vAlign w:val="center"/>
                </w:tcPr>
                <w:p w14:paraId="54EB98F1">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焊渣</w:t>
                  </w:r>
                </w:p>
              </w:tc>
              <w:tc>
                <w:tcPr>
                  <w:tcW w:w="624" w:type="pct"/>
                  <w:shd w:val="clear" w:color="auto" w:fill="auto"/>
                  <w:noWrap w:val="0"/>
                  <w:vAlign w:val="center"/>
                </w:tcPr>
                <w:p w14:paraId="078CBE0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激光焊接、电阻焊接</w:t>
                  </w:r>
                </w:p>
              </w:tc>
              <w:tc>
                <w:tcPr>
                  <w:tcW w:w="364" w:type="pct"/>
                  <w:noWrap w:val="0"/>
                  <w:vAlign w:val="center"/>
                </w:tcPr>
                <w:p w14:paraId="3FA55866">
                  <w:pPr>
                    <w:jc w:val="center"/>
                    <w:rPr>
                      <w:rFonts w:ascii="Times New Roman" w:hAnsi="Times New Roman"/>
                      <w:color w:val="auto"/>
                      <w:sz w:val="18"/>
                      <w:szCs w:val="18"/>
                      <w:highlight w:val="none"/>
                    </w:rPr>
                  </w:pPr>
                  <w:r>
                    <w:rPr>
                      <w:rFonts w:ascii="Times New Roman" w:hAnsi="Times New Roman"/>
                      <w:color w:val="auto"/>
                      <w:sz w:val="18"/>
                      <w:szCs w:val="18"/>
                      <w:highlight w:val="none"/>
                    </w:rPr>
                    <w:t>固态</w:t>
                  </w:r>
                </w:p>
              </w:tc>
              <w:tc>
                <w:tcPr>
                  <w:tcW w:w="531" w:type="pct"/>
                  <w:noWrap w:val="0"/>
                  <w:vAlign w:val="center"/>
                </w:tcPr>
                <w:p w14:paraId="1FEB303D">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物料衡算</w:t>
                  </w:r>
                </w:p>
              </w:tc>
              <w:tc>
                <w:tcPr>
                  <w:tcW w:w="531" w:type="pct"/>
                  <w:noWrap w:val="0"/>
                  <w:vAlign w:val="center"/>
                </w:tcPr>
                <w:p w14:paraId="331736A4">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0.43</w:t>
                  </w:r>
                </w:p>
              </w:tc>
              <w:tc>
                <w:tcPr>
                  <w:tcW w:w="604" w:type="pct"/>
                  <w:vMerge w:val="continue"/>
                  <w:noWrap w:val="0"/>
                  <w:vAlign w:val="center"/>
                </w:tcPr>
                <w:p w14:paraId="06DD974E">
                  <w:pPr>
                    <w:jc w:val="center"/>
                    <w:rPr>
                      <w:rFonts w:ascii="Times New Roman" w:hAnsi="Times New Roman"/>
                      <w:color w:val="auto"/>
                      <w:sz w:val="18"/>
                      <w:szCs w:val="18"/>
                      <w:highlight w:val="none"/>
                    </w:rPr>
                  </w:pPr>
                </w:p>
              </w:tc>
              <w:tc>
                <w:tcPr>
                  <w:tcW w:w="843" w:type="pct"/>
                  <w:noWrap w:val="0"/>
                  <w:vAlign w:val="center"/>
                </w:tcPr>
                <w:p w14:paraId="1930D900">
                  <w:pPr>
                    <w:jc w:val="center"/>
                    <w:rPr>
                      <w:rFonts w:hint="eastAsia"/>
                      <w:color w:val="auto"/>
                      <w:sz w:val="18"/>
                      <w:szCs w:val="18"/>
                      <w:highlight w:val="none"/>
                      <w:lang w:val="en-US" w:eastAsia="zh-CN"/>
                    </w:rPr>
                  </w:pPr>
                  <w:r>
                    <w:rPr>
                      <w:rFonts w:hint="eastAsia"/>
                      <w:color w:val="auto"/>
                      <w:sz w:val="18"/>
                      <w:szCs w:val="18"/>
                      <w:highlight w:val="none"/>
                      <w:lang w:val="en-US" w:eastAsia="zh-CN"/>
                    </w:rPr>
                    <w:t>SW17</w:t>
                  </w:r>
                </w:p>
                <w:p w14:paraId="47567DF4">
                  <w:pPr>
                    <w:jc w:val="center"/>
                    <w:rPr>
                      <w:rFonts w:hint="default"/>
                      <w:color w:val="auto"/>
                      <w:sz w:val="18"/>
                      <w:szCs w:val="18"/>
                      <w:highlight w:val="none"/>
                      <w:lang w:val="en-US" w:eastAsia="zh-CN"/>
                    </w:rPr>
                  </w:pPr>
                  <w:r>
                    <w:rPr>
                      <w:rFonts w:hint="eastAsia"/>
                      <w:color w:val="auto"/>
                      <w:sz w:val="18"/>
                      <w:szCs w:val="18"/>
                      <w:highlight w:val="none"/>
                      <w:lang w:val="en-US" w:eastAsia="zh-CN"/>
                    </w:rPr>
                    <w:t>900-099-S17</w:t>
                  </w:r>
                </w:p>
              </w:tc>
              <w:tc>
                <w:tcPr>
                  <w:tcW w:w="750" w:type="pct"/>
                  <w:vMerge w:val="continue"/>
                  <w:noWrap w:val="0"/>
                  <w:vAlign w:val="center"/>
                </w:tcPr>
                <w:p w14:paraId="620C16AA">
                  <w:pPr>
                    <w:jc w:val="center"/>
                    <w:rPr>
                      <w:rFonts w:hint="eastAsia" w:ascii="Times New Roman" w:hAnsi="Times New Roman" w:eastAsia="宋体"/>
                      <w:color w:val="auto"/>
                      <w:sz w:val="18"/>
                      <w:szCs w:val="18"/>
                      <w:highlight w:val="none"/>
                      <w:lang w:val="en-US" w:eastAsia="zh-CN"/>
                    </w:rPr>
                  </w:pPr>
                </w:p>
              </w:tc>
            </w:tr>
            <w:tr w14:paraId="1DDCD8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noWrap w:val="0"/>
                  <w:vAlign w:val="center"/>
                </w:tcPr>
                <w:p w14:paraId="273216D1">
                  <w:pPr>
                    <w:jc w:val="center"/>
                    <w:rPr>
                      <w:rFonts w:hint="eastAsia" w:ascii="Times New Roman" w:hAnsi="Times New Roman" w:eastAsia="宋体"/>
                      <w:color w:val="auto"/>
                      <w:sz w:val="18"/>
                      <w:szCs w:val="18"/>
                      <w:highlight w:val="none"/>
                      <w:lang w:eastAsia="zh-CN"/>
                    </w:rPr>
                  </w:pPr>
                  <w:r>
                    <w:rPr>
                      <w:rFonts w:hint="eastAsia"/>
                      <w:color w:val="auto"/>
                      <w:sz w:val="18"/>
                      <w:szCs w:val="18"/>
                      <w:highlight w:val="none"/>
                      <w:lang w:val="en-US" w:eastAsia="zh-CN"/>
                    </w:rPr>
                    <w:t>废耐火材料</w:t>
                  </w:r>
                </w:p>
              </w:tc>
              <w:tc>
                <w:tcPr>
                  <w:tcW w:w="624" w:type="pct"/>
                  <w:shd w:val="clear" w:color="auto" w:fill="auto"/>
                  <w:noWrap w:val="0"/>
                  <w:vAlign w:val="center"/>
                </w:tcPr>
                <w:p w14:paraId="3F36952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退火炉、加热炉</w:t>
                  </w:r>
                </w:p>
              </w:tc>
              <w:tc>
                <w:tcPr>
                  <w:tcW w:w="364" w:type="pct"/>
                  <w:noWrap w:val="0"/>
                  <w:vAlign w:val="center"/>
                </w:tcPr>
                <w:p w14:paraId="7D306DBD">
                  <w:pPr>
                    <w:jc w:val="center"/>
                    <w:rPr>
                      <w:rFonts w:ascii="Times New Roman" w:hAnsi="Times New Roman"/>
                      <w:color w:val="auto"/>
                      <w:sz w:val="18"/>
                      <w:szCs w:val="18"/>
                      <w:highlight w:val="none"/>
                    </w:rPr>
                  </w:pPr>
                  <w:r>
                    <w:rPr>
                      <w:rFonts w:ascii="Times New Roman" w:hAnsi="Times New Roman"/>
                      <w:color w:val="auto"/>
                      <w:sz w:val="18"/>
                      <w:szCs w:val="18"/>
                      <w:highlight w:val="none"/>
                    </w:rPr>
                    <w:t>固态</w:t>
                  </w:r>
                </w:p>
              </w:tc>
              <w:tc>
                <w:tcPr>
                  <w:tcW w:w="531" w:type="pct"/>
                  <w:noWrap w:val="0"/>
                  <w:vAlign w:val="center"/>
                </w:tcPr>
                <w:p w14:paraId="0AB3C9E8">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每年更换一次</w:t>
                  </w:r>
                </w:p>
              </w:tc>
              <w:tc>
                <w:tcPr>
                  <w:tcW w:w="531" w:type="pct"/>
                  <w:noWrap w:val="0"/>
                  <w:vAlign w:val="center"/>
                </w:tcPr>
                <w:p w14:paraId="5360DF9B">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50</w:t>
                  </w:r>
                </w:p>
              </w:tc>
              <w:tc>
                <w:tcPr>
                  <w:tcW w:w="604" w:type="pct"/>
                  <w:vMerge w:val="continue"/>
                  <w:noWrap w:val="0"/>
                  <w:vAlign w:val="center"/>
                </w:tcPr>
                <w:p w14:paraId="7E7C7417">
                  <w:pPr>
                    <w:jc w:val="center"/>
                    <w:rPr>
                      <w:rFonts w:ascii="Times New Roman" w:hAnsi="Times New Roman"/>
                      <w:color w:val="auto"/>
                      <w:sz w:val="18"/>
                      <w:szCs w:val="18"/>
                      <w:highlight w:val="none"/>
                    </w:rPr>
                  </w:pPr>
                </w:p>
              </w:tc>
              <w:tc>
                <w:tcPr>
                  <w:tcW w:w="843" w:type="pct"/>
                  <w:noWrap w:val="0"/>
                  <w:vAlign w:val="center"/>
                </w:tcPr>
                <w:p w14:paraId="1E05E0F1">
                  <w:pPr>
                    <w:jc w:val="center"/>
                    <w:rPr>
                      <w:rFonts w:hint="eastAsia"/>
                      <w:color w:val="auto"/>
                      <w:sz w:val="18"/>
                      <w:szCs w:val="18"/>
                      <w:highlight w:val="none"/>
                      <w:lang w:val="en-US" w:eastAsia="zh-CN"/>
                    </w:rPr>
                  </w:pPr>
                  <w:r>
                    <w:rPr>
                      <w:rFonts w:hint="eastAsia"/>
                      <w:color w:val="auto"/>
                      <w:sz w:val="18"/>
                      <w:szCs w:val="18"/>
                      <w:highlight w:val="none"/>
                      <w:lang w:val="en-US" w:eastAsia="zh-CN"/>
                    </w:rPr>
                    <w:t>SW59</w:t>
                  </w:r>
                </w:p>
                <w:p w14:paraId="09743307">
                  <w:pPr>
                    <w:jc w:val="center"/>
                    <w:rPr>
                      <w:color w:val="auto"/>
                      <w:sz w:val="18"/>
                      <w:szCs w:val="18"/>
                      <w:highlight w:val="none"/>
                    </w:rPr>
                  </w:pPr>
                  <w:r>
                    <w:rPr>
                      <w:rFonts w:hint="eastAsia"/>
                      <w:color w:val="auto"/>
                      <w:sz w:val="18"/>
                      <w:szCs w:val="18"/>
                      <w:highlight w:val="none"/>
                      <w:lang w:val="en-US" w:eastAsia="zh-CN"/>
                    </w:rPr>
                    <w:t>900-003-S59</w:t>
                  </w:r>
                </w:p>
              </w:tc>
              <w:tc>
                <w:tcPr>
                  <w:tcW w:w="750" w:type="pct"/>
                  <w:vMerge w:val="continue"/>
                  <w:noWrap w:val="0"/>
                  <w:vAlign w:val="center"/>
                </w:tcPr>
                <w:p w14:paraId="537C122E">
                  <w:pPr>
                    <w:jc w:val="center"/>
                    <w:rPr>
                      <w:rFonts w:hint="eastAsia" w:ascii="Times New Roman" w:hAnsi="Times New Roman" w:eastAsia="宋体"/>
                      <w:color w:val="auto"/>
                      <w:sz w:val="18"/>
                      <w:szCs w:val="18"/>
                      <w:highlight w:val="none"/>
                      <w:lang w:val="en-US" w:eastAsia="zh-CN"/>
                    </w:rPr>
                  </w:pPr>
                </w:p>
              </w:tc>
            </w:tr>
            <w:tr w14:paraId="2FFFD6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92" w:hRule="atLeast"/>
                <w:jc w:val="center"/>
              </w:trPr>
              <w:tc>
                <w:tcPr>
                  <w:tcW w:w="749" w:type="pct"/>
                  <w:noWrap w:val="0"/>
                  <w:vAlign w:val="center"/>
                </w:tcPr>
                <w:p w14:paraId="78B86424">
                  <w:pPr>
                    <w:jc w:val="center"/>
                    <w:rPr>
                      <w:rFonts w:hint="default"/>
                      <w:color w:val="auto"/>
                      <w:sz w:val="18"/>
                      <w:szCs w:val="18"/>
                      <w:highlight w:val="none"/>
                      <w:lang w:val="en-US" w:eastAsia="zh-CN"/>
                    </w:rPr>
                  </w:pPr>
                  <w:r>
                    <w:rPr>
                      <w:rFonts w:hint="eastAsia"/>
                      <w:color w:val="auto"/>
                      <w:sz w:val="18"/>
                      <w:szCs w:val="18"/>
                      <w:highlight w:val="none"/>
                      <w:lang w:val="en-US" w:eastAsia="zh-CN"/>
                    </w:rPr>
                    <w:t>MgO渣</w:t>
                  </w:r>
                </w:p>
              </w:tc>
              <w:tc>
                <w:tcPr>
                  <w:tcW w:w="624" w:type="pct"/>
                  <w:shd w:val="clear" w:color="auto" w:fill="auto"/>
                  <w:noWrap w:val="0"/>
                  <w:vAlign w:val="center"/>
                </w:tcPr>
                <w:p w14:paraId="7E94975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MgO废水处理</w:t>
                  </w:r>
                </w:p>
              </w:tc>
              <w:tc>
                <w:tcPr>
                  <w:tcW w:w="364" w:type="pct"/>
                  <w:shd w:val="clear" w:color="auto" w:fill="auto"/>
                  <w:noWrap w:val="0"/>
                  <w:vAlign w:val="center"/>
                </w:tcPr>
                <w:p w14:paraId="4623AC87">
                  <w:pPr>
                    <w:jc w:val="center"/>
                    <w:rPr>
                      <w:rFonts w:ascii="Times New Roman" w:hAnsi="Times New Roman" w:eastAsia="宋体" w:cs="Times New Roman"/>
                      <w:color w:val="auto"/>
                      <w:kern w:val="2"/>
                      <w:sz w:val="18"/>
                      <w:szCs w:val="18"/>
                      <w:highlight w:val="none"/>
                      <w:lang w:val="en-US" w:eastAsia="zh-CN" w:bidi="ar-SA"/>
                    </w:rPr>
                  </w:pPr>
                  <w:r>
                    <w:rPr>
                      <w:rFonts w:ascii="Times New Roman" w:hAnsi="Times New Roman"/>
                      <w:color w:val="auto"/>
                      <w:sz w:val="18"/>
                      <w:szCs w:val="18"/>
                      <w:highlight w:val="none"/>
                    </w:rPr>
                    <w:t>固态</w:t>
                  </w:r>
                </w:p>
              </w:tc>
              <w:tc>
                <w:tcPr>
                  <w:tcW w:w="531" w:type="pct"/>
                  <w:noWrap w:val="0"/>
                  <w:vAlign w:val="center"/>
                </w:tcPr>
                <w:p w14:paraId="7336D1DE">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设计数据+工程经验</w:t>
                  </w:r>
                </w:p>
              </w:tc>
              <w:tc>
                <w:tcPr>
                  <w:tcW w:w="531" w:type="pct"/>
                  <w:noWrap w:val="0"/>
                  <w:vAlign w:val="center"/>
                </w:tcPr>
                <w:p w14:paraId="0B3AF5E9">
                  <w:pPr>
                    <w:jc w:val="center"/>
                    <w:rPr>
                      <w:rFonts w:hint="default"/>
                      <w:color w:val="auto"/>
                      <w:sz w:val="18"/>
                      <w:szCs w:val="18"/>
                      <w:highlight w:val="none"/>
                      <w:lang w:val="en-US" w:eastAsia="zh-CN"/>
                    </w:rPr>
                  </w:pPr>
                  <w:r>
                    <w:rPr>
                      <w:rFonts w:hint="eastAsia"/>
                      <w:color w:val="auto"/>
                      <w:sz w:val="18"/>
                      <w:szCs w:val="18"/>
                      <w:highlight w:val="none"/>
                      <w:lang w:val="en-US" w:eastAsia="zh-CN"/>
                    </w:rPr>
                    <w:t>60</w:t>
                  </w:r>
                </w:p>
              </w:tc>
              <w:tc>
                <w:tcPr>
                  <w:tcW w:w="604" w:type="pct"/>
                  <w:vMerge w:val="continue"/>
                  <w:noWrap w:val="0"/>
                  <w:vAlign w:val="center"/>
                </w:tcPr>
                <w:p w14:paraId="2CBC24AC">
                  <w:pPr>
                    <w:jc w:val="center"/>
                    <w:rPr>
                      <w:rFonts w:ascii="Times New Roman" w:hAnsi="Times New Roman"/>
                      <w:color w:val="auto"/>
                      <w:sz w:val="18"/>
                      <w:szCs w:val="18"/>
                      <w:highlight w:val="none"/>
                    </w:rPr>
                  </w:pPr>
                </w:p>
              </w:tc>
              <w:tc>
                <w:tcPr>
                  <w:tcW w:w="843" w:type="pct"/>
                  <w:noWrap w:val="0"/>
                  <w:vAlign w:val="center"/>
                </w:tcPr>
                <w:p w14:paraId="6D8032B1">
                  <w:pPr>
                    <w:jc w:val="center"/>
                    <w:rPr>
                      <w:rFonts w:hint="eastAsia"/>
                      <w:color w:val="auto"/>
                      <w:sz w:val="18"/>
                      <w:szCs w:val="18"/>
                      <w:highlight w:val="none"/>
                      <w:lang w:val="en-US" w:eastAsia="zh-CN"/>
                    </w:rPr>
                  </w:pPr>
                  <w:r>
                    <w:rPr>
                      <w:rFonts w:hint="eastAsia"/>
                      <w:color w:val="auto"/>
                      <w:sz w:val="18"/>
                      <w:szCs w:val="18"/>
                      <w:highlight w:val="none"/>
                      <w:lang w:val="en-US" w:eastAsia="zh-CN"/>
                    </w:rPr>
                    <w:t>SW17</w:t>
                  </w:r>
                </w:p>
                <w:p w14:paraId="05D88107">
                  <w:pPr>
                    <w:jc w:val="center"/>
                    <w:rPr>
                      <w:rFonts w:hint="eastAsia"/>
                      <w:color w:val="auto"/>
                      <w:sz w:val="18"/>
                      <w:szCs w:val="18"/>
                      <w:highlight w:val="none"/>
                      <w:lang w:val="en-US" w:eastAsia="zh-CN"/>
                    </w:rPr>
                  </w:pPr>
                  <w:r>
                    <w:rPr>
                      <w:rFonts w:hint="eastAsia"/>
                      <w:color w:val="auto"/>
                      <w:sz w:val="18"/>
                      <w:szCs w:val="18"/>
                      <w:highlight w:val="none"/>
                      <w:lang w:val="en-US" w:eastAsia="zh-CN"/>
                    </w:rPr>
                    <w:t>900-099-S17</w:t>
                  </w:r>
                </w:p>
              </w:tc>
              <w:tc>
                <w:tcPr>
                  <w:tcW w:w="750" w:type="pct"/>
                  <w:vMerge w:val="continue"/>
                  <w:noWrap w:val="0"/>
                  <w:vAlign w:val="center"/>
                </w:tcPr>
                <w:p w14:paraId="440A4313">
                  <w:pPr>
                    <w:jc w:val="center"/>
                    <w:rPr>
                      <w:rFonts w:hint="eastAsia"/>
                      <w:color w:val="auto"/>
                      <w:sz w:val="18"/>
                      <w:szCs w:val="18"/>
                      <w:highlight w:val="none"/>
                      <w:lang w:val="en-US" w:eastAsia="zh-CN"/>
                    </w:rPr>
                  </w:pPr>
                </w:p>
              </w:tc>
            </w:tr>
            <w:tr w14:paraId="2A038B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noWrap w:val="0"/>
                  <w:vAlign w:val="center"/>
                </w:tcPr>
                <w:p w14:paraId="14B9EDD3">
                  <w:pPr>
                    <w:jc w:val="center"/>
                    <w:rPr>
                      <w:rFonts w:hint="default"/>
                      <w:color w:val="auto"/>
                      <w:sz w:val="18"/>
                      <w:szCs w:val="18"/>
                      <w:highlight w:val="none"/>
                      <w:lang w:val="en-US" w:eastAsia="zh-CN"/>
                    </w:rPr>
                  </w:pPr>
                  <w:r>
                    <w:rPr>
                      <w:rFonts w:hint="eastAsia"/>
                      <w:color w:val="auto"/>
                      <w:sz w:val="18"/>
                      <w:szCs w:val="18"/>
                      <w:highlight w:val="none"/>
                      <w:lang w:val="en-US" w:eastAsia="zh-CN"/>
                    </w:rPr>
                    <w:t>氧化铁渣</w:t>
                  </w:r>
                </w:p>
              </w:tc>
              <w:tc>
                <w:tcPr>
                  <w:tcW w:w="624" w:type="pct"/>
                  <w:shd w:val="clear" w:color="auto" w:fill="auto"/>
                  <w:noWrap w:val="0"/>
                  <w:vAlign w:val="center"/>
                </w:tcPr>
                <w:p w14:paraId="4637A04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带钢喷淋冷却清洗</w:t>
                  </w:r>
                </w:p>
              </w:tc>
              <w:tc>
                <w:tcPr>
                  <w:tcW w:w="364" w:type="pct"/>
                  <w:shd w:val="clear" w:color="auto" w:fill="auto"/>
                  <w:noWrap w:val="0"/>
                  <w:vAlign w:val="center"/>
                </w:tcPr>
                <w:p w14:paraId="46C99051">
                  <w:pPr>
                    <w:jc w:val="center"/>
                    <w:rPr>
                      <w:rFonts w:ascii="Times New Roman" w:hAnsi="Times New Roman" w:eastAsia="宋体" w:cs="Times New Roman"/>
                      <w:color w:val="auto"/>
                      <w:kern w:val="2"/>
                      <w:sz w:val="18"/>
                      <w:szCs w:val="18"/>
                      <w:highlight w:val="none"/>
                      <w:lang w:val="en-US" w:eastAsia="zh-CN" w:bidi="ar-SA"/>
                    </w:rPr>
                  </w:pPr>
                  <w:r>
                    <w:rPr>
                      <w:rFonts w:ascii="Times New Roman" w:hAnsi="Times New Roman"/>
                      <w:color w:val="auto"/>
                      <w:sz w:val="18"/>
                      <w:szCs w:val="18"/>
                      <w:highlight w:val="none"/>
                    </w:rPr>
                    <w:t>固态</w:t>
                  </w:r>
                </w:p>
              </w:tc>
              <w:tc>
                <w:tcPr>
                  <w:tcW w:w="531" w:type="pct"/>
                  <w:noWrap w:val="0"/>
                  <w:vAlign w:val="center"/>
                </w:tcPr>
                <w:p w14:paraId="1434BA43">
                  <w:pPr>
                    <w:jc w:val="center"/>
                    <w:rPr>
                      <w:rFonts w:ascii="Times New Roman" w:hAnsi="Times New Roman"/>
                      <w:color w:val="auto"/>
                      <w:sz w:val="18"/>
                      <w:szCs w:val="18"/>
                      <w:highlight w:val="none"/>
                    </w:rPr>
                  </w:pPr>
                  <w:r>
                    <w:rPr>
                      <w:rFonts w:hint="eastAsia"/>
                      <w:color w:val="auto"/>
                      <w:sz w:val="18"/>
                      <w:szCs w:val="18"/>
                      <w:highlight w:val="none"/>
                      <w:lang w:val="en-US" w:eastAsia="zh-CN"/>
                    </w:rPr>
                    <w:t>设计数据+工程经验</w:t>
                  </w:r>
                </w:p>
              </w:tc>
              <w:tc>
                <w:tcPr>
                  <w:tcW w:w="531" w:type="pct"/>
                  <w:noWrap w:val="0"/>
                  <w:vAlign w:val="center"/>
                </w:tcPr>
                <w:p w14:paraId="75B03DCC">
                  <w:pPr>
                    <w:jc w:val="center"/>
                    <w:rPr>
                      <w:rFonts w:hint="default"/>
                      <w:color w:val="auto"/>
                      <w:sz w:val="18"/>
                      <w:szCs w:val="18"/>
                      <w:highlight w:val="none"/>
                      <w:lang w:val="en-US" w:eastAsia="zh-CN"/>
                    </w:rPr>
                  </w:pPr>
                  <w:r>
                    <w:rPr>
                      <w:rFonts w:hint="eastAsia"/>
                      <w:color w:val="auto"/>
                      <w:sz w:val="18"/>
                      <w:szCs w:val="18"/>
                      <w:highlight w:val="none"/>
                      <w:lang w:val="en-US" w:eastAsia="zh-CN"/>
                    </w:rPr>
                    <w:t>100</w:t>
                  </w:r>
                </w:p>
              </w:tc>
              <w:tc>
                <w:tcPr>
                  <w:tcW w:w="604" w:type="pct"/>
                  <w:vMerge w:val="continue"/>
                  <w:noWrap w:val="0"/>
                  <w:vAlign w:val="center"/>
                </w:tcPr>
                <w:p w14:paraId="03726340">
                  <w:pPr>
                    <w:jc w:val="center"/>
                    <w:rPr>
                      <w:rFonts w:ascii="Times New Roman" w:hAnsi="Times New Roman"/>
                      <w:color w:val="auto"/>
                      <w:sz w:val="18"/>
                      <w:szCs w:val="18"/>
                      <w:highlight w:val="none"/>
                    </w:rPr>
                  </w:pPr>
                </w:p>
              </w:tc>
              <w:tc>
                <w:tcPr>
                  <w:tcW w:w="843" w:type="pct"/>
                  <w:noWrap w:val="0"/>
                  <w:vAlign w:val="center"/>
                </w:tcPr>
                <w:p w14:paraId="1A45283E">
                  <w:pPr>
                    <w:jc w:val="center"/>
                    <w:rPr>
                      <w:rFonts w:hint="eastAsia"/>
                      <w:color w:val="auto"/>
                      <w:sz w:val="18"/>
                      <w:szCs w:val="18"/>
                      <w:highlight w:val="none"/>
                      <w:lang w:val="en-US" w:eastAsia="zh-CN"/>
                    </w:rPr>
                  </w:pPr>
                  <w:r>
                    <w:rPr>
                      <w:rFonts w:hint="eastAsia"/>
                      <w:color w:val="auto"/>
                      <w:sz w:val="18"/>
                      <w:szCs w:val="18"/>
                      <w:highlight w:val="none"/>
                      <w:lang w:val="en-US" w:eastAsia="zh-CN"/>
                    </w:rPr>
                    <w:t>SW17</w:t>
                  </w:r>
                </w:p>
                <w:p w14:paraId="1FBDD8BA">
                  <w:pPr>
                    <w:jc w:val="center"/>
                    <w:rPr>
                      <w:rFonts w:hint="eastAsia"/>
                      <w:color w:val="auto"/>
                      <w:sz w:val="18"/>
                      <w:szCs w:val="18"/>
                      <w:highlight w:val="none"/>
                      <w:lang w:val="en-US" w:eastAsia="zh-CN"/>
                    </w:rPr>
                  </w:pPr>
                  <w:r>
                    <w:rPr>
                      <w:rFonts w:hint="eastAsia"/>
                      <w:color w:val="auto"/>
                      <w:sz w:val="18"/>
                      <w:szCs w:val="18"/>
                      <w:highlight w:val="none"/>
                      <w:lang w:val="en-US" w:eastAsia="zh-CN"/>
                    </w:rPr>
                    <w:t>900-099-S17</w:t>
                  </w:r>
                </w:p>
              </w:tc>
              <w:tc>
                <w:tcPr>
                  <w:tcW w:w="750" w:type="pct"/>
                  <w:vMerge w:val="continue"/>
                  <w:noWrap w:val="0"/>
                  <w:vAlign w:val="center"/>
                </w:tcPr>
                <w:p w14:paraId="2D7DC384">
                  <w:pPr>
                    <w:jc w:val="center"/>
                    <w:rPr>
                      <w:rFonts w:hint="eastAsia"/>
                      <w:color w:val="auto"/>
                      <w:sz w:val="18"/>
                      <w:szCs w:val="18"/>
                      <w:highlight w:val="none"/>
                      <w:lang w:val="en-US" w:eastAsia="zh-CN"/>
                    </w:rPr>
                  </w:pPr>
                </w:p>
              </w:tc>
            </w:tr>
            <w:tr w14:paraId="209031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noWrap w:val="0"/>
                  <w:vAlign w:val="center"/>
                </w:tcPr>
                <w:p w14:paraId="70F56752">
                  <w:pPr>
                    <w:jc w:val="center"/>
                    <w:rPr>
                      <w:rFonts w:hint="default"/>
                      <w:color w:val="auto"/>
                      <w:sz w:val="18"/>
                      <w:szCs w:val="18"/>
                      <w:highlight w:val="none"/>
                      <w:lang w:val="en-US" w:eastAsia="zh-CN"/>
                    </w:rPr>
                  </w:pPr>
                  <w:r>
                    <w:rPr>
                      <w:rFonts w:hint="eastAsia"/>
                      <w:color w:val="auto"/>
                      <w:sz w:val="18"/>
                      <w:szCs w:val="18"/>
                      <w:highlight w:val="none"/>
                      <w:lang w:val="en-US" w:eastAsia="zh-CN"/>
                    </w:rPr>
                    <w:t>废布袋及除尘灰</w:t>
                  </w:r>
                </w:p>
              </w:tc>
              <w:tc>
                <w:tcPr>
                  <w:tcW w:w="624" w:type="pct"/>
                  <w:shd w:val="clear" w:color="auto" w:fill="auto"/>
                  <w:noWrap w:val="0"/>
                  <w:vAlign w:val="center"/>
                </w:tcPr>
                <w:p w14:paraId="7EEA417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布袋除尘</w:t>
                  </w:r>
                </w:p>
              </w:tc>
              <w:tc>
                <w:tcPr>
                  <w:tcW w:w="364" w:type="pct"/>
                  <w:noWrap w:val="0"/>
                  <w:vAlign w:val="center"/>
                </w:tcPr>
                <w:p w14:paraId="0C7141EF">
                  <w:pPr>
                    <w:jc w:val="center"/>
                    <w:rPr>
                      <w:rFonts w:hint="default"/>
                      <w:color w:val="auto"/>
                      <w:sz w:val="18"/>
                      <w:szCs w:val="18"/>
                      <w:highlight w:val="none"/>
                      <w:lang w:val="en-US" w:eastAsia="zh-CN"/>
                    </w:rPr>
                  </w:pPr>
                  <w:r>
                    <w:rPr>
                      <w:rFonts w:hint="eastAsia"/>
                      <w:color w:val="auto"/>
                      <w:sz w:val="18"/>
                      <w:szCs w:val="18"/>
                      <w:highlight w:val="none"/>
                      <w:lang w:val="en-US" w:eastAsia="zh-CN"/>
                    </w:rPr>
                    <w:t>固态</w:t>
                  </w:r>
                </w:p>
              </w:tc>
              <w:tc>
                <w:tcPr>
                  <w:tcW w:w="531" w:type="pct"/>
                  <w:noWrap w:val="0"/>
                  <w:vAlign w:val="center"/>
                </w:tcPr>
                <w:p w14:paraId="044AAD6C">
                  <w:pPr>
                    <w:jc w:val="center"/>
                    <w:rPr>
                      <w:rFonts w:hint="default"/>
                      <w:color w:val="auto"/>
                      <w:sz w:val="18"/>
                      <w:szCs w:val="18"/>
                      <w:highlight w:val="none"/>
                      <w:lang w:val="en-US" w:eastAsia="zh-CN"/>
                    </w:rPr>
                  </w:pPr>
                  <w:r>
                    <w:rPr>
                      <w:rFonts w:hint="eastAsia"/>
                      <w:color w:val="auto"/>
                      <w:sz w:val="18"/>
                      <w:szCs w:val="18"/>
                      <w:highlight w:val="none"/>
                      <w:lang w:val="en-US" w:eastAsia="zh-CN"/>
                    </w:rPr>
                    <w:t>物料衡算</w:t>
                  </w:r>
                </w:p>
              </w:tc>
              <w:tc>
                <w:tcPr>
                  <w:tcW w:w="531" w:type="pct"/>
                  <w:noWrap w:val="0"/>
                  <w:vAlign w:val="center"/>
                </w:tcPr>
                <w:p w14:paraId="6021D3A9">
                  <w:pPr>
                    <w:jc w:val="center"/>
                    <w:rPr>
                      <w:rFonts w:hint="default"/>
                      <w:color w:val="auto"/>
                      <w:sz w:val="18"/>
                      <w:szCs w:val="18"/>
                      <w:highlight w:val="none"/>
                      <w:lang w:val="en-US" w:eastAsia="zh-CN"/>
                    </w:rPr>
                  </w:pPr>
                  <w:r>
                    <w:rPr>
                      <w:rFonts w:hint="eastAsia"/>
                      <w:color w:val="auto"/>
                      <w:sz w:val="18"/>
                      <w:szCs w:val="18"/>
                      <w:highlight w:val="none"/>
                      <w:lang w:val="en-US" w:eastAsia="zh-CN"/>
                    </w:rPr>
                    <w:t>324.82</w:t>
                  </w:r>
                </w:p>
              </w:tc>
              <w:tc>
                <w:tcPr>
                  <w:tcW w:w="604" w:type="pct"/>
                  <w:vMerge w:val="continue"/>
                  <w:noWrap w:val="0"/>
                  <w:vAlign w:val="center"/>
                </w:tcPr>
                <w:p w14:paraId="50F717D7">
                  <w:pPr>
                    <w:jc w:val="center"/>
                    <w:rPr>
                      <w:rFonts w:ascii="Times New Roman" w:hAnsi="Times New Roman"/>
                      <w:color w:val="auto"/>
                      <w:sz w:val="18"/>
                      <w:szCs w:val="18"/>
                      <w:highlight w:val="none"/>
                    </w:rPr>
                  </w:pPr>
                </w:p>
              </w:tc>
              <w:tc>
                <w:tcPr>
                  <w:tcW w:w="843" w:type="pct"/>
                  <w:noWrap w:val="0"/>
                  <w:vAlign w:val="center"/>
                </w:tcPr>
                <w:p w14:paraId="38F8F006">
                  <w:pPr>
                    <w:jc w:val="center"/>
                    <w:rPr>
                      <w:rFonts w:hint="eastAsia"/>
                      <w:color w:val="auto"/>
                      <w:sz w:val="18"/>
                      <w:szCs w:val="18"/>
                      <w:highlight w:val="none"/>
                      <w:lang w:val="en-US" w:eastAsia="zh-CN"/>
                    </w:rPr>
                  </w:pPr>
                  <w:r>
                    <w:rPr>
                      <w:rFonts w:hint="eastAsia"/>
                      <w:color w:val="auto"/>
                      <w:sz w:val="18"/>
                      <w:szCs w:val="18"/>
                      <w:highlight w:val="none"/>
                      <w:lang w:val="en-US" w:eastAsia="zh-CN"/>
                    </w:rPr>
                    <w:t>SW17</w:t>
                  </w:r>
                </w:p>
                <w:p w14:paraId="2AE2B3CC">
                  <w:pPr>
                    <w:jc w:val="center"/>
                    <w:rPr>
                      <w:rFonts w:hint="eastAsia"/>
                      <w:color w:val="auto"/>
                      <w:sz w:val="18"/>
                      <w:szCs w:val="18"/>
                      <w:highlight w:val="none"/>
                      <w:lang w:val="en-US" w:eastAsia="zh-CN"/>
                    </w:rPr>
                  </w:pPr>
                  <w:r>
                    <w:rPr>
                      <w:rFonts w:hint="eastAsia"/>
                      <w:color w:val="auto"/>
                      <w:sz w:val="18"/>
                      <w:szCs w:val="18"/>
                      <w:highlight w:val="none"/>
                      <w:lang w:val="en-US" w:eastAsia="zh-CN"/>
                    </w:rPr>
                    <w:t>900-099-S17</w:t>
                  </w:r>
                </w:p>
              </w:tc>
              <w:tc>
                <w:tcPr>
                  <w:tcW w:w="750" w:type="pct"/>
                  <w:vMerge w:val="continue"/>
                  <w:noWrap w:val="0"/>
                  <w:vAlign w:val="center"/>
                </w:tcPr>
                <w:p w14:paraId="26B9CD53">
                  <w:pPr>
                    <w:jc w:val="center"/>
                    <w:rPr>
                      <w:rFonts w:ascii="Times New Roman" w:hAnsi="Times New Roman"/>
                      <w:color w:val="auto"/>
                      <w:sz w:val="18"/>
                      <w:szCs w:val="18"/>
                      <w:highlight w:val="none"/>
                    </w:rPr>
                  </w:pPr>
                </w:p>
              </w:tc>
            </w:tr>
            <w:tr w14:paraId="111FEA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shd w:val="clear" w:color="auto" w:fill="auto"/>
                  <w:noWrap w:val="0"/>
                  <w:vAlign w:val="center"/>
                </w:tcPr>
                <w:p w14:paraId="7A0AF033">
                  <w:pPr>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废反渗透膜</w:t>
                  </w:r>
                </w:p>
              </w:tc>
              <w:tc>
                <w:tcPr>
                  <w:tcW w:w="624" w:type="pct"/>
                  <w:shd w:val="clear" w:color="auto" w:fill="auto"/>
                  <w:noWrap w:val="0"/>
                  <w:vAlign w:val="center"/>
                </w:tcPr>
                <w:p w14:paraId="4913B85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脱盐水设备</w:t>
                  </w:r>
                </w:p>
              </w:tc>
              <w:tc>
                <w:tcPr>
                  <w:tcW w:w="364" w:type="pct"/>
                  <w:noWrap w:val="0"/>
                  <w:vAlign w:val="center"/>
                </w:tcPr>
                <w:p w14:paraId="00F41A2C">
                  <w:pPr>
                    <w:jc w:val="center"/>
                    <w:rPr>
                      <w:color w:val="auto"/>
                      <w:sz w:val="18"/>
                      <w:szCs w:val="18"/>
                      <w:highlight w:val="none"/>
                    </w:rPr>
                  </w:pPr>
                  <w:r>
                    <w:rPr>
                      <w:rFonts w:ascii="Times New Roman" w:hAnsi="Times New Roman"/>
                      <w:color w:val="auto"/>
                      <w:sz w:val="18"/>
                      <w:szCs w:val="18"/>
                      <w:highlight w:val="none"/>
                    </w:rPr>
                    <w:t>固态</w:t>
                  </w:r>
                </w:p>
              </w:tc>
              <w:tc>
                <w:tcPr>
                  <w:tcW w:w="531" w:type="pct"/>
                  <w:noWrap w:val="0"/>
                  <w:vAlign w:val="center"/>
                </w:tcPr>
                <w:p w14:paraId="42A97197">
                  <w:pPr>
                    <w:jc w:val="center"/>
                    <w:rPr>
                      <w:rFonts w:hint="eastAsia"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定期更换</w:t>
                  </w:r>
                </w:p>
              </w:tc>
              <w:tc>
                <w:tcPr>
                  <w:tcW w:w="531" w:type="pct"/>
                  <w:noWrap w:val="0"/>
                  <w:vAlign w:val="center"/>
                </w:tcPr>
                <w:p w14:paraId="166FFC92">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0.025</w:t>
                  </w:r>
                </w:p>
              </w:tc>
              <w:tc>
                <w:tcPr>
                  <w:tcW w:w="604" w:type="pct"/>
                  <w:vMerge w:val="continue"/>
                  <w:noWrap w:val="0"/>
                  <w:vAlign w:val="center"/>
                </w:tcPr>
                <w:p w14:paraId="30084786">
                  <w:pPr>
                    <w:jc w:val="center"/>
                    <w:rPr>
                      <w:rFonts w:ascii="Times New Roman" w:hAnsi="Times New Roman"/>
                      <w:color w:val="auto"/>
                      <w:sz w:val="18"/>
                      <w:szCs w:val="18"/>
                      <w:highlight w:val="none"/>
                    </w:rPr>
                  </w:pPr>
                </w:p>
              </w:tc>
              <w:tc>
                <w:tcPr>
                  <w:tcW w:w="843" w:type="pct"/>
                  <w:noWrap w:val="0"/>
                  <w:vAlign w:val="center"/>
                </w:tcPr>
                <w:p w14:paraId="1D7D5F86">
                  <w:pPr>
                    <w:jc w:val="center"/>
                    <w:rPr>
                      <w:rFonts w:hint="eastAsia"/>
                      <w:color w:val="auto"/>
                      <w:sz w:val="18"/>
                      <w:szCs w:val="18"/>
                      <w:highlight w:val="none"/>
                      <w:lang w:val="en-US" w:eastAsia="zh-CN"/>
                    </w:rPr>
                  </w:pPr>
                  <w:r>
                    <w:rPr>
                      <w:rFonts w:hint="eastAsia"/>
                      <w:color w:val="auto"/>
                      <w:sz w:val="18"/>
                      <w:szCs w:val="18"/>
                      <w:highlight w:val="none"/>
                      <w:lang w:val="en-US" w:eastAsia="zh-CN"/>
                    </w:rPr>
                    <w:t>SW17</w:t>
                  </w:r>
                </w:p>
                <w:p w14:paraId="4097C8D1">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900-099-S17</w:t>
                  </w:r>
                </w:p>
              </w:tc>
              <w:tc>
                <w:tcPr>
                  <w:tcW w:w="750" w:type="pct"/>
                  <w:noWrap w:val="0"/>
                  <w:vAlign w:val="center"/>
                </w:tcPr>
                <w:p w14:paraId="16C79896">
                  <w:pPr>
                    <w:jc w:val="center"/>
                    <w:rPr>
                      <w:rFonts w:ascii="Times New Roman" w:hAnsi="Times New Roman"/>
                      <w:color w:val="auto"/>
                      <w:sz w:val="18"/>
                      <w:szCs w:val="18"/>
                      <w:highlight w:val="none"/>
                    </w:rPr>
                  </w:pPr>
                  <w:r>
                    <w:rPr>
                      <w:rFonts w:hint="eastAsia"/>
                      <w:color w:val="auto"/>
                      <w:sz w:val="18"/>
                      <w:szCs w:val="18"/>
                      <w:highlight w:val="none"/>
                      <w:lang w:val="en-US" w:eastAsia="zh-CN"/>
                    </w:rPr>
                    <w:t>厂家回收</w:t>
                  </w:r>
                </w:p>
              </w:tc>
            </w:tr>
            <w:tr w14:paraId="21D057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jc w:val="center"/>
              </w:trPr>
              <w:tc>
                <w:tcPr>
                  <w:tcW w:w="749" w:type="pct"/>
                  <w:noWrap w:val="0"/>
                  <w:vAlign w:val="center"/>
                </w:tcPr>
                <w:p w14:paraId="55270A8C">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废包装材料</w:t>
                  </w:r>
                </w:p>
              </w:tc>
              <w:tc>
                <w:tcPr>
                  <w:tcW w:w="624" w:type="pct"/>
                  <w:shd w:val="clear" w:color="auto" w:fill="auto"/>
                  <w:noWrap w:val="0"/>
                  <w:vAlign w:val="center"/>
                </w:tcPr>
                <w:p w14:paraId="1B85DF8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原材料包装</w:t>
                  </w:r>
                </w:p>
              </w:tc>
              <w:tc>
                <w:tcPr>
                  <w:tcW w:w="364" w:type="pct"/>
                  <w:noWrap w:val="0"/>
                  <w:vAlign w:val="center"/>
                </w:tcPr>
                <w:p w14:paraId="6AF4903D">
                  <w:pPr>
                    <w:jc w:val="center"/>
                    <w:rPr>
                      <w:color w:val="auto"/>
                      <w:sz w:val="18"/>
                      <w:szCs w:val="18"/>
                      <w:highlight w:val="none"/>
                    </w:rPr>
                  </w:pPr>
                  <w:r>
                    <w:rPr>
                      <w:rFonts w:hint="eastAsia"/>
                      <w:color w:val="auto"/>
                      <w:sz w:val="18"/>
                      <w:szCs w:val="18"/>
                      <w:highlight w:val="none"/>
                    </w:rPr>
                    <w:t>固态</w:t>
                  </w:r>
                </w:p>
              </w:tc>
              <w:tc>
                <w:tcPr>
                  <w:tcW w:w="531" w:type="pct"/>
                  <w:noWrap w:val="0"/>
                  <w:vAlign w:val="center"/>
                </w:tcPr>
                <w:p w14:paraId="508F2201">
                  <w:pPr>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产污系数</w:t>
                  </w:r>
                </w:p>
              </w:tc>
              <w:tc>
                <w:tcPr>
                  <w:tcW w:w="531" w:type="pct"/>
                  <w:noWrap w:val="0"/>
                  <w:vAlign w:val="center"/>
                </w:tcPr>
                <w:p w14:paraId="330EEC2B">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5</w:t>
                  </w:r>
                </w:p>
              </w:tc>
              <w:tc>
                <w:tcPr>
                  <w:tcW w:w="604" w:type="pct"/>
                  <w:vMerge w:val="continue"/>
                  <w:noWrap w:val="0"/>
                  <w:vAlign w:val="center"/>
                </w:tcPr>
                <w:p w14:paraId="746B5F57">
                  <w:pPr>
                    <w:jc w:val="center"/>
                    <w:rPr>
                      <w:rFonts w:ascii="Times New Roman" w:hAnsi="Times New Roman"/>
                      <w:color w:val="auto"/>
                      <w:sz w:val="18"/>
                      <w:szCs w:val="18"/>
                      <w:highlight w:val="none"/>
                    </w:rPr>
                  </w:pPr>
                </w:p>
              </w:tc>
              <w:tc>
                <w:tcPr>
                  <w:tcW w:w="843" w:type="pct"/>
                  <w:noWrap w:val="0"/>
                  <w:vAlign w:val="center"/>
                </w:tcPr>
                <w:p w14:paraId="2D1439A6">
                  <w:pPr>
                    <w:jc w:val="center"/>
                    <w:rPr>
                      <w:rFonts w:hint="eastAsia"/>
                      <w:color w:val="auto"/>
                      <w:sz w:val="18"/>
                      <w:szCs w:val="18"/>
                      <w:highlight w:val="none"/>
                      <w:lang w:val="en-US" w:eastAsia="zh-CN"/>
                    </w:rPr>
                  </w:pPr>
                  <w:r>
                    <w:rPr>
                      <w:rFonts w:hint="eastAsia"/>
                      <w:color w:val="auto"/>
                      <w:sz w:val="18"/>
                      <w:szCs w:val="18"/>
                      <w:highlight w:val="none"/>
                      <w:lang w:val="en-US" w:eastAsia="zh-CN"/>
                    </w:rPr>
                    <w:t>SW17</w:t>
                  </w:r>
                </w:p>
                <w:p w14:paraId="6C10777D">
                  <w:pPr>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900-005-S17</w:t>
                  </w:r>
                </w:p>
              </w:tc>
              <w:tc>
                <w:tcPr>
                  <w:tcW w:w="750" w:type="pct"/>
                  <w:vMerge w:val="restart"/>
                  <w:noWrap w:val="0"/>
                  <w:vAlign w:val="center"/>
                </w:tcPr>
                <w:p w14:paraId="634D55D7">
                  <w:pPr>
                    <w:jc w:val="center"/>
                    <w:rPr>
                      <w:rFonts w:hint="eastAsia"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外售综合利用</w:t>
                  </w:r>
                </w:p>
              </w:tc>
            </w:tr>
            <w:tr w14:paraId="602C77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noWrap w:val="0"/>
                  <w:vAlign w:val="center"/>
                </w:tcPr>
                <w:p w14:paraId="4AF6AECF">
                  <w:pPr>
                    <w:jc w:val="center"/>
                    <w:rPr>
                      <w:rFonts w:hint="default"/>
                      <w:color w:val="auto"/>
                      <w:sz w:val="18"/>
                      <w:szCs w:val="18"/>
                      <w:highlight w:val="none"/>
                      <w:lang w:val="en-US" w:eastAsia="zh-CN"/>
                    </w:rPr>
                  </w:pPr>
                  <w:r>
                    <w:rPr>
                      <w:rFonts w:hint="eastAsia"/>
                      <w:color w:val="auto"/>
                      <w:sz w:val="18"/>
                      <w:szCs w:val="18"/>
                      <w:highlight w:val="none"/>
                      <w:lang w:val="en-US" w:eastAsia="zh-CN"/>
                    </w:rPr>
                    <w:t>氧化铁粉</w:t>
                  </w:r>
                </w:p>
              </w:tc>
              <w:tc>
                <w:tcPr>
                  <w:tcW w:w="624" w:type="pct"/>
                  <w:shd w:val="clear" w:color="auto" w:fill="auto"/>
                  <w:noWrap w:val="0"/>
                  <w:vAlign w:val="center"/>
                </w:tcPr>
                <w:p w14:paraId="10EB153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废酸再生</w:t>
                  </w:r>
                </w:p>
              </w:tc>
              <w:tc>
                <w:tcPr>
                  <w:tcW w:w="364" w:type="pct"/>
                  <w:noWrap w:val="0"/>
                  <w:vAlign w:val="center"/>
                </w:tcPr>
                <w:p w14:paraId="2BB37E58">
                  <w:pPr>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固态</w:t>
                  </w:r>
                </w:p>
              </w:tc>
              <w:tc>
                <w:tcPr>
                  <w:tcW w:w="531" w:type="pct"/>
                  <w:noWrap w:val="0"/>
                  <w:vAlign w:val="center"/>
                </w:tcPr>
                <w:p w14:paraId="359C45E5">
                  <w:pPr>
                    <w:jc w:val="center"/>
                    <w:rPr>
                      <w:rFonts w:hint="eastAsia"/>
                      <w:color w:val="auto"/>
                      <w:sz w:val="18"/>
                      <w:szCs w:val="18"/>
                      <w:highlight w:val="none"/>
                      <w:lang w:val="en-US" w:eastAsia="zh-CN"/>
                    </w:rPr>
                  </w:pPr>
                  <w:r>
                    <w:rPr>
                      <w:rFonts w:hint="eastAsia"/>
                      <w:color w:val="auto"/>
                      <w:sz w:val="18"/>
                      <w:szCs w:val="18"/>
                      <w:highlight w:val="none"/>
                      <w:lang w:val="en-US" w:eastAsia="zh-CN"/>
                    </w:rPr>
                    <w:t>金属平衡</w:t>
                  </w:r>
                </w:p>
              </w:tc>
              <w:tc>
                <w:tcPr>
                  <w:tcW w:w="531" w:type="pct"/>
                  <w:noWrap w:val="0"/>
                  <w:vAlign w:val="center"/>
                </w:tcPr>
                <w:p w14:paraId="06EA6699">
                  <w:pPr>
                    <w:jc w:val="center"/>
                    <w:rPr>
                      <w:rFonts w:hint="default"/>
                      <w:color w:val="auto"/>
                      <w:sz w:val="18"/>
                      <w:szCs w:val="18"/>
                      <w:highlight w:val="none"/>
                      <w:lang w:val="en-US" w:eastAsia="zh-CN"/>
                    </w:rPr>
                  </w:pPr>
                  <w:r>
                    <w:rPr>
                      <w:rFonts w:hint="eastAsia"/>
                      <w:color w:val="auto"/>
                      <w:sz w:val="18"/>
                      <w:szCs w:val="18"/>
                      <w:highlight w:val="none"/>
                      <w:lang w:val="en-US" w:eastAsia="zh-CN"/>
                    </w:rPr>
                    <w:t>960</w:t>
                  </w:r>
                </w:p>
              </w:tc>
              <w:tc>
                <w:tcPr>
                  <w:tcW w:w="604" w:type="pct"/>
                  <w:vMerge w:val="continue"/>
                  <w:noWrap w:val="0"/>
                  <w:vAlign w:val="center"/>
                </w:tcPr>
                <w:p w14:paraId="017E376E">
                  <w:pPr>
                    <w:jc w:val="center"/>
                    <w:rPr>
                      <w:rFonts w:ascii="Times New Roman" w:hAnsi="Times New Roman"/>
                      <w:color w:val="auto"/>
                      <w:sz w:val="18"/>
                      <w:szCs w:val="18"/>
                      <w:highlight w:val="none"/>
                    </w:rPr>
                  </w:pPr>
                </w:p>
              </w:tc>
              <w:tc>
                <w:tcPr>
                  <w:tcW w:w="843" w:type="pct"/>
                  <w:noWrap w:val="0"/>
                  <w:vAlign w:val="center"/>
                </w:tcPr>
                <w:p w14:paraId="720F1127">
                  <w:pPr>
                    <w:jc w:val="center"/>
                    <w:rPr>
                      <w:rFonts w:hint="eastAsia"/>
                      <w:color w:val="auto"/>
                      <w:sz w:val="18"/>
                      <w:szCs w:val="18"/>
                      <w:highlight w:val="none"/>
                      <w:lang w:val="en-US" w:eastAsia="zh-CN"/>
                    </w:rPr>
                  </w:pPr>
                  <w:r>
                    <w:rPr>
                      <w:rFonts w:hint="eastAsia"/>
                      <w:color w:val="auto"/>
                      <w:sz w:val="18"/>
                      <w:szCs w:val="18"/>
                      <w:highlight w:val="none"/>
                      <w:lang w:val="en-US" w:eastAsia="zh-CN"/>
                    </w:rPr>
                    <w:t>SW17</w:t>
                  </w:r>
                </w:p>
                <w:p w14:paraId="4FD399B6">
                  <w:pPr>
                    <w:jc w:val="center"/>
                    <w:rPr>
                      <w:rFonts w:ascii="Times New Roman" w:hAnsi="Times New Roman"/>
                      <w:color w:val="auto"/>
                      <w:sz w:val="18"/>
                      <w:szCs w:val="18"/>
                      <w:highlight w:val="none"/>
                    </w:rPr>
                  </w:pPr>
                  <w:r>
                    <w:rPr>
                      <w:rFonts w:hint="eastAsia"/>
                      <w:color w:val="auto"/>
                      <w:sz w:val="18"/>
                      <w:szCs w:val="18"/>
                      <w:highlight w:val="none"/>
                      <w:lang w:val="en-US" w:eastAsia="zh-CN"/>
                    </w:rPr>
                    <w:t>900-099-S17</w:t>
                  </w:r>
                </w:p>
              </w:tc>
              <w:tc>
                <w:tcPr>
                  <w:tcW w:w="750" w:type="pct"/>
                  <w:vMerge w:val="continue"/>
                  <w:noWrap w:val="0"/>
                  <w:vAlign w:val="center"/>
                </w:tcPr>
                <w:p w14:paraId="449B908C">
                  <w:pPr>
                    <w:jc w:val="center"/>
                    <w:rPr>
                      <w:rFonts w:ascii="Times New Roman" w:hAnsi="Times New Roman"/>
                      <w:color w:val="auto"/>
                      <w:sz w:val="18"/>
                      <w:szCs w:val="18"/>
                      <w:highlight w:val="none"/>
                    </w:rPr>
                  </w:pPr>
                </w:p>
              </w:tc>
            </w:tr>
            <w:tr w14:paraId="31F1E8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shd w:val="clear" w:color="auto" w:fill="auto"/>
                  <w:noWrap w:val="0"/>
                  <w:vAlign w:val="center"/>
                </w:tcPr>
                <w:p w14:paraId="6744A85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废过滤器</w:t>
                  </w:r>
                </w:p>
              </w:tc>
              <w:tc>
                <w:tcPr>
                  <w:tcW w:w="624" w:type="pct"/>
                  <w:shd w:val="clear" w:color="auto" w:fill="auto"/>
                  <w:noWrap w:val="0"/>
                  <w:vAlign w:val="center"/>
                </w:tcPr>
                <w:p w14:paraId="5F8788A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浊循环水系统</w:t>
                  </w:r>
                </w:p>
              </w:tc>
              <w:tc>
                <w:tcPr>
                  <w:tcW w:w="364" w:type="pct"/>
                  <w:noWrap w:val="0"/>
                  <w:vAlign w:val="center"/>
                </w:tcPr>
                <w:p w14:paraId="202F657F">
                  <w:pPr>
                    <w:jc w:val="center"/>
                    <w:rPr>
                      <w:rFonts w:hint="eastAsia"/>
                      <w:color w:val="auto"/>
                      <w:sz w:val="18"/>
                      <w:szCs w:val="18"/>
                      <w:highlight w:val="none"/>
                      <w:lang w:val="en-US" w:eastAsia="zh-CN"/>
                    </w:rPr>
                  </w:pPr>
                  <w:r>
                    <w:rPr>
                      <w:rFonts w:hint="eastAsia"/>
                      <w:color w:val="auto"/>
                      <w:sz w:val="18"/>
                      <w:szCs w:val="18"/>
                      <w:highlight w:val="none"/>
                      <w:lang w:val="en-US" w:eastAsia="zh-CN"/>
                    </w:rPr>
                    <w:t>固态</w:t>
                  </w:r>
                </w:p>
              </w:tc>
              <w:tc>
                <w:tcPr>
                  <w:tcW w:w="531" w:type="pct"/>
                  <w:noWrap w:val="0"/>
                  <w:vAlign w:val="center"/>
                </w:tcPr>
                <w:p w14:paraId="29CDFA89">
                  <w:pPr>
                    <w:jc w:val="center"/>
                    <w:rPr>
                      <w:rFonts w:hint="default"/>
                      <w:color w:val="auto"/>
                      <w:sz w:val="18"/>
                      <w:szCs w:val="18"/>
                      <w:highlight w:val="none"/>
                      <w:lang w:val="en-US" w:eastAsia="zh-CN"/>
                    </w:rPr>
                  </w:pPr>
                  <w:r>
                    <w:rPr>
                      <w:rFonts w:hint="eastAsia"/>
                      <w:color w:val="auto"/>
                      <w:sz w:val="18"/>
                      <w:szCs w:val="18"/>
                      <w:highlight w:val="none"/>
                      <w:lang w:val="en-US" w:eastAsia="zh-CN"/>
                    </w:rPr>
                    <w:t>设计数据</w:t>
                  </w:r>
                </w:p>
              </w:tc>
              <w:tc>
                <w:tcPr>
                  <w:tcW w:w="531" w:type="pct"/>
                  <w:noWrap w:val="0"/>
                  <w:vAlign w:val="center"/>
                </w:tcPr>
                <w:p w14:paraId="520411E4">
                  <w:pPr>
                    <w:jc w:val="center"/>
                    <w:rPr>
                      <w:rFonts w:hint="default"/>
                      <w:color w:val="auto"/>
                      <w:sz w:val="18"/>
                      <w:szCs w:val="18"/>
                      <w:highlight w:val="none"/>
                      <w:lang w:val="en-US" w:eastAsia="zh-CN"/>
                    </w:rPr>
                  </w:pPr>
                  <w:r>
                    <w:rPr>
                      <w:rFonts w:hint="eastAsia"/>
                      <w:color w:val="auto"/>
                      <w:sz w:val="18"/>
                      <w:szCs w:val="18"/>
                      <w:highlight w:val="none"/>
                      <w:lang w:val="en-US" w:eastAsia="zh-CN"/>
                    </w:rPr>
                    <w:t>0.04</w:t>
                  </w:r>
                </w:p>
              </w:tc>
              <w:tc>
                <w:tcPr>
                  <w:tcW w:w="604" w:type="pct"/>
                  <w:vMerge w:val="continue"/>
                  <w:noWrap w:val="0"/>
                  <w:vAlign w:val="center"/>
                </w:tcPr>
                <w:p w14:paraId="2E0DB192">
                  <w:pPr>
                    <w:jc w:val="center"/>
                    <w:rPr>
                      <w:rFonts w:ascii="Times New Roman" w:hAnsi="Times New Roman"/>
                      <w:color w:val="auto"/>
                      <w:sz w:val="18"/>
                      <w:szCs w:val="18"/>
                      <w:highlight w:val="none"/>
                    </w:rPr>
                  </w:pPr>
                </w:p>
              </w:tc>
              <w:tc>
                <w:tcPr>
                  <w:tcW w:w="843" w:type="pct"/>
                  <w:noWrap w:val="0"/>
                  <w:vAlign w:val="center"/>
                </w:tcPr>
                <w:p w14:paraId="251BD7DA">
                  <w:pPr>
                    <w:jc w:val="center"/>
                    <w:rPr>
                      <w:rFonts w:hint="default"/>
                      <w:color w:val="auto"/>
                      <w:sz w:val="18"/>
                      <w:szCs w:val="18"/>
                      <w:highlight w:val="none"/>
                      <w:lang w:val="en-US" w:eastAsia="zh-CN"/>
                    </w:rPr>
                  </w:pPr>
                  <w:r>
                    <w:rPr>
                      <w:rFonts w:hint="eastAsia"/>
                      <w:color w:val="auto"/>
                      <w:sz w:val="18"/>
                      <w:szCs w:val="18"/>
                      <w:highlight w:val="none"/>
                      <w:lang w:val="en-US" w:eastAsia="zh-CN"/>
                    </w:rPr>
                    <w:t>SW59</w:t>
                  </w:r>
                </w:p>
                <w:p w14:paraId="0DF9F987">
                  <w:pPr>
                    <w:jc w:val="center"/>
                    <w:rPr>
                      <w:rFonts w:hint="eastAsia"/>
                      <w:color w:val="auto"/>
                      <w:sz w:val="18"/>
                      <w:szCs w:val="18"/>
                      <w:highlight w:val="none"/>
                      <w:lang w:val="en-US" w:eastAsia="zh-CN"/>
                    </w:rPr>
                  </w:pPr>
                  <w:r>
                    <w:rPr>
                      <w:rFonts w:hint="eastAsia"/>
                      <w:color w:val="auto"/>
                      <w:sz w:val="18"/>
                      <w:szCs w:val="18"/>
                      <w:highlight w:val="none"/>
                      <w:lang w:val="en-US" w:eastAsia="zh-CN"/>
                    </w:rPr>
                    <w:t>900-008-S59</w:t>
                  </w:r>
                </w:p>
              </w:tc>
              <w:tc>
                <w:tcPr>
                  <w:tcW w:w="750" w:type="pct"/>
                  <w:vMerge w:val="continue"/>
                  <w:noWrap w:val="0"/>
                  <w:vAlign w:val="center"/>
                </w:tcPr>
                <w:p w14:paraId="60B19FEB">
                  <w:pPr>
                    <w:jc w:val="center"/>
                    <w:rPr>
                      <w:rFonts w:ascii="Times New Roman" w:hAnsi="Times New Roman"/>
                      <w:color w:val="auto"/>
                      <w:sz w:val="18"/>
                      <w:szCs w:val="18"/>
                      <w:highlight w:val="none"/>
                    </w:rPr>
                  </w:pPr>
                </w:p>
              </w:tc>
            </w:tr>
            <w:tr w14:paraId="78358B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shd w:val="clear" w:color="auto" w:fill="auto"/>
                  <w:noWrap w:val="0"/>
                  <w:vAlign w:val="center"/>
                </w:tcPr>
                <w:p w14:paraId="0D836324">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废多介质及活性炭过滤器</w:t>
                  </w:r>
                </w:p>
              </w:tc>
              <w:tc>
                <w:tcPr>
                  <w:tcW w:w="624" w:type="pct"/>
                  <w:shd w:val="clear" w:color="auto" w:fill="auto"/>
                  <w:noWrap w:val="0"/>
                  <w:vAlign w:val="center"/>
                </w:tcPr>
                <w:p w14:paraId="16C3191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脱盐水系统</w:t>
                  </w:r>
                </w:p>
              </w:tc>
              <w:tc>
                <w:tcPr>
                  <w:tcW w:w="364" w:type="pct"/>
                  <w:noWrap w:val="0"/>
                  <w:vAlign w:val="center"/>
                </w:tcPr>
                <w:p w14:paraId="3C015B46">
                  <w:pPr>
                    <w:jc w:val="center"/>
                    <w:rPr>
                      <w:rFonts w:hint="eastAsia"/>
                      <w:color w:val="auto"/>
                      <w:sz w:val="18"/>
                      <w:szCs w:val="18"/>
                      <w:highlight w:val="none"/>
                      <w:lang w:val="en-US" w:eastAsia="zh-CN"/>
                    </w:rPr>
                  </w:pPr>
                  <w:r>
                    <w:rPr>
                      <w:rFonts w:hint="eastAsia"/>
                      <w:color w:val="auto"/>
                      <w:sz w:val="18"/>
                      <w:szCs w:val="18"/>
                      <w:highlight w:val="none"/>
                      <w:lang w:val="en-US" w:eastAsia="zh-CN"/>
                    </w:rPr>
                    <w:t>固态</w:t>
                  </w:r>
                </w:p>
              </w:tc>
              <w:tc>
                <w:tcPr>
                  <w:tcW w:w="531" w:type="pct"/>
                  <w:noWrap w:val="0"/>
                  <w:vAlign w:val="center"/>
                </w:tcPr>
                <w:p w14:paraId="04CB1304">
                  <w:pPr>
                    <w:jc w:val="center"/>
                    <w:rPr>
                      <w:rFonts w:hint="eastAsia"/>
                      <w:color w:val="auto"/>
                      <w:sz w:val="18"/>
                      <w:szCs w:val="18"/>
                      <w:highlight w:val="none"/>
                      <w:lang w:val="en-US" w:eastAsia="zh-CN"/>
                    </w:rPr>
                  </w:pPr>
                  <w:r>
                    <w:rPr>
                      <w:rFonts w:hint="eastAsia"/>
                      <w:color w:val="auto"/>
                      <w:sz w:val="18"/>
                      <w:szCs w:val="18"/>
                      <w:highlight w:val="none"/>
                      <w:lang w:val="en-US" w:eastAsia="zh-CN"/>
                    </w:rPr>
                    <w:t>设计数据</w:t>
                  </w:r>
                </w:p>
              </w:tc>
              <w:tc>
                <w:tcPr>
                  <w:tcW w:w="531" w:type="pct"/>
                  <w:noWrap w:val="0"/>
                  <w:vAlign w:val="center"/>
                </w:tcPr>
                <w:p w14:paraId="74EA8EBA">
                  <w:pPr>
                    <w:jc w:val="center"/>
                    <w:rPr>
                      <w:rFonts w:hint="default"/>
                      <w:color w:val="auto"/>
                      <w:sz w:val="18"/>
                      <w:szCs w:val="18"/>
                      <w:highlight w:val="none"/>
                      <w:lang w:val="en-US" w:eastAsia="zh-CN"/>
                    </w:rPr>
                  </w:pPr>
                  <w:r>
                    <w:rPr>
                      <w:rFonts w:hint="eastAsia"/>
                      <w:color w:val="auto"/>
                      <w:sz w:val="18"/>
                      <w:szCs w:val="18"/>
                      <w:highlight w:val="none"/>
                      <w:lang w:val="en-US" w:eastAsia="zh-CN"/>
                    </w:rPr>
                    <w:t>1.5</w:t>
                  </w:r>
                </w:p>
              </w:tc>
              <w:tc>
                <w:tcPr>
                  <w:tcW w:w="604" w:type="pct"/>
                  <w:vMerge w:val="continue"/>
                  <w:noWrap w:val="0"/>
                  <w:vAlign w:val="center"/>
                </w:tcPr>
                <w:p w14:paraId="0A27CED3">
                  <w:pPr>
                    <w:jc w:val="center"/>
                    <w:rPr>
                      <w:rFonts w:ascii="Times New Roman" w:hAnsi="Times New Roman"/>
                      <w:color w:val="auto"/>
                      <w:sz w:val="18"/>
                      <w:szCs w:val="18"/>
                      <w:highlight w:val="none"/>
                    </w:rPr>
                  </w:pPr>
                </w:p>
              </w:tc>
              <w:tc>
                <w:tcPr>
                  <w:tcW w:w="843" w:type="pct"/>
                  <w:noWrap w:val="0"/>
                  <w:vAlign w:val="center"/>
                </w:tcPr>
                <w:p w14:paraId="7C4C6DE7">
                  <w:pPr>
                    <w:jc w:val="center"/>
                    <w:rPr>
                      <w:rFonts w:hint="default"/>
                      <w:color w:val="auto"/>
                      <w:sz w:val="18"/>
                      <w:szCs w:val="18"/>
                      <w:highlight w:val="none"/>
                      <w:lang w:val="en-US" w:eastAsia="zh-CN"/>
                    </w:rPr>
                  </w:pPr>
                  <w:r>
                    <w:rPr>
                      <w:rFonts w:hint="eastAsia"/>
                      <w:color w:val="auto"/>
                      <w:sz w:val="18"/>
                      <w:szCs w:val="18"/>
                      <w:highlight w:val="none"/>
                      <w:lang w:val="en-US" w:eastAsia="zh-CN"/>
                    </w:rPr>
                    <w:t>SW59</w:t>
                  </w:r>
                </w:p>
                <w:p w14:paraId="5C77B17A">
                  <w:pPr>
                    <w:jc w:val="center"/>
                    <w:rPr>
                      <w:rFonts w:hint="eastAsia"/>
                      <w:color w:val="auto"/>
                      <w:sz w:val="18"/>
                      <w:szCs w:val="18"/>
                      <w:highlight w:val="none"/>
                      <w:lang w:val="en-US" w:eastAsia="zh-CN"/>
                    </w:rPr>
                  </w:pPr>
                  <w:r>
                    <w:rPr>
                      <w:rFonts w:hint="eastAsia"/>
                      <w:color w:val="auto"/>
                      <w:sz w:val="18"/>
                      <w:szCs w:val="18"/>
                      <w:highlight w:val="none"/>
                      <w:lang w:val="en-US" w:eastAsia="zh-CN"/>
                    </w:rPr>
                    <w:t>900-008-S59</w:t>
                  </w:r>
                </w:p>
              </w:tc>
              <w:tc>
                <w:tcPr>
                  <w:tcW w:w="750" w:type="pct"/>
                  <w:vMerge w:val="continue"/>
                  <w:noWrap w:val="0"/>
                  <w:vAlign w:val="center"/>
                </w:tcPr>
                <w:p w14:paraId="157885D2">
                  <w:pPr>
                    <w:jc w:val="center"/>
                    <w:rPr>
                      <w:rFonts w:ascii="Times New Roman" w:hAnsi="Times New Roman"/>
                      <w:color w:val="auto"/>
                      <w:sz w:val="18"/>
                      <w:szCs w:val="18"/>
                      <w:highlight w:val="none"/>
                    </w:rPr>
                  </w:pPr>
                </w:p>
              </w:tc>
            </w:tr>
            <w:tr w14:paraId="4987B0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shd w:val="clear" w:color="auto" w:fill="auto"/>
                  <w:noWrap w:val="0"/>
                  <w:vAlign w:val="center"/>
                </w:tcPr>
                <w:p w14:paraId="5E3A8A47">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废分子筛</w:t>
                  </w:r>
                </w:p>
              </w:tc>
              <w:tc>
                <w:tcPr>
                  <w:tcW w:w="624" w:type="pct"/>
                  <w:shd w:val="clear" w:color="auto" w:fill="auto"/>
                  <w:noWrap w:val="0"/>
                  <w:vAlign w:val="center"/>
                </w:tcPr>
                <w:p w14:paraId="1AF08C4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制氮系统</w:t>
                  </w:r>
                </w:p>
              </w:tc>
              <w:tc>
                <w:tcPr>
                  <w:tcW w:w="364" w:type="pct"/>
                  <w:noWrap w:val="0"/>
                  <w:vAlign w:val="center"/>
                </w:tcPr>
                <w:p w14:paraId="4687482C">
                  <w:pPr>
                    <w:jc w:val="center"/>
                    <w:rPr>
                      <w:rFonts w:hint="default"/>
                      <w:color w:val="auto"/>
                      <w:sz w:val="18"/>
                      <w:szCs w:val="18"/>
                      <w:highlight w:val="none"/>
                      <w:lang w:val="en-US" w:eastAsia="zh-CN"/>
                    </w:rPr>
                  </w:pPr>
                  <w:r>
                    <w:rPr>
                      <w:rFonts w:hint="eastAsia"/>
                      <w:color w:val="auto"/>
                      <w:sz w:val="18"/>
                      <w:szCs w:val="18"/>
                      <w:highlight w:val="none"/>
                      <w:lang w:val="en-US" w:eastAsia="zh-CN"/>
                    </w:rPr>
                    <w:t>固态</w:t>
                  </w:r>
                </w:p>
              </w:tc>
              <w:tc>
                <w:tcPr>
                  <w:tcW w:w="531" w:type="pct"/>
                  <w:noWrap w:val="0"/>
                  <w:vAlign w:val="center"/>
                </w:tcPr>
                <w:p w14:paraId="647AF85F">
                  <w:pPr>
                    <w:jc w:val="center"/>
                    <w:rPr>
                      <w:rFonts w:hint="default"/>
                      <w:color w:val="auto"/>
                      <w:sz w:val="18"/>
                      <w:szCs w:val="18"/>
                      <w:highlight w:val="none"/>
                      <w:lang w:val="en-US" w:eastAsia="zh-CN"/>
                    </w:rPr>
                  </w:pPr>
                  <w:r>
                    <w:rPr>
                      <w:rFonts w:hint="eastAsia"/>
                      <w:color w:val="auto"/>
                      <w:sz w:val="18"/>
                      <w:szCs w:val="18"/>
                      <w:highlight w:val="none"/>
                      <w:lang w:val="en-US" w:eastAsia="zh-CN"/>
                    </w:rPr>
                    <w:t>设计数据</w:t>
                  </w:r>
                </w:p>
              </w:tc>
              <w:tc>
                <w:tcPr>
                  <w:tcW w:w="531" w:type="pct"/>
                  <w:noWrap w:val="0"/>
                  <w:vAlign w:val="center"/>
                </w:tcPr>
                <w:p w14:paraId="329B75BB">
                  <w:pPr>
                    <w:jc w:val="center"/>
                    <w:rPr>
                      <w:rFonts w:hint="default"/>
                      <w:color w:val="auto"/>
                      <w:sz w:val="18"/>
                      <w:szCs w:val="18"/>
                      <w:highlight w:val="none"/>
                      <w:lang w:val="en-US" w:eastAsia="zh-CN"/>
                    </w:rPr>
                  </w:pPr>
                  <w:r>
                    <w:rPr>
                      <w:rFonts w:hint="eastAsia"/>
                      <w:color w:val="auto"/>
                      <w:sz w:val="18"/>
                      <w:szCs w:val="18"/>
                      <w:highlight w:val="none"/>
                      <w:lang w:val="en-US" w:eastAsia="zh-CN"/>
                    </w:rPr>
                    <w:t>10t/8-10a</w:t>
                  </w:r>
                </w:p>
              </w:tc>
              <w:tc>
                <w:tcPr>
                  <w:tcW w:w="604" w:type="pct"/>
                  <w:vMerge w:val="continue"/>
                  <w:noWrap w:val="0"/>
                  <w:vAlign w:val="center"/>
                </w:tcPr>
                <w:p w14:paraId="021C838B">
                  <w:pPr>
                    <w:jc w:val="center"/>
                    <w:rPr>
                      <w:rFonts w:ascii="Times New Roman" w:hAnsi="Times New Roman"/>
                      <w:color w:val="auto"/>
                      <w:sz w:val="18"/>
                      <w:szCs w:val="18"/>
                      <w:highlight w:val="none"/>
                    </w:rPr>
                  </w:pPr>
                </w:p>
              </w:tc>
              <w:tc>
                <w:tcPr>
                  <w:tcW w:w="843" w:type="pct"/>
                  <w:noWrap w:val="0"/>
                  <w:vAlign w:val="center"/>
                </w:tcPr>
                <w:p w14:paraId="171FA905">
                  <w:pPr>
                    <w:jc w:val="center"/>
                    <w:rPr>
                      <w:rFonts w:hint="default"/>
                      <w:color w:val="auto"/>
                      <w:sz w:val="18"/>
                      <w:szCs w:val="18"/>
                      <w:highlight w:val="none"/>
                      <w:lang w:val="en-US" w:eastAsia="zh-CN"/>
                    </w:rPr>
                  </w:pPr>
                  <w:r>
                    <w:rPr>
                      <w:rFonts w:hint="eastAsia"/>
                      <w:color w:val="auto"/>
                      <w:sz w:val="18"/>
                      <w:szCs w:val="18"/>
                      <w:highlight w:val="none"/>
                      <w:lang w:val="en-US" w:eastAsia="zh-CN"/>
                    </w:rPr>
                    <w:t>SW59</w:t>
                  </w:r>
                </w:p>
                <w:p w14:paraId="4F2DA38E">
                  <w:pPr>
                    <w:jc w:val="center"/>
                    <w:rPr>
                      <w:rFonts w:hint="eastAsia"/>
                      <w:color w:val="auto"/>
                      <w:sz w:val="18"/>
                      <w:szCs w:val="18"/>
                      <w:highlight w:val="none"/>
                      <w:lang w:val="en-US" w:eastAsia="zh-CN"/>
                    </w:rPr>
                  </w:pPr>
                  <w:r>
                    <w:rPr>
                      <w:rFonts w:hint="eastAsia"/>
                      <w:color w:val="auto"/>
                      <w:sz w:val="18"/>
                      <w:szCs w:val="18"/>
                      <w:highlight w:val="none"/>
                      <w:lang w:val="en-US" w:eastAsia="zh-CN"/>
                    </w:rPr>
                    <w:t>900-008-S59</w:t>
                  </w:r>
                </w:p>
              </w:tc>
              <w:tc>
                <w:tcPr>
                  <w:tcW w:w="750" w:type="pct"/>
                  <w:noWrap w:val="0"/>
                  <w:vAlign w:val="center"/>
                </w:tcPr>
                <w:p w14:paraId="52A8AF62">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委托第三方处置</w:t>
                  </w:r>
                </w:p>
              </w:tc>
            </w:tr>
            <w:tr w14:paraId="0F1EAB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shd w:val="clear" w:color="auto" w:fill="auto"/>
                  <w:noWrap w:val="0"/>
                  <w:vAlign w:val="center"/>
                </w:tcPr>
                <w:p w14:paraId="31EDEBF0">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酸洗废液</w:t>
                  </w:r>
                </w:p>
              </w:tc>
              <w:tc>
                <w:tcPr>
                  <w:tcW w:w="624" w:type="pct"/>
                  <w:shd w:val="clear" w:color="auto" w:fill="auto"/>
                  <w:noWrap w:val="0"/>
                  <w:vAlign w:val="center"/>
                </w:tcPr>
                <w:p w14:paraId="527562C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盐酸酸洗</w:t>
                  </w:r>
                </w:p>
              </w:tc>
              <w:tc>
                <w:tcPr>
                  <w:tcW w:w="364" w:type="pct"/>
                  <w:shd w:val="clear" w:color="auto" w:fill="auto"/>
                  <w:noWrap w:val="0"/>
                  <w:vAlign w:val="center"/>
                </w:tcPr>
                <w:p w14:paraId="4FA9F97B">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液态</w:t>
                  </w:r>
                </w:p>
              </w:tc>
              <w:tc>
                <w:tcPr>
                  <w:tcW w:w="531" w:type="pct"/>
                  <w:shd w:val="clear" w:color="auto" w:fill="auto"/>
                  <w:noWrap w:val="0"/>
                  <w:vAlign w:val="center"/>
                </w:tcPr>
                <w:p w14:paraId="1ADFAE0F">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物料衡算</w:t>
                  </w:r>
                </w:p>
              </w:tc>
              <w:tc>
                <w:tcPr>
                  <w:tcW w:w="531" w:type="pct"/>
                  <w:shd w:val="clear" w:color="auto" w:fill="auto"/>
                  <w:noWrap w:val="0"/>
                  <w:vAlign w:val="center"/>
                </w:tcPr>
                <w:p w14:paraId="42101C50">
                  <w:pPr>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6000</w:t>
                  </w:r>
                </w:p>
              </w:tc>
              <w:tc>
                <w:tcPr>
                  <w:tcW w:w="604" w:type="pct"/>
                  <w:vMerge w:val="restart"/>
                  <w:noWrap w:val="0"/>
                  <w:vAlign w:val="center"/>
                </w:tcPr>
                <w:p w14:paraId="78D9E3DE">
                  <w:pPr>
                    <w:jc w:val="center"/>
                    <w:rPr>
                      <w:rFonts w:ascii="Times New Roman" w:hAnsi="Times New Roman"/>
                      <w:color w:val="auto"/>
                      <w:sz w:val="18"/>
                      <w:szCs w:val="18"/>
                      <w:highlight w:val="none"/>
                    </w:rPr>
                  </w:pPr>
                  <w:r>
                    <w:rPr>
                      <w:rFonts w:ascii="Times New Roman" w:hAnsi="Times New Roman"/>
                      <w:color w:val="auto"/>
                      <w:sz w:val="18"/>
                      <w:szCs w:val="18"/>
                      <w:highlight w:val="none"/>
                    </w:rPr>
                    <w:t>危险废物</w:t>
                  </w:r>
                </w:p>
              </w:tc>
              <w:tc>
                <w:tcPr>
                  <w:tcW w:w="843" w:type="pct"/>
                  <w:shd w:val="clear" w:color="auto" w:fill="auto"/>
                  <w:noWrap w:val="0"/>
                  <w:vAlign w:val="center"/>
                </w:tcPr>
                <w:p w14:paraId="4852B2FE">
                  <w:pPr>
                    <w:jc w:val="center"/>
                    <w:rPr>
                      <w:rFonts w:hint="eastAsia"/>
                      <w:color w:val="auto"/>
                      <w:sz w:val="18"/>
                      <w:szCs w:val="18"/>
                      <w:highlight w:val="none"/>
                      <w:lang w:val="en-US" w:eastAsia="zh-CN"/>
                    </w:rPr>
                  </w:pPr>
                  <w:r>
                    <w:rPr>
                      <w:rFonts w:hint="eastAsia"/>
                      <w:color w:val="auto"/>
                      <w:sz w:val="18"/>
                      <w:szCs w:val="18"/>
                      <w:highlight w:val="none"/>
                      <w:lang w:val="en-US" w:eastAsia="zh-CN"/>
                    </w:rPr>
                    <w:t>HW17</w:t>
                  </w:r>
                </w:p>
                <w:p w14:paraId="5A434AA8">
                  <w:pPr>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336-064-17</w:t>
                  </w:r>
                </w:p>
              </w:tc>
              <w:tc>
                <w:tcPr>
                  <w:tcW w:w="750" w:type="pct"/>
                  <w:shd w:val="clear" w:color="auto" w:fill="auto"/>
                  <w:noWrap w:val="0"/>
                  <w:vAlign w:val="center"/>
                </w:tcPr>
                <w:p w14:paraId="1777E414">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废酸再生</w:t>
                  </w:r>
                </w:p>
              </w:tc>
            </w:tr>
            <w:tr w14:paraId="313158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shd w:val="clear" w:color="auto" w:fill="auto"/>
                  <w:noWrap w:val="0"/>
                  <w:vAlign w:val="center"/>
                </w:tcPr>
                <w:p w14:paraId="3441699B">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滤渣</w:t>
                  </w:r>
                </w:p>
              </w:tc>
              <w:tc>
                <w:tcPr>
                  <w:tcW w:w="624" w:type="pct"/>
                  <w:shd w:val="clear" w:color="auto" w:fill="auto"/>
                  <w:noWrap w:val="0"/>
                  <w:vAlign w:val="center"/>
                </w:tcPr>
                <w:p w14:paraId="29EA6B7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废酸再生</w:t>
                  </w:r>
                </w:p>
              </w:tc>
              <w:tc>
                <w:tcPr>
                  <w:tcW w:w="364" w:type="pct"/>
                  <w:shd w:val="clear" w:color="auto" w:fill="auto"/>
                  <w:noWrap w:val="0"/>
                  <w:vAlign w:val="center"/>
                </w:tcPr>
                <w:p w14:paraId="5E520F5C">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固态</w:t>
                  </w:r>
                </w:p>
              </w:tc>
              <w:tc>
                <w:tcPr>
                  <w:tcW w:w="531" w:type="pct"/>
                  <w:shd w:val="clear" w:color="auto" w:fill="auto"/>
                  <w:noWrap w:val="0"/>
                  <w:vAlign w:val="center"/>
                </w:tcPr>
                <w:p w14:paraId="4D041351">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物料衡算</w:t>
                  </w:r>
                </w:p>
              </w:tc>
              <w:tc>
                <w:tcPr>
                  <w:tcW w:w="531" w:type="pct"/>
                  <w:shd w:val="clear" w:color="auto" w:fill="auto"/>
                  <w:noWrap w:val="0"/>
                  <w:vAlign w:val="center"/>
                </w:tcPr>
                <w:p w14:paraId="6CD4FA0F">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0.03</w:t>
                  </w:r>
                </w:p>
              </w:tc>
              <w:tc>
                <w:tcPr>
                  <w:tcW w:w="604" w:type="pct"/>
                  <w:vMerge w:val="continue"/>
                  <w:noWrap w:val="0"/>
                  <w:vAlign w:val="center"/>
                </w:tcPr>
                <w:p w14:paraId="686FEE12">
                  <w:pPr>
                    <w:jc w:val="center"/>
                    <w:rPr>
                      <w:rFonts w:ascii="Times New Roman" w:hAnsi="Times New Roman"/>
                      <w:color w:val="auto"/>
                      <w:sz w:val="18"/>
                      <w:szCs w:val="18"/>
                      <w:highlight w:val="none"/>
                    </w:rPr>
                  </w:pPr>
                </w:p>
              </w:tc>
              <w:tc>
                <w:tcPr>
                  <w:tcW w:w="843" w:type="pct"/>
                  <w:noWrap w:val="0"/>
                  <w:vAlign w:val="center"/>
                </w:tcPr>
                <w:p w14:paraId="177F5340">
                  <w:pPr>
                    <w:jc w:val="center"/>
                    <w:rPr>
                      <w:rFonts w:hint="eastAsia"/>
                      <w:color w:val="auto"/>
                      <w:sz w:val="18"/>
                      <w:szCs w:val="18"/>
                      <w:highlight w:val="none"/>
                      <w:lang w:val="en-US" w:eastAsia="zh-CN"/>
                    </w:rPr>
                  </w:pPr>
                  <w:r>
                    <w:rPr>
                      <w:rFonts w:hint="eastAsia"/>
                      <w:color w:val="auto"/>
                      <w:sz w:val="18"/>
                      <w:szCs w:val="18"/>
                      <w:highlight w:val="none"/>
                      <w:lang w:val="en-US" w:eastAsia="zh-CN"/>
                    </w:rPr>
                    <w:t>HW49</w:t>
                  </w:r>
                </w:p>
                <w:p w14:paraId="7AEA77A6">
                  <w:pPr>
                    <w:jc w:val="center"/>
                    <w:rPr>
                      <w:rFonts w:hint="eastAsia"/>
                      <w:color w:val="auto"/>
                      <w:sz w:val="18"/>
                      <w:szCs w:val="18"/>
                      <w:highlight w:val="none"/>
                      <w:lang w:val="en-US" w:eastAsia="zh-CN"/>
                    </w:rPr>
                  </w:pPr>
                  <w:r>
                    <w:rPr>
                      <w:rFonts w:hint="eastAsia"/>
                      <w:color w:val="auto"/>
                      <w:sz w:val="18"/>
                      <w:szCs w:val="18"/>
                      <w:highlight w:val="none"/>
                      <w:lang w:val="en-US" w:eastAsia="zh-CN"/>
                    </w:rPr>
                    <w:t>900-041-49</w:t>
                  </w:r>
                </w:p>
              </w:tc>
              <w:tc>
                <w:tcPr>
                  <w:tcW w:w="750" w:type="pct"/>
                  <w:vMerge w:val="restart"/>
                  <w:noWrap w:val="0"/>
                  <w:vAlign w:val="center"/>
                </w:tcPr>
                <w:p w14:paraId="5676106C">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委托有资质单位处置</w:t>
                  </w:r>
                </w:p>
              </w:tc>
            </w:tr>
            <w:tr w14:paraId="2F7D81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shd w:val="clear" w:color="auto" w:fill="auto"/>
                  <w:noWrap w:val="0"/>
                  <w:vAlign w:val="center"/>
                </w:tcPr>
                <w:p w14:paraId="624F9E1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废油</w:t>
                  </w:r>
                </w:p>
              </w:tc>
              <w:tc>
                <w:tcPr>
                  <w:tcW w:w="624" w:type="pct"/>
                  <w:vMerge w:val="restart"/>
                  <w:shd w:val="clear" w:color="auto" w:fill="auto"/>
                  <w:noWrap w:val="0"/>
                  <w:vAlign w:val="center"/>
                </w:tcPr>
                <w:p w14:paraId="619489B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油雾净化器</w:t>
                  </w:r>
                </w:p>
              </w:tc>
              <w:tc>
                <w:tcPr>
                  <w:tcW w:w="364" w:type="pct"/>
                  <w:shd w:val="clear" w:color="auto" w:fill="auto"/>
                  <w:noWrap w:val="0"/>
                  <w:vAlign w:val="center"/>
                </w:tcPr>
                <w:p w14:paraId="1908B015">
                  <w:pPr>
                    <w:jc w:val="center"/>
                    <w:rPr>
                      <w:rFonts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液态</w:t>
                  </w:r>
                </w:p>
              </w:tc>
              <w:tc>
                <w:tcPr>
                  <w:tcW w:w="531" w:type="pct"/>
                  <w:shd w:val="clear" w:color="auto" w:fill="auto"/>
                  <w:noWrap w:val="0"/>
                  <w:vAlign w:val="center"/>
                </w:tcPr>
                <w:p w14:paraId="49BD8DFE">
                  <w:pPr>
                    <w:jc w:val="center"/>
                    <w:rPr>
                      <w:rFonts w:hint="default"/>
                      <w:color w:val="auto"/>
                      <w:sz w:val="18"/>
                      <w:szCs w:val="18"/>
                      <w:highlight w:val="none"/>
                      <w:lang w:val="en-US" w:eastAsia="zh-CN"/>
                    </w:rPr>
                  </w:pPr>
                  <w:r>
                    <w:rPr>
                      <w:rFonts w:hint="eastAsia"/>
                      <w:color w:val="auto"/>
                      <w:sz w:val="18"/>
                      <w:szCs w:val="18"/>
                      <w:highlight w:val="none"/>
                      <w:lang w:val="en-US" w:eastAsia="zh-CN"/>
                    </w:rPr>
                    <w:t>物料衡算</w:t>
                  </w:r>
                </w:p>
              </w:tc>
              <w:tc>
                <w:tcPr>
                  <w:tcW w:w="531" w:type="pct"/>
                  <w:shd w:val="clear" w:color="auto" w:fill="auto"/>
                  <w:noWrap w:val="0"/>
                  <w:vAlign w:val="center"/>
                </w:tcPr>
                <w:p w14:paraId="71E07643">
                  <w:pPr>
                    <w:widowControl/>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13.34</w:t>
                  </w:r>
                </w:p>
              </w:tc>
              <w:tc>
                <w:tcPr>
                  <w:tcW w:w="604" w:type="pct"/>
                  <w:vMerge w:val="continue"/>
                  <w:noWrap w:val="0"/>
                  <w:vAlign w:val="center"/>
                </w:tcPr>
                <w:p w14:paraId="0DE2AD1A">
                  <w:pPr>
                    <w:jc w:val="center"/>
                    <w:rPr>
                      <w:rFonts w:ascii="Times New Roman" w:hAnsi="Times New Roman"/>
                      <w:color w:val="auto"/>
                      <w:sz w:val="18"/>
                      <w:szCs w:val="18"/>
                      <w:highlight w:val="none"/>
                    </w:rPr>
                  </w:pPr>
                </w:p>
              </w:tc>
              <w:tc>
                <w:tcPr>
                  <w:tcW w:w="843" w:type="pct"/>
                  <w:noWrap w:val="0"/>
                  <w:vAlign w:val="center"/>
                </w:tcPr>
                <w:p w14:paraId="2A6BE12F">
                  <w:pPr>
                    <w:widowControl/>
                    <w:jc w:val="center"/>
                    <w:rPr>
                      <w:rFonts w:hint="eastAsia"/>
                      <w:color w:val="auto"/>
                      <w:sz w:val="18"/>
                      <w:szCs w:val="18"/>
                      <w:highlight w:val="none"/>
                      <w:lang w:val="en-US" w:eastAsia="zh-CN"/>
                    </w:rPr>
                  </w:pPr>
                  <w:r>
                    <w:rPr>
                      <w:rFonts w:hint="eastAsia"/>
                      <w:color w:val="auto"/>
                      <w:sz w:val="18"/>
                      <w:szCs w:val="18"/>
                      <w:highlight w:val="none"/>
                      <w:lang w:val="en-US" w:eastAsia="zh-CN"/>
                    </w:rPr>
                    <w:t>HW08</w:t>
                  </w:r>
                </w:p>
                <w:p w14:paraId="1631427F">
                  <w:pPr>
                    <w:widowControl/>
                    <w:jc w:val="center"/>
                    <w:rPr>
                      <w:rFonts w:ascii="Times New Roman" w:hAnsi="Times New Roman"/>
                      <w:color w:val="auto"/>
                      <w:kern w:val="0"/>
                      <w:sz w:val="18"/>
                      <w:szCs w:val="18"/>
                      <w:highlight w:val="none"/>
                    </w:rPr>
                  </w:pPr>
                  <w:r>
                    <w:rPr>
                      <w:rFonts w:hint="eastAsia"/>
                      <w:color w:val="auto"/>
                      <w:sz w:val="18"/>
                      <w:szCs w:val="18"/>
                      <w:highlight w:val="none"/>
                      <w:lang w:val="en-US" w:eastAsia="zh-CN"/>
                    </w:rPr>
                    <w:t>900-204-08</w:t>
                  </w:r>
                </w:p>
              </w:tc>
              <w:tc>
                <w:tcPr>
                  <w:tcW w:w="750" w:type="pct"/>
                  <w:vMerge w:val="continue"/>
                  <w:noWrap w:val="0"/>
                  <w:vAlign w:val="center"/>
                </w:tcPr>
                <w:p w14:paraId="51E2F16A">
                  <w:pPr>
                    <w:jc w:val="center"/>
                    <w:rPr>
                      <w:rFonts w:hint="default" w:ascii="Times New Roman" w:hAnsi="Times New Roman" w:eastAsia="宋体"/>
                      <w:color w:val="auto"/>
                      <w:sz w:val="18"/>
                      <w:szCs w:val="18"/>
                      <w:highlight w:val="none"/>
                      <w:lang w:val="en-US" w:eastAsia="zh-CN"/>
                    </w:rPr>
                  </w:pPr>
                </w:p>
              </w:tc>
            </w:tr>
            <w:tr w14:paraId="391474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shd w:val="clear" w:color="auto" w:fill="auto"/>
                  <w:noWrap w:val="0"/>
                  <w:vAlign w:val="center"/>
                </w:tcPr>
                <w:p w14:paraId="6E6001F3">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废滤网</w:t>
                  </w:r>
                </w:p>
              </w:tc>
              <w:tc>
                <w:tcPr>
                  <w:tcW w:w="624" w:type="pct"/>
                  <w:vMerge w:val="continue"/>
                  <w:shd w:val="clear" w:color="auto" w:fill="auto"/>
                  <w:noWrap w:val="0"/>
                  <w:vAlign w:val="center"/>
                </w:tcPr>
                <w:p w14:paraId="7117BC6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snapToGrid w:val="0"/>
                      <w:color w:val="auto"/>
                      <w:sz w:val="18"/>
                      <w:szCs w:val="18"/>
                      <w:highlight w:val="none"/>
                      <w:vertAlign w:val="baseline"/>
                      <w:lang w:val="en-US" w:eastAsia="zh-CN"/>
                    </w:rPr>
                  </w:pPr>
                </w:p>
              </w:tc>
              <w:tc>
                <w:tcPr>
                  <w:tcW w:w="364" w:type="pct"/>
                  <w:shd w:val="clear" w:color="auto" w:fill="auto"/>
                  <w:noWrap w:val="0"/>
                  <w:vAlign w:val="center"/>
                </w:tcPr>
                <w:p w14:paraId="06902757">
                  <w:pPr>
                    <w:jc w:val="center"/>
                    <w:rPr>
                      <w:rFonts w:hint="default"/>
                      <w:color w:val="auto"/>
                      <w:sz w:val="18"/>
                      <w:szCs w:val="18"/>
                      <w:highlight w:val="none"/>
                      <w:lang w:val="en-US" w:eastAsia="zh-CN"/>
                    </w:rPr>
                  </w:pPr>
                  <w:r>
                    <w:rPr>
                      <w:rFonts w:hint="eastAsia"/>
                      <w:color w:val="auto"/>
                      <w:sz w:val="18"/>
                      <w:szCs w:val="18"/>
                      <w:highlight w:val="none"/>
                      <w:lang w:val="en-US" w:eastAsia="zh-CN"/>
                    </w:rPr>
                    <w:t>固态</w:t>
                  </w:r>
                </w:p>
              </w:tc>
              <w:tc>
                <w:tcPr>
                  <w:tcW w:w="531" w:type="pct"/>
                  <w:shd w:val="clear" w:color="auto" w:fill="auto"/>
                  <w:noWrap w:val="0"/>
                  <w:vAlign w:val="center"/>
                </w:tcPr>
                <w:p w14:paraId="0EC688E6">
                  <w:pPr>
                    <w:jc w:val="center"/>
                    <w:rPr>
                      <w:rFonts w:hint="eastAsia"/>
                      <w:color w:val="auto"/>
                      <w:sz w:val="18"/>
                      <w:szCs w:val="18"/>
                      <w:highlight w:val="none"/>
                      <w:lang w:val="en-US" w:eastAsia="zh-CN"/>
                    </w:rPr>
                  </w:pPr>
                  <w:r>
                    <w:rPr>
                      <w:rFonts w:hint="eastAsia"/>
                      <w:color w:val="auto"/>
                      <w:sz w:val="18"/>
                      <w:szCs w:val="18"/>
                      <w:highlight w:val="none"/>
                      <w:lang w:val="en-US" w:eastAsia="zh-CN"/>
                    </w:rPr>
                    <w:t>设计数据+工程经验</w:t>
                  </w:r>
                </w:p>
              </w:tc>
              <w:tc>
                <w:tcPr>
                  <w:tcW w:w="531" w:type="pct"/>
                  <w:shd w:val="clear" w:color="auto" w:fill="auto"/>
                  <w:noWrap w:val="0"/>
                  <w:vAlign w:val="center"/>
                </w:tcPr>
                <w:p w14:paraId="4D75EBFF">
                  <w:pPr>
                    <w:widowControl/>
                    <w:jc w:val="center"/>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0.06</w:t>
                  </w:r>
                </w:p>
              </w:tc>
              <w:tc>
                <w:tcPr>
                  <w:tcW w:w="604" w:type="pct"/>
                  <w:vMerge w:val="continue"/>
                  <w:noWrap w:val="0"/>
                  <w:vAlign w:val="center"/>
                </w:tcPr>
                <w:p w14:paraId="3CF19F88">
                  <w:pPr>
                    <w:jc w:val="center"/>
                    <w:rPr>
                      <w:rFonts w:ascii="Times New Roman" w:hAnsi="Times New Roman"/>
                      <w:color w:val="auto"/>
                      <w:sz w:val="18"/>
                      <w:szCs w:val="18"/>
                      <w:highlight w:val="none"/>
                    </w:rPr>
                  </w:pPr>
                </w:p>
              </w:tc>
              <w:tc>
                <w:tcPr>
                  <w:tcW w:w="843" w:type="pct"/>
                  <w:noWrap w:val="0"/>
                  <w:vAlign w:val="center"/>
                </w:tcPr>
                <w:p w14:paraId="2B80B028">
                  <w:pPr>
                    <w:jc w:val="center"/>
                    <w:rPr>
                      <w:rFonts w:hint="eastAsia"/>
                      <w:color w:val="auto"/>
                      <w:sz w:val="18"/>
                      <w:szCs w:val="18"/>
                      <w:highlight w:val="none"/>
                      <w:lang w:val="en-US" w:eastAsia="zh-CN"/>
                    </w:rPr>
                  </w:pPr>
                  <w:r>
                    <w:rPr>
                      <w:rFonts w:hint="eastAsia"/>
                      <w:color w:val="auto"/>
                      <w:sz w:val="18"/>
                      <w:szCs w:val="18"/>
                      <w:highlight w:val="none"/>
                      <w:lang w:val="en-US" w:eastAsia="zh-CN"/>
                    </w:rPr>
                    <w:t>HW49</w:t>
                  </w:r>
                </w:p>
                <w:p w14:paraId="0D9CCA7A">
                  <w:pPr>
                    <w:widowControl/>
                    <w:jc w:val="center"/>
                    <w:rPr>
                      <w:rFonts w:hint="eastAsia"/>
                      <w:color w:val="auto"/>
                      <w:sz w:val="18"/>
                      <w:szCs w:val="18"/>
                      <w:highlight w:val="none"/>
                      <w:lang w:val="en-US" w:eastAsia="zh-CN"/>
                    </w:rPr>
                  </w:pPr>
                  <w:r>
                    <w:rPr>
                      <w:rFonts w:hint="eastAsia"/>
                      <w:color w:val="auto"/>
                      <w:sz w:val="18"/>
                      <w:szCs w:val="18"/>
                      <w:highlight w:val="none"/>
                      <w:lang w:val="en-US" w:eastAsia="zh-CN"/>
                    </w:rPr>
                    <w:t>900-041-49</w:t>
                  </w:r>
                </w:p>
              </w:tc>
              <w:tc>
                <w:tcPr>
                  <w:tcW w:w="750" w:type="pct"/>
                  <w:vMerge w:val="continue"/>
                  <w:noWrap w:val="0"/>
                  <w:vAlign w:val="center"/>
                </w:tcPr>
                <w:p w14:paraId="0895CF7E">
                  <w:pPr>
                    <w:jc w:val="center"/>
                    <w:rPr>
                      <w:rFonts w:hint="default" w:ascii="Times New Roman" w:hAnsi="Times New Roman" w:eastAsia="宋体"/>
                      <w:color w:val="auto"/>
                      <w:sz w:val="18"/>
                      <w:szCs w:val="18"/>
                      <w:highlight w:val="none"/>
                      <w:lang w:val="en-US" w:eastAsia="zh-CN"/>
                    </w:rPr>
                  </w:pPr>
                </w:p>
              </w:tc>
            </w:tr>
            <w:tr w14:paraId="4B6EAA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shd w:val="clear" w:color="auto" w:fill="auto"/>
                  <w:noWrap w:val="0"/>
                  <w:vAlign w:val="center"/>
                </w:tcPr>
                <w:p w14:paraId="78EA7729">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碱洗槽滤渣及槽渣</w:t>
                  </w:r>
                </w:p>
              </w:tc>
              <w:tc>
                <w:tcPr>
                  <w:tcW w:w="624" w:type="pct"/>
                  <w:shd w:val="clear" w:color="auto" w:fill="auto"/>
                  <w:noWrap w:val="0"/>
                  <w:vAlign w:val="center"/>
                </w:tcPr>
                <w:p w14:paraId="2C8817C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碱洗</w:t>
                  </w:r>
                </w:p>
              </w:tc>
              <w:tc>
                <w:tcPr>
                  <w:tcW w:w="364" w:type="pct"/>
                  <w:noWrap w:val="0"/>
                  <w:vAlign w:val="center"/>
                </w:tcPr>
                <w:p w14:paraId="4177C9B6">
                  <w:pPr>
                    <w:jc w:val="center"/>
                    <w:rPr>
                      <w:rFonts w:hint="eastAsia"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固态</w:t>
                  </w:r>
                </w:p>
              </w:tc>
              <w:tc>
                <w:tcPr>
                  <w:tcW w:w="531" w:type="pct"/>
                  <w:noWrap w:val="0"/>
                  <w:vAlign w:val="center"/>
                </w:tcPr>
                <w:p w14:paraId="6DCAA996">
                  <w:pPr>
                    <w:jc w:val="center"/>
                    <w:rPr>
                      <w:rFonts w:hint="eastAsia"/>
                      <w:color w:val="auto"/>
                      <w:sz w:val="18"/>
                      <w:szCs w:val="18"/>
                      <w:highlight w:val="none"/>
                      <w:lang w:val="en-US" w:eastAsia="zh-CN"/>
                    </w:rPr>
                  </w:pPr>
                  <w:r>
                    <w:rPr>
                      <w:rFonts w:hint="eastAsia"/>
                      <w:color w:val="auto"/>
                      <w:sz w:val="18"/>
                      <w:szCs w:val="18"/>
                      <w:highlight w:val="none"/>
                      <w:lang w:val="en-US" w:eastAsia="zh-CN"/>
                    </w:rPr>
                    <w:t>设计数据+工程经验</w:t>
                  </w:r>
                </w:p>
              </w:tc>
              <w:tc>
                <w:tcPr>
                  <w:tcW w:w="531" w:type="pct"/>
                  <w:noWrap w:val="0"/>
                  <w:vAlign w:val="center"/>
                </w:tcPr>
                <w:p w14:paraId="08E4E4F5">
                  <w:pPr>
                    <w:widowControl/>
                    <w:jc w:val="center"/>
                    <w:rPr>
                      <w:rFonts w:hint="default" w:ascii="Times New Roman" w:hAnsi="Times New Roman" w:eastAsia="宋体"/>
                      <w:color w:val="auto"/>
                      <w:kern w:val="0"/>
                      <w:sz w:val="18"/>
                      <w:szCs w:val="18"/>
                      <w:highlight w:val="none"/>
                      <w:lang w:val="en-US" w:eastAsia="zh-CN"/>
                    </w:rPr>
                  </w:pPr>
                  <w:r>
                    <w:rPr>
                      <w:rFonts w:hint="eastAsia"/>
                      <w:color w:val="auto"/>
                      <w:kern w:val="0"/>
                      <w:sz w:val="18"/>
                      <w:szCs w:val="18"/>
                      <w:highlight w:val="none"/>
                      <w:lang w:val="en-US" w:eastAsia="zh-CN"/>
                    </w:rPr>
                    <w:t>1</w:t>
                  </w:r>
                </w:p>
              </w:tc>
              <w:tc>
                <w:tcPr>
                  <w:tcW w:w="604" w:type="pct"/>
                  <w:vMerge w:val="continue"/>
                  <w:noWrap w:val="0"/>
                  <w:vAlign w:val="center"/>
                </w:tcPr>
                <w:p w14:paraId="694328AD">
                  <w:pPr>
                    <w:jc w:val="center"/>
                    <w:rPr>
                      <w:rFonts w:ascii="Times New Roman" w:hAnsi="Times New Roman"/>
                      <w:color w:val="auto"/>
                      <w:sz w:val="18"/>
                      <w:szCs w:val="18"/>
                      <w:highlight w:val="none"/>
                    </w:rPr>
                  </w:pPr>
                </w:p>
              </w:tc>
              <w:tc>
                <w:tcPr>
                  <w:tcW w:w="843" w:type="pct"/>
                  <w:noWrap w:val="0"/>
                  <w:vAlign w:val="center"/>
                </w:tcPr>
                <w:p w14:paraId="2005AEDC">
                  <w:pPr>
                    <w:jc w:val="center"/>
                    <w:rPr>
                      <w:rFonts w:hint="eastAsia"/>
                      <w:color w:val="auto"/>
                      <w:sz w:val="18"/>
                      <w:szCs w:val="18"/>
                      <w:highlight w:val="none"/>
                      <w:lang w:val="en-US" w:eastAsia="zh-CN"/>
                    </w:rPr>
                  </w:pPr>
                  <w:r>
                    <w:rPr>
                      <w:rFonts w:hint="eastAsia"/>
                      <w:color w:val="auto"/>
                      <w:sz w:val="18"/>
                      <w:szCs w:val="18"/>
                      <w:highlight w:val="none"/>
                      <w:lang w:val="en-US" w:eastAsia="zh-CN"/>
                    </w:rPr>
                    <w:t>HW17</w:t>
                  </w:r>
                </w:p>
                <w:p w14:paraId="5A4D7F58">
                  <w:pPr>
                    <w:widowControl/>
                    <w:jc w:val="center"/>
                    <w:rPr>
                      <w:rFonts w:ascii="Times New Roman" w:hAnsi="Times New Roman"/>
                      <w:color w:val="auto"/>
                      <w:kern w:val="0"/>
                      <w:sz w:val="18"/>
                      <w:szCs w:val="18"/>
                      <w:highlight w:val="none"/>
                    </w:rPr>
                  </w:pPr>
                  <w:r>
                    <w:rPr>
                      <w:rFonts w:hint="eastAsia"/>
                      <w:color w:val="auto"/>
                      <w:sz w:val="18"/>
                      <w:szCs w:val="18"/>
                      <w:highlight w:val="none"/>
                      <w:lang w:val="en-US" w:eastAsia="zh-CN"/>
                    </w:rPr>
                    <w:t>336-064-17</w:t>
                  </w:r>
                </w:p>
              </w:tc>
              <w:tc>
                <w:tcPr>
                  <w:tcW w:w="750" w:type="pct"/>
                  <w:vMerge w:val="continue"/>
                  <w:noWrap w:val="0"/>
                  <w:vAlign w:val="center"/>
                </w:tcPr>
                <w:p w14:paraId="6B9D7E29">
                  <w:pPr>
                    <w:jc w:val="center"/>
                    <w:rPr>
                      <w:rFonts w:ascii="Times New Roman" w:hAnsi="Times New Roman"/>
                      <w:color w:val="auto"/>
                      <w:sz w:val="18"/>
                      <w:szCs w:val="18"/>
                      <w:highlight w:val="none"/>
                    </w:rPr>
                  </w:pPr>
                </w:p>
              </w:tc>
            </w:tr>
            <w:tr w14:paraId="5607AA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shd w:val="clear" w:color="auto" w:fill="auto"/>
                  <w:noWrap w:val="0"/>
                  <w:vAlign w:val="center"/>
                </w:tcPr>
                <w:p w14:paraId="1EF0AACC">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酸洗槽滤渣及槽渣</w:t>
                  </w:r>
                </w:p>
              </w:tc>
              <w:tc>
                <w:tcPr>
                  <w:tcW w:w="624" w:type="pct"/>
                  <w:shd w:val="clear" w:color="auto" w:fill="auto"/>
                  <w:noWrap w:val="0"/>
                  <w:vAlign w:val="center"/>
                </w:tcPr>
                <w:p w14:paraId="348F4BF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硫酸酸洗</w:t>
                  </w:r>
                </w:p>
              </w:tc>
              <w:tc>
                <w:tcPr>
                  <w:tcW w:w="364" w:type="pct"/>
                  <w:noWrap w:val="0"/>
                  <w:vAlign w:val="center"/>
                </w:tcPr>
                <w:p w14:paraId="139DAFF2">
                  <w:pPr>
                    <w:jc w:val="center"/>
                    <w:rPr>
                      <w:rFonts w:ascii="Times New Roman" w:hAnsi="Times New Roman"/>
                      <w:color w:val="auto"/>
                      <w:sz w:val="18"/>
                      <w:szCs w:val="18"/>
                      <w:highlight w:val="none"/>
                    </w:rPr>
                  </w:pPr>
                  <w:r>
                    <w:rPr>
                      <w:rFonts w:hint="eastAsia"/>
                      <w:color w:val="auto"/>
                      <w:sz w:val="18"/>
                      <w:szCs w:val="18"/>
                      <w:highlight w:val="none"/>
                      <w:lang w:val="en-US" w:eastAsia="zh-CN"/>
                    </w:rPr>
                    <w:t>固态</w:t>
                  </w:r>
                </w:p>
              </w:tc>
              <w:tc>
                <w:tcPr>
                  <w:tcW w:w="531" w:type="pct"/>
                  <w:noWrap w:val="0"/>
                  <w:vAlign w:val="center"/>
                </w:tcPr>
                <w:p w14:paraId="15912FAE">
                  <w:pPr>
                    <w:jc w:val="center"/>
                    <w:rPr>
                      <w:rFonts w:hint="eastAsia"/>
                      <w:color w:val="auto"/>
                      <w:sz w:val="18"/>
                      <w:szCs w:val="18"/>
                      <w:highlight w:val="none"/>
                      <w:lang w:val="en-US" w:eastAsia="zh-CN"/>
                    </w:rPr>
                  </w:pPr>
                  <w:r>
                    <w:rPr>
                      <w:rFonts w:hint="eastAsia"/>
                      <w:color w:val="auto"/>
                      <w:sz w:val="18"/>
                      <w:szCs w:val="18"/>
                      <w:highlight w:val="none"/>
                      <w:lang w:val="en-US" w:eastAsia="zh-CN"/>
                    </w:rPr>
                    <w:t>设计数据+工程经验</w:t>
                  </w:r>
                </w:p>
              </w:tc>
              <w:tc>
                <w:tcPr>
                  <w:tcW w:w="531" w:type="pct"/>
                  <w:noWrap w:val="0"/>
                  <w:vAlign w:val="center"/>
                </w:tcPr>
                <w:p w14:paraId="1124C270">
                  <w:pPr>
                    <w:widowControl/>
                    <w:jc w:val="center"/>
                    <w:rPr>
                      <w:rFonts w:hint="default" w:ascii="Times New Roman" w:hAnsi="Times New Roman" w:eastAsia="宋体"/>
                      <w:color w:val="auto"/>
                      <w:kern w:val="0"/>
                      <w:sz w:val="18"/>
                      <w:szCs w:val="18"/>
                      <w:highlight w:val="none"/>
                      <w:lang w:val="en-US" w:eastAsia="zh-CN"/>
                    </w:rPr>
                  </w:pPr>
                  <w:r>
                    <w:rPr>
                      <w:rFonts w:hint="eastAsia"/>
                      <w:color w:val="auto"/>
                      <w:kern w:val="0"/>
                      <w:sz w:val="18"/>
                      <w:szCs w:val="18"/>
                      <w:highlight w:val="none"/>
                      <w:lang w:val="en-US" w:eastAsia="zh-CN"/>
                    </w:rPr>
                    <w:t>0.5</w:t>
                  </w:r>
                </w:p>
              </w:tc>
              <w:tc>
                <w:tcPr>
                  <w:tcW w:w="604" w:type="pct"/>
                  <w:vMerge w:val="continue"/>
                  <w:noWrap w:val="0"/>
                  <w:vAlign w:val="center"/>
                </w:tcPr>
                <w:p w14:paraId="52D9B271">
                  <w:pPr>
                    <w:jc w:val="center"/>
                    <w:rPr>
                      <w:rFonts w:ascii="Times New Roman" w:hAnsi="Times New Roman"/>
                      <w:color w:val="auto"/>
                      <w:sz w:val="18"/>
                      <w:szCs w:val="18"/>
                      <w:highlight w:val="none"/>
                    </w:rPr>
                  </w:pPr>
                </w:p>
              </w:tc>
              <w:tc>
                <w:tcPr>
                  <w:tcW w:w="843" w:type="pct"/>
                  <w:noWrap w:val="0"/>
                  <w:vAlign w:val="center"/>
                </w:tcPr>
                <w:p w14:paraId="366A0732">
                  <w:pPr>
                    <w:jc w:val="center"/>
                    <w:rPr>
                      <w:rFonts w:hint="eastAsia"/>
                      <w:color w:val="auto"/>
                      <w:sz w:val="18"/>
                      <w:szCs w:val="18"/>
                      <w:highlight w:val="none"/>
                      <w:lang w:val="en-US" w:eastAsia="zh-CN"/>
                    </w:rPr>
                  </w:pPr>
                  <w:r>
                    <w:rPr>
                      <w:rFonts w:hint="eastAsia"/>
                      <w:color w:val="auto"/>
                      <w:sz w:val="18"/>
                      <w:szCs w:val="18"/>
                      <w:highlight w:val="none"/>
                      <w:lang w:val="en-US" w:eastAsia="zh-CN"/>
                    </w:rPr>
                    <w:t>HW17</w:t>
                  </w:r>
                </w:p>
                <w:p w14:paraId="217FDC04">
                  <w:pPr>
                    <w:widowControl/>
                    <w:jc w:val="center"/>
                    <w:rPr>
                      <w:rFonts w:ascii="Times New Roman" w:hAnsi="Times New Roman"/>
                      <w:color w:val="auto"/>
                      <w:kern w:val="0"/>
                      <w:sz w:val="18"/>
                      <w:szCs w:val="18"/>
                      <w:highlight w:val="none"/>
                    </w:rPr>
                  </w:pPr>
                  <w:r>
                    <w:rPr>
                      <w:rFonts w:hint="eastAsia"/>
                      <w:color w:val="auto"/>
                      <w:sz w:val="18"/>
                      <w:szCs w:val="18"/>
                      <w:highlight w:val="none"/>
                      <w:lang w:val="en-US" w:eastAsia="zh-CN"/>
                    </w:rPr>
                    <w:t>336-064-17</w:t>
                  </w:r>
                </w:p>
              </w:tc>
              <w:tc>
                <w:tcPr>
                  <w:tcW w:w="750" w:type="pct"/>
                  <w:vMerge w:val="continue"/>
                  <w:noWrap w:val="0"/>
                  <w:vAlign w:val="center"/>
                </w:tcPr>
                <w:p w14:paraId="79A9E211">
                  <w:pPr>
                    <w:jc w:val="center"/>
                    <w:rPr>
                      <w:rFonts w:ascii="Times New Roman" w:hAnsi="Times New Roman"/>
                      <w:color w:val="auto"/>
                      <w:sz w:val="18"/>
                      <w:szCs w:val="18"/>
                      <w:highlight w:val="none"/>
                    </w:rPr>
                  </w:pPr>
                </w:p>
              </w:tc>
            </w:tr>
            <w:tr w14:paraId="22C665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shd w:val="clear" w:color="auto" w:fill="auto"/>
                  <w:noWrap w:val="0"/>
                  <w:vAlign w:val="center"/>
                </w:tcPr>
                <w:p w14:paraId="3D61A8D3">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浮油及污泥</w:t>
                  </w:r>
                </w:p>
              </w:tc>
              <w:tc>
                <w:tcPr>
                  <w:tcW w:w="624" w:type="pct"/>
                  <w:shd w:val="clear" w:color="auto" w:fill="auto"/>
                  <w:noWrap w:val="0"/>
                  <w:vAlign w:val="center"/>
                </w:tcPr>
                <w:p w14:paraId="326541C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碱性含油和乳化液废水处理站</w:t>
                  </w:r>
                </w:p>
              </w:tc>
              <w:tc>
                <w:tcPr>
                  <w:tcW w:w="364" w:type="pct"/>
                  <w:noWrap w:val="0"/>
                  <w:vAlign w:val="center"/>
                </w:tcPr>
                <w:p w14:paraId="2634ABE1">
                  <w:pPr>
                    <w:jc w:val="center"/>
                    <w:rPr>
                      <w:rFonts w:hint="default"/>
                      <w:color w:val="auto"/>
                      <w:sz w:val="18"/>
                      <w:szCs w:val="18"/>
                      <w:highlight w:val="none"/>
                      <w:lang w:val="en-US" w:eastAsia="zh-CN"/>
                    </w:rPr>
                  </w:pPr>
                  <w:r>
                    <w:rPr>
                      <w:rFonts w:hint="eastAsia"/>
                      <w:color w:val="auto"/>
                      <w:sz w:val="18"/>
                      <w:szCs w:val="18"/>
                      <w:highlight w:val="none"/>
                      <w:lang w:val="en-US" w:eastAsia="zh-CN"/>
                    </w:rPr>
                    <w:t>液固混合</w:t>
                  </w:r>
                </w:p>
              </w:tc>
              <w:tc>
                <w:tcPr>
                  <w:tcW w:w="531" w:type="pct"/>
                  <w:noWrap w:val="0"/>
                  <w:vAlign w:val="center"/>
                </w:tcPr>
                <w:p w14:paraId="2ACAE04B">
                  <w:pPr>
                    <w:jc w:val="center"/>
                    <w:rPr>
                      <w:rFonts w:hint="eastAsia"/>
                      <w:color w:val="auto"/>
                      <w:sz w:val="18"/>
                      <w:szCs w:val="18"/>
                      <w:highlight w:val="none"/>
                      <w:lang w:val="en-US" w:eastAsia="zh-CN"/>
                    </w:rPr>
                  </w:pPr>
                  <w:r>
                    <w:rPr>
                      <w:rFonts w:hint="eastAsia"/>
                      <w:color w:val="auto"/>
                      <w:sz w:val="18"/>
                      <w:szCs w:val="18"/>
                      <w:highlight w:val="none"/>
                      <w:lang w:val="en-US" w:eastAsia="zh-CN"/>
                    </w:rPr>
                    <w:t>设计数据+工程经验</w:t>
                  </w:r>
                </w:p>
              </w:tc>
              <w:tc>
                <w:tcPr>
                  <w:tcW w:w="531" w:type="pct"/>
                  <w:noWrap w:val="0"/>
                  <w:vAlign w:val="center"/>
                </w:tcPr>
                <w:p w14:paraId="396E6BDB">
                  <w:pPr>
                    <w:widowControl/>
                    <w:jc w:val="center"/>
                    <w:rPr>
                      <w:rFonts w:hint="eastAsia"/>
                      <w:color w:val="auto"/>
                      <w:kern w:val="0"/>
                      <w:sz w:val="18"/>
                      <w:szCs w:val="18"/>
                      <w:highlight w:val="none"/>
                      <w:lang w:val="en-US" w:eastAsia="zh-CN"/>
                    </w:rPr>
                  </w:pPr>
                  <w:r>
                    <w:rPr>
                      <w:rFonts w:hint="eastAsia"/>
                      <w:color w:val="auto"/>
                      <w:kern w:val="0"/>
                      <w:sz w:val="18"/>
                      <w:szCs w:val="18"/>
                      <w:highlight w:val="none"/>
                      <w:lang w:val="en-US" w:eastAsia="zh-CN"/>
                    </w:rPr>
                    <w:t>2</w:t>
                  </w:r>
                </w:p>
              </w:tc>
              <w:tc>
                <w:tcPr>
                  <w:tcW w:w="604" w:type="pct"/>
                  <w:vMerge w:val="continue"/>
                  <w:noWrap w:val="0"/>
                  <w:vAlign w:val="center"/>
                </w:tcPr>
                <w:p w14:paraId="7D7F7BAC">
                  <w:pPr>
                    <w:jc w:val="center"/>
                    <w:rPr>
                      <w:rFonts w:ascii="Times New Roman" w:hAnsi="Times New Roman"/>
                      <w:color w:val="auto"/>
                      <w:sz w:val="18"/>
                      <w:szCs w:val="18"/>
                      <w:highlight w:val="none"/>
                    </w:rPr>
                  </w:pPr>
                </w:p>
              </w:tc>
              <w:tc>
                <w:tcPr>
                  <w:tcW w:w="843" w:type="pct"/>
                  <w:noWrap w:val="0"/>
                  <w:vAlign w:val="center"/>
                </w:tcPr>
                <w:p w14:paraId="7E3EA8F0">
                  <w:pPr>
                    <w:widowControl/>
                    <w:jc w:val="center"/>
                    <w:rPr>
                      <w:rFonts w:hint="eastAsia"/>
                      <w:color w:val="auto"/>
                      <w:sz w:val="18"/>
                      <w:szCs w:val="18"/>
                      <w:highlight w:val="none"/>
                      <w:lang w:val="en-US" w:eastAsia="zh-CN"/>
                    </w:rPr>
                  </w:pPr>
                  <w:r>
                    <w:rPr>
                      <w:rFonts w:hint="eastAsia"/>
                      <w:color w:val="auto"/>
                      <w:sz w:val="18"/>
                      <w:szCs w:val="18"/>
                      <w:highlight w:val="none"/>
                      <w:lang w:val="en-US" w:eastAsia="zh-CN"/>
                    </w:rPr>
                    <w:t>HW08</w:t>
                  </w:r>
                </w:p>
                <w:p w14:paraId="572C59AB">
                  <w:pPr>
                    <w:widowControl/>
                    <w:jc w:val="center"/>
                    <w:rPr>
                      <w:rFonts w:hint="eastAsia"/>
                      <w:color w:val="auto"/>
                      <w:sz w:val="18"/>
                      <w:szCs w:val="18"/>
                      <w:highlight w:val="none"/>
                      <w:lang w:val="en-US" w:eastAsia="zh-CN"/>
                    </w:rPr>
                  </w:pPr>
                  <w:r>
                    <w:rPr>
                      <w:rFonts w:hint="eastAsia"/>
                      <w:color w:val="auto"/>
                      <w:sz w:val="18"/>
                      <w:szCs w:val="18"/>
                      <w:highlight w:val="none"/>
                      <w:lang w:val="en-US" w:eastAsia="zh-CN"/>
                    </w:rPr>
                    <w:t>900-210-08</w:t>
                  </w:r>
                </w:p>
              </w:tc>
              <w:tc>
                <w:tcPr>
                  <w:tcW w:w="750" w:type="pct"/>
                  <w:vMerge w:val="continue"/>
                  <w:noWrap w:val="0"/>
                  <w:vAlign w:val="center"/>
                </w:tcPr>
                <w:p w14:paraId="73E5A19D">
                  <w:pPr>
                    <w:jc w:val="center"/>
                    <w:rPr>
                      <w:rFonts w:ascii="Times New Roman" w:hAnsi="Times New Roman"/>
                      <w:color w:val="auto"/>
                      <w:sz w:val="18"/>
                      <w:szCs w:val="18"/>
                      <w:highlight w:val="none"/>
                    </w:rPr>
                  </w:pPr>
                </w:p>
              </w:tc>
            </w:tr>
            <w:tr w14:paraId="3289B0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shd w:val="clear" w:color="auto" w:fill="auto"/>
                  <w:noWrap w:val="0"/>
                  <w:vAlign w:val="center"/>
                </w:tcPr>
                <w:p w14:paraId="02F32407">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污泥</w:t>
                  </w:r>
                </w:p>
              </w:tc>
              <w:tc>
                <w:tcPr>
                  <w:tcW w:w="624" w:type="pct"/>
                  <w:shd w:val="clear" w:color="auto" w:fill="auto"/>
                  <w:noWrap w:val="0"/>
                  <w:vAlign w:val="center"/>
                </w:tcPr>
                <w:p w14:paraId="00A0192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酸性废水处理站</w:t>
                  </w:r>
                </w:p>
              </w:tc>
              <w:tc>
                <w:tcPr>
                  <w:tcW w:w="364" w:type="pct"/>
                  <w:noWrap w:val="0"/>
                  <w:vAlign w:val="center"/>
                </w:tcPr>
                <w:p w14:paraId="52658681">
                  <w:pPr>
                    <w:jc w:val="center"/>
                    <w:rPr>
                      <w:rFonts w:hint="eastAsia"/>
                      <w:color w:val="auto"/>
                      <w:sz w:val="18"/>
                      <w:szCs w:val="18"/>
                      <w:highlight w:val="none"/>
                      <w:lang w:val="en-US" w:eastAsia="zh-CN"/>
                    </w:rPr>
                  </w:pPr>
                  <w:r>
                    <w:rPr>
                      <w:rFonts w:hint="eastAsia"/>
                      <w:color w:val="auto"/>
                      <w:sz w:val="18"/>
                      <w:szCs w:val="18"/>
                      <w:highlight w:val="none"/>
                      <w:lang w:val="en-US" w:eastAsia="zh-CN"/>
                    </w:rPr>
                    <w:t>固态</w:t>
                  </w:r>
                </w:p>
              </w:tc>
              <w:tc>
                <w:tcPr>
                  <w:tcW w:w="531" w:type="pct"/>
                  <w:noWrap w:val="0"/>
                  <w:vAlign w:val="center"/>
                </w:tcPr>
                <w:p w14:paraId="0A14341C">
                  <w:pPr>
                    <w:jc w:val="center"/>
                    <w:rPr>
                      <w:rFonts w:hint="eastAsia"/>
                      <w:color w:val="auto"/>
                      <w:sz w:val="18"/>
                      <w:szCs w:val="18"/>
                      <w:highlight w:val="none"/>
                      <w:lang w:val="en-US" w:eastAsia="zh-CN"/>
                    </w:rPr>
                  </w:pPr>
                  <w:r>
                    <w:rPr>
                      <w:rFonts w:hint="eastAsia"/>
                      <w:color w:val="auto"/>
                      <w:sz w:val="18"/>
                      <w:szCs w:val="18"/>
                      <w:highlight w:val="none"/>
                      <w:lang w:val="en-US" w:eastAsia="zh-CN"/>
                    </w:rPr>
                    <w:t>设计数据+工程经验</w:t>
                  </w:r>
                </w:p>
              </w:tc>
              <w:tc>
                <w:tcPr>
                  <w:tcW w:w="531" w:type="pct"/>
                  <w:noWrap w:val="0"/>
                  <w:vAlign w:val="center"/>
                </w:tcPr>
                <w:p w14:paraId="5971EAE1">
                  <w:pPr>
                    <w:widowControl/>
                    <w:jc w:val="center"/>
                    <w:rPr>
                      <w:rFonts w:hint="default"/>
                      <w:color w:val="auto"/>
                      <w:kern w:val="0"/>
                      <w:sz w:val="18"/>
                      <w:szCs w:val="18"/>
                      <w:highlight w:val="none"/>
                      <w:lang w:val="en-US" w:eastAsia="zh-CN"/>
                    </w:rPr>
                  </w:pPr>
                  <w:r>
                    <w:rPr>
                      <w:rFonts w:hint="eastAsia"/>
                      <w:color w:val="auto"/>
                      <w:kern w:val="0"/>
                      <w:sz w:val="18"/>
                      <w:szCs w:val="18"/>
                      <w:highlight w:val="none"/>
                      <w:lang w:val="en-US" w:eastAsia="zh-CN"/>
                    </w:rPr>
                    <w:t>5</w:t>
                  </w:r>
                </w:p>
              </w:tc>
              <w:tc>
                <w:tcPr>
                  <w:tcW w:w="604" w:type="pct"/>
                  <w:vMerge w:val="continue"/>
                  <w:noWrap w:val="0"/>
                  <w:vAlign w:val="center"/>
                </w:tcPr>
                <w:p w14:paraId="22C84BDE">
                  <w:pPr>
                    <w:jc w:val="center"/>
                    <w:rPr>
                      <w:rFonts w:ascii="Times New Roman" w:hAnsi="Times New Roman"/>
                      <w:color w:val="auto"/>
                      <w:sz w:val="18"/>
                      <w:szCs w:val="18"/>
                      <w:highlight w:val="none"/>
                    </w:rPr>
                  </w:pPr>
                </w:p>
              </w:tc>
              <w:tc>
                <w:tcPr>
                  <w:tcW w:w="843" w:type="pct"/>
                  <w:noWrap w:val="0"/>
                  <w:vAlign w:val="center"/>
                </w:tcPr>
                <w:p w14:paraId="21F31A40">
                  <w:pPr>
                    <w:jc w:val="center"/>
                    <w:rPr>
                      <w:rFonts w:hint="eastAsia"/>
                      <w:color w:val="auto"/>
                      <w:sz w:val="18"/>
                      <w:szCs w:val="18"/>
                      <w:highlight w:val="none"/>
                      <w:lang w:val="en-US" w:eastAsia="zh-CN"/>
                    </w:rPr>
                  </w:pPr>
                  <w:r>
                    <w:rPr>
                      <w:rFonts w:hint="eastAsia"/>
                      <w:color w:val="auto"/>
                      <w:sz w:val="18"/>
                      <w:szCs w:val="18"/>
                      <w:highlight w:val="none"/>
                      <w:lang w:val="en-US" w:eastAsia="zh-CN"/>
                    </w:rPr>
                    <w:t>HW17</w:t>
                  </w:r>
                </w:p>
                <w:p w14:paraId="79E45665">
                  <w:pPr>
                    <w:widowControl/>
                    <w:jc w:val="center"/>
                    <w:rPr>
                      <w:rFonts w:hint="default"/>
                      <w:color w:val="auto"/>
                      <w:sz w:val="18"/>
                      <w:szCs w:val="18"/>
                      <w:highlight w:val="none"/>
                      <w:lang w:val="en-US" w:eastAsia="zh-CN"/>
                    </w:rPr>
                  </w:pPr>
                  <w:r>
                    <w:rPr>
                      <w:rFonts w:hint="eastAsia"/>
                      <w:color w:val="auto"/>
                      <w:sz w:val="18"/>
                      <w:szCs w:val="18"/>
                      <w:highlight w:val="none"/>
                      <w:lang w:val="en-US" w:eastAsia="zh-CN"/>
                    </w:rPr>
                    <w:t>336-064-17</w:t>
                  </w:r>
                </w:p>
              </w:tc>
              <w:tc>
                <w:tcPr>
                  <w:tcW w:w="750" w:type="pct"/>
                  <w:vMerge w:val="continue"/>
                  <w:noWrap w:val="0"/>
                  <w:vAlign w:val="center"/>
                </w:tcPr>
                <w:p w14:paraId="34987C3F">
                  <w:pPr>
                    <w:jc w:val="center"/>
                    <w:rPr>
                      <w:rFonts w:ascii="Times New Roman" w:hAnsi="Times New Roman"/>
                      <w:color w:val="auto"/>
                      <w:sz w:val="18"/>
                      <w:szCs w:val="18"/>
                      <w:highlight w:val="none"/>
                    </w:rPr>
                  </w:pPr>
                </w:p>
              </w:tc>
            </w:tr>
            <w:tr w14:paraId="459434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shd w:val="clear" w:color="auto" w:fill="auto"/>
                  <w:noWrap w:val="0"/>
                  <w:vAlign w:val="center"/>
                </w:tcPr>
                <w:p w14:paraId="626EEFC8">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废液压油</w:t>
                  </w:r>
                </w:p>
              </w:tc>
              <w:tc>
                <w:tcPr>
                  <w:tcW w:w="624" w:type="pct"/>
                  <w:vMerge w:val="restart"/>
                  <w:shd w:val="clear" w:color="auto" w:fill="auto"/>
                  <w:noWrap w:val="0"/>
                  <w:vAlign w:val="center"/>
                </w:tcPr>
                <w:p w14:paraId="731E37A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设备维护检修</w:t>
                  </w:r>
                </w:p>
              </w:tc>
              <w:tc>
                <w:tcPr>
                  <w:tcW w:w="364" w:type="pct"/>
                  <w:noWrap w:val="0"/>
                  <w:vAlign w:val="center"/>
                </w:tcPr>
                <w:p w14:paraId="53B083B8">
                  <w:pPr>
                    <w:jc w:val="center"/>
                    <w:rPr>
                      <w:rFonts w:ascii="Times New Roman" w:hAnsi="Times New Roman"/>
                      <w:color w:val="auto"/>
                      <w:sz w:val="18"/>
                      <w:szCs w:val="18"/>
                      <w:highlight w:val="none"/>
                    </w:rPr>
                  </w:pPr>
                  <w:r>
                    <w:rPr>
                      <w:rFonts w:hint="eastAsia"/>
                      <w:color w:val="auto"/>
                      <w:sz w:val="18"/>
                      <w:szCs w:val="18"/>
                      <w:highlight w:val="none"/>
                      <w:lang w:val="en-US" w:eastAsia="zh-CN"/>
                    </w:rPr>
                    <w:t>液态</w:t>
                  </w:r>
                </w:p>
              </w:tc>
              <w:tc>
                <w:tcPr>
                  <w:tcW w:w="531" w:type="pct"/>
                  <w:noWrap w:val="0"/>
                  <w:vAlign w:val="center"/>
                </w:tcPr>
                <w:p w14:paraId="7DA5A693">
                  <w:pPr>
                    <w:jc w:val="center"/>
                    <w:rPr>
                      <w:rFonts w:hint="default"/>
                      <w:color w:val="auto"/>
                      <w:sz w:val="18"/>
                      <w:szCs w:val="18"/>
                      <w:highlight w:val="none"/>
                      <w:lang w:val="en-US" w:eastAsia="zh-CN"/>
                    </w:rPr>
                  </w:pPr>
                  <w:r>
                    <w:rPr>
                      <w:rFonts w:hint="eastAsia"/>
                      <w:color w:val="auto"/>
                      <w:sz w:val="18"/>
                      <w:szCs w:val="18"/>
                      <w:highlight w:val="none"/>
                      <w:lang w:val="en-US" w:eastAsia="zh-CN"/>
                    </w:rPr>
                    <w:t>使用量=产生量</w:t>
                  </w:r>
                </w:p>
              </w:tc>
              <w:tc>
                <w:tcPr>
                  <w:tcW w:w="531" w:type="pct"/>
                  <w:noWrap w:val="0"/>
                  <w:vAlign w:val="center"/>
                </w:tcPr>
                <w:p w14:paraId="093550AA">
                  <w:pPr>
                    <w:widowControl/>
                    <w:jc w:val="center"/>
                    <w:rPr>
                      <w:rFonts w:hint="default" w:ascii="Times New Roman" w:hAnsi="Times New Roman" w:eastAsia="宋体"/>
                      <w:color w:val="auto"/>
                      <w:kern w:val="0"/>
                      <w:sz w:val="18"/>
                      <w:szCs w:val="18"/>
                      <w:highlight w:val="none"/>
                      <w:lang w:val="en-US" w:eastAsia="zh-CN"/>
                    </w:rPr>
                  </w:pPr>
                  <w:r>
                    <w:rPr>
                      <w:rFonts w:hint="eastAsia"/>
                      <w:color w:val="auto"/>
                      <w:kern w:val="0"/>
                      <w:sz w:val="18"/>
                      <w:szCs w:val="18"/>
                      <w:highlight w:val="none"/>
                      <w:lang w:val="en-US" w:eastAsia="zh-CN"/>
                    </w:rPr>
                    <w:t>20</w:t>
                  </w:r>
                </w:p>
              </w:tc>
              <w:tc>
                <w:tcPr>
                  <w:tcW w:w="604" w:type="pct"/>
                  <w:vMerge w:val="continue"/>
                  <w:noWrap w:val="0"/>
                  <w:vAlign w:val="center"/>
                </w:tcPr>
                <w:p w14:paraId="746B6DE7">
                  <w:pPr>
                    <w:jc w:val="center"/>
                    <w:rPr>
                      <w:rFonts w:ascii="Times New Roman" w:hAnsi="Times New Roman"/>
                      <w:color w:val="auto"/>
                      <w:sz w:val="18"/>
                      <w:szCs w:val="18"/>
                      <w:highlight w:val="none"/>
                    </w:rPr>
                  </w:pPr>
                </w:p>
              </w:tc>
              <w:tc>
                <w:tcPr>
                  <w:tcW w:w="843" w:type="pct"/>
                  <w:noWrap w:val="0"/>
                  <w:vAlign w:val="center"/>
                </w:tcPr>
                <w:p w14:paraId="51395724">
                  <w:pPr>
                    <w:widowControl/>
                    <w:jc w:val="center"/>
                    <w:rPr>
                      <w:rFonts w:hint="eastAsia"/>
                      <w:color w:val="auto"/>
                      <w:sz w:val="18"/>
                      <w:szCs w:val="18"/>
                      <w:highlight w:val="none"/>
                      <w:lang w:val="en-US" w:eastAsia="zh-CN"/>
                    </w:rPr>
                  </w:pPr>
                  <w:r>
                    <w:rPr>
                      <w:rFonts w:hint="eastAsia"/>
                      <w:color w:val="auto"/>
                      <w:sz w:val="18"/>
                      <w:szCs w:val="18"/>
                      <w:highlight w:val="none"/>
                      <w:lang w:val="en-US" w:eastAsia="zh-CN"/>
                    </w:rPr>
                    <w:t>HW08</w:t>
                  </w:r>
                </w:p>
                <w:p w14:paraId="207F4BFD">
                  <w:pPr>
                    <w:widowControl/>
                    <w:jc w:val="center"/>
                    <w:rPr>
                      <w:rFonts w:ascii="Times New Roman" w:hAnsi="Times New Roman"/>
                      <w:color w:val="auto"/>
                      <w:kern w:val="0"/>
                      <w:sz w:val="18"/>
                      <w:szCs w:val="18"/>
                      <w:highlight w:val="none"/>
                    </w:rPr>
                  </w:pPr>
                  <w:r>
                    <w:rPr>
                      <w:rFonts w:hint="eastAsia"/>
                      <w:color w:val="auto"/>
                      <w:sz w:val="18"/>
                      <w:szCs w:val="18"/>
                      <w:highlight w:val="none"/>
                      <w:lang w:val="en-US" w:eastAsia="zh-CN"/>
                    </w:rPr>
                    <w:t>900-218-08</w:t>
                  </w:r>
                </w:p>
              </w:tc>
              <w:tc>
                <w:tcPr>
                  <w:tcW w:w="750" w:type="pct"/>
                  <w:vMerge w:val="continue"/>
                  <w:noWrap w:val="0"/>
                  <w:vAlign w:val="center"/>
                </w:tcPr>
                <w:p w14:paraId="60A15E6D">
                  <w:pPr>
                    <w:jc w:val="center"/>
                    <w:rPr>
                      <w:rFonts w:ascii="Times New Roman" w:hAnsi="Times New Roman"/>
                      <w:color w:val="auto"/>
                      <w:sz w:val="18"/>
                      <w:szCs w:val="18"/>
                      <w:highlight w:val="none"/>
                    </w:rPr>
                  </w:pPr>
                </w:p>
              </w:tc>
            </w:tr>
            <w:tr w14:paraId="319CC7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shd w:val="clear" w:color="auto" w:fill="auto"/>
                  <w:noWrap w:val="0"/>
                  <w:vAlign w:val="center"/>
                </w:tcPr>
                <w:p w14:paraId="3BAA5E0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废齿轮油</w:t>
                  </w:r>
                </w:p>
              </w:tc>
              <w:tc>
                <w:tcPr>
                  <w:tcW w:w="624" w:type="pct"/>
                  <w:vMerge w:val="continue"/>
                  <w:noWrap w:val="0"/>
                  <w:vAlign w:val="center"/>
                </w:tcPr>
                <w:p w14:paraId="0C3D8034">
                  <w:pPr>
                    <w:widowControl/>
                    <w:jc w:val="center"/>
                    <w:rPr>
                      <w:rFonts w:hint="eastAsia" w:ascii="Times New Roman" w:hAnsi="Times New Roman"/>
                      <w:color w:val="auto"/>
                      <w:kern w:val="0"/>
                      <w:sz w:val="18"/>
                      <w:szCs w:val="18"/>
                      <w:highlight w:val="none"/>
                    </w:rPr>
                  </w:pPr>
                </w:p>
              </w:tc>
              <w:tc>
                <w:tcPr>
                  <w:tcW w:w="364" w:type="pct"/>
                  <w:noWrap w:val="0"/>
                  <w:vAlign w:val="center"/>
                </w:tcPr>
                <w:p w14:paraId="36864B7D">
                  <w:pPr>
                    <w:jc w:val="center"/>
                    <w:rPr>
                      <w:rFonts w:ascii="Times New Roman" w:hAnsi="Times New Roman"/>
                      <w:color w:val="auto"/>
                      <w:sz w:val="18"/>
                      <w:szCs w:val="18"/>
                      <w:highlight w:val="none"/>
                    </w:rPr>
                  </w:pPr>
                  <w:r>
                    <w:rPr>
                      <w:rFonts w:hint="eastAsia"/>
                      <w:color w:val="auto"/>
                      <w:sz w:val="18"/>
                      <w:szCs w:val="18"/>
                      <w:highlight w:val="none"/>
                      <w:lang w:val="en-US" w:eastAsia="zh-CN"/>
                    </w:rPr>
                    <w:t>液态</w:t>
                  </w:r>
                </w:p>
              </w:tc>
              <w:tc>
                <w:tcPr>
                  <w:tcW w:w="531" w:type="pct"/>
                  <w:noWrap w:val="0"/>
                  <w:vAlign w:val="center"/>
                </w:tcPr>
                <w:p w14:paraId="08DCF697">
                  <w:pPr>
                    <w:jc w:val="center"/>
                    <w:rPr>
                      <w:rFonts w:hint="eastAsia"/>
                      <w:color w:val="auto"/>
                      <w:sz w:val="18"/>
                      <w:szCs w:val="18"/>
                      <w:highlight w:val="none"/>
                      <w:lang w:val="en-US" w:eastAsia="zh-CN"/>
                    </w:rPr>
                  </w:pPr>
                  <w:r>
                    <w:rPr>
                      <w:rFonts w:hint="eastAsia"/>
                      <w:color w:val="auto"/>
                      <w:sz w:val="18"/>
                      <w:szCs w:val="18"/>
                      <w:highlight w:val="none"/>
                      <w:lang w:val="en-US" w:eastAsia="zh-CN"/>
                    </w:rPr>
                    <w:t>设计数据+工程经验</w:t>
                  </w:r>
                </w:p>
              </w:tc>
              <w:tc>
                <w:tcPr>
                  <w:tcW w:w="531" w:type="pct"/>
                  <w:noWrap w:val="0"/>
                  <w:vAlign w:val="center"/>
                </w:tcPr>
                <w:p w14:paraId="38E402D5">
                  <w:pPr>
                    <w:widowControl/>
                    <w:jc w:val="center"/>
                    <w:rPr>
                      <w:rFonts w:hint="default" w:ascii="Times New Roman" w:hAnsi="Times New Roman" w:eastAsia="宋体"/>
                      <w:color w:val="auto"/>
                      <w:kern w:val="0"/>
                      <w:sz w:val="18"/>
                      <w:szCs w:val="18"/>
                      <w:highlight w:val="none"/>
                      <w:lang w:val="en-US" w:eastAsia="zh-CN"/>
                    </w:rPr>
                  </w:pPr>
                  <w:r>
                    <w:rPr>
                      <w:rFonts w:hint="eastAsia"/>
                      <w:color w:val="auto"/>
                      <w:kern w:val="0"/>
                      <w:sz w:val="18"/>
                      <w:szCs w:val="18"/>
                      <w:highlight w:val="none"/>
                      <w:lang w:val="en-US" w:eastAsia="zh-CN"/>
                    </w:rPr>
                    <w:t>2</w:t>
                  </w:r>
                </w:p>
              </w:tc>
              <w:tc>
                <w:tcPr>
                  <w:tcW w:w="604" w:type="pct"/>
                  <w:vMerge w:val="continue"/>
                  <w:noWrap w:val="0"/>
                  <w:vAlign w:val="center"/>
                </w:tcPr>
                <w:p w14:paraId="71470A28">
                  <w:pPr>
                    <w:jc w:val="center"/>
                    <w:rPr>
                      <w:rFonts w:ascii="Times New Roman" w:hAnsi="Times New Roman"/>
                      <w:color w:val="auto"/>
                      <w:sz w:val="18"/>
                      <w:szCs w:val="18"/>
                      <w:highlight w:val="none"/>
                    </w:rPr>
                  </w:pPr>
                </w:p>
              </w:tc>
              <w:tc>
                <w:tcPr>
                  <w:tcW w:w="843" w:type="pct"/>
                  <w:noWrap w:val="0"/>
                  <w:vAlign w:val="center"/>
                </w:tcPr>
                <w:p w14:paraId="496D5B7D">
                  <w:pPr>
                    <w:widowControl/>
                    <w:jc w:val="center"/>
                    <w:rPr>
                      <w:rFonts w:hint="eastAsia"/>
                      <w:color w:val="auto"/>
                      <w:sz w:val="18"/>
                      <w:szCs w:val="18"/>
                      <w:highlight w:val="none"/>
                      <w:lang w:val="en-US" w:eastAsia="zh-CN"/>
                    </w:rPr>
                  </w:pPr>
                  <w:r>
                    <w:rPr>
                      <w:rFonts w:hint="eastAsia"/>
                      <w:color w:val="auto"/>
                      <w:sz w:val="18"/>
                      <w:szCs w:val="18"/>
                      <w:highlight w:val="none"/>
                      <w:lang w:val="en-US" w:eastAsia="zh-CN"/>
                    </w:rPr>
                    <w:t>HW08</w:t>
                  </w:r>
                </w:p>
                <w:p w14:paraId="087B19A9">
                  <w:pPr>
                    <w:widowControl/>
                    <w:jc w:val="center"/>
                    <w:rPr>
                      <w:rFonts w:ascii="Times New Roman" w:hAnsi="Times New Roman"/>
                      <w:color w:val="auto"/>
                      <w:kern w:val="0"/>
                      <w:sz w:val="18"/>
                      <w:szCs w:val="18"/>
                      <w:highlight w:val="none"/>
                    </w:rPr>
                  </w:pPr>
                  <w:r>
                    <w:rPr>
                      <w:rFonts w:hint="eastAsia"/>
                      <w:color w:val="auto"/>
                      <w:sz w:val="18"/>
                      <w:szCs w:val="18"/>
                      <w:highlight w:val="none"/>
                      <w:lang w:val="en-US" w:eastAsia="zh-CN"/>
                    </w:rPr>
                    <w:t>900-217-08</w:t>
                  </w:r>
                </w:p>
              </w:tc>
              <w:tc>
                <w:tcPr>
                  <w:tcW w:w="750" w:type="pct"/>
                  <w:vMerge w:val="continue"/>
                  <w:noWrap w:val="0"/>
                  <w:vAlign w:val="center"/>
                </w:tcPr>
                <w:p w14:paraId="059E1188">
                  <w:pPr>
                    <w:jc w:val="center"/>
                    <w:rPr>
                      <w:rFonts w:ascii="Times New Roman" w:hAnsi="Times New Roman"/>
                      <w:color w:val="auto"/>
                      <w:sz w:val="18"/>
                      <w:szCs w:val="18"/>
                      <w:highlight w:val="none"/>
                    </w:rPr>
                  </w:pPr>
                </w:p>
              </w:tc>
            </w:tr>
            <w:tr w14:paraId="6A9EBC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shd w:val="clear" w:color="auto" w:fill="auto"/>
                  <w:noWrap w:val="0"/>
                  <w:vAlign w:val="center"/>
                </w:tcPr>
                <w:p w14:paraId="159C78A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废油桶</w:t>
                  </w:r>
                </w:p>
              </w:tc>
              <w:tc>
                <w:tcPr>
                  <w:tcW w:w="624" w:type="pct"/>
                  <w:vMerge w:val="continue"/>
                  <w:noWrap w:val="0"/>
                  <w:vAlign w:val="center"/>
                </w:tcPr>
                <w:p w14:paraId="7B2163DE">
                  <w:pPr>
                    <w:widowControl/>
                    <w:jc w:val="center"/>
                    <w:rPr>
                      <w:rFonts w:hint="eastAsia" w:ascii="Times New Roman" w:hAnsi="Times New Roman"/>
                      <w:color w:val="auto"/>
                      <w:kern w:val="0"/>
                      <w:sz w:val="18"/>
                      <w:szCs w:val="18"/>
                      <w:highlight w:val="none"/>
                    </w:rPr>
                  </w:pPr>
                </w:p>
              </w:tc>
              <w:tc>
                <w:tcPr>
                  <w:tcW w:w="364" w:type="pct"/>
                  <w:noWrap w:val="0"/>
                  <w:vAlign w:val="center"/>
                </w:tcPr>
                <w:p w14:paraId="3C6FF8AD">
                  <w:pPr>
                    <w:jc w:val="center"/>
                    <w:rPr>
                      <w:rFonts w:ascii="Times New Roman" w:hAnsi="Times New Roman"/>
                      <w:color w:val="auto"/>
                      <w:sz w:val="18"/>
                      <w:szCs w:val="18"/>
                      <w:highlight w:val="none"/>
                    </w:rPr>
                  </w:pPr>
                  <w:r>
                    <w:rPr>
                      <w:rFonts w:hint="eastAsia"/>
                      <w:color w:val="auto"/>
                      <w:sz w:val="18"/>
                      <w:szCs w:val="18"/>
                      <w:highlight w:val="none"/>
                      <w:lang w:val="en-US" w:eastAsia="zh-CN"/>
                    </w:rPr>
                    <w:t>液态</w:t>
                  </w:r>
                </w:p>
              </w:tc>
              <w:tc>
                <w:tcPr>
                  <w:tcW w:w="531" w:type="pct"/>
                  <w:noWrap w:val="0"/>
                  <w:vAlign w:val="center"/>
                </w:tcPr>
                <w:p w14:paraId="02EDF1CC">
                  <w:pPr>
                    <w:jc w:val="center"/>
                    <w:rPr>
                      <w:rFonts w:hint="eastAsia"/>
                      <w:color w:val="auto"/>
                      <w:sz w:val="18"/>
                      <w:szCs w:val="18"/>
                      <w:highlight w:val="none"/>
                      <w:lang w:val="en-US" w:eastAsia="zh-CN"/>
                    </w:rPr>
                  </w:pPr>
                  <w:r>
                    <w:rPr>
                      <w:rFonts w:hint="eastAsia"/>
                      <w:color w:val="auto"/>
                      <w:sz w:val="18"/>
                      <w:szCs w:val="18"/>
                      <w:highlight w:val="none"/>
                      <w:lang w:val="en-US" w:eastAsia="zh-CN"/>
                    </w:rPr>
                    <w:t>设计数据+工程经验</w:t>
                  </w:r>
                </w:p>
              </w:tc>
              <w:tc>
                <w:tcPr>
                  <w:tcW w:w="531" w:type="pct"/>
                  <w:noWrap w:val="0"/>
                  <w:vAlign w:val="center"/>
                </w:tcPr>
                <w:p w14:paraId="054283AB">
                  <w:pPr>
                    <w:widowControl/>
                    <w:jc w:val="center"/>
                    <w:rPr>
                      <w:rFonts w:hint="default" w:ascii="Times New Roman" w:hAnsi="Times New Roman" w:eastAsia="宋体"/>
                      <w:color w:val="auto"/>
                      <w:kern w:val="0"/>
                      <w:sz w:val="18"/>
                      <w:szCs w:val="18"/>
                      <w:highlight w:val="none"/>
                      <w:lang w:val="en-US" w:eastAsia="zh-CN"/>
                    </w:rPr>
                  </w:pPr>
                  <w:r>
                    <w:rPr>
                      <w:rFonts w:hint="eastAsia"/>
                      <w:color w:val="auto"/>
                      <w:kern w:val="0"/>
                      <w:sz w:val="18"/>
                      <w:szCs w:val="18"/>
                      <w:highlight w:val="none"/>
                      <w:lang w:val="en-US" w:eastAsia="zh-CN"/>
                    </w:rPr>
                    <w:t>0.5</w:t>
                  </w:r>
                </w:p>
              </w:tc>
              <w:tc>
                <w:tcPr>
                  <w:tcW w:w="604" w:type="pct"/>
                  <w:vMerge w:val="continue"/>
                  <w:noWrap w:val="0"/>
                  <w:vAlign w:val="center"/>
                </w:tcPr>
                <w:p w14:paraId="76414506">
                  <w:pPr>
                    <w:jc w:val="center"/>
                    <w:rPr>
                      <w:rFonts w:ascii="Times New Roman" w:hAnsi="Times New Roman"/>
                      <w:color w:val="auto"/>
                      <w:sz w:val="18"/>
                      <w:szCs w:val="18"/>
                      <w:highlight w:val="none"/>
                    </w:rPr>
                  </w:pPr>
                </w:p>
              </w:tc>
              <w:tc>
                <w:tcPr>
                  <w:tcW w:w="843" w:type="pct"/>
                  <w:noWrap w:val="0"/>
                  <w:vAlign w:val="center"/>
                </w:tcPr>
                <w:p w14:paraId="7BBE74C4">
                  <w:pPr>
                    <w:widowControl/>
                    <w:jc w:val="center"/>
                    <w:rPr>
                      <w:rFonts w:hint="eastAsia"/>
                      <w:color w:val="auto"/>
                      <w:sz w:val="18"/>
                      <w:szCs w:val="18"/>
                      <w:highlight w:val="none"/>
                      <w:lang w:val="en-US" w:eastAsia="zh-CN"/>
                    </w:rPr>
                  </w:pPr>
                  <w:r>
                    <w:rPr>
                      <w:rFonts w:hint="eastAsia"/>
                      <w:color w:val="auto"/>
                      <w:sz w:val="18"/>
                      <w:szCs w:val="18"/>
                      <w:highlight w:val="none"/>
                      <w:lang w:val="en-US" w:eastAsia="zh-CN"/>
                    </w:rPr>
                    <w:t>HW08</w:t>
                  </w:r>
                </w:p>
                <w:p w14:paraId="63C9760E">
                  <w:pPr>
                    <w:widowControl/>
                    <w:jc w:val="center"/>
                    <w:rPr>
                      <w:rFonts w:ascii="Times New Roman" w:hAnsi="Times New Roman"/>
                      <w:color w:val="auto"/>
                      <w:kern w:val="0"/>
                      <w:sz w:val="18"/>
                      <w:szCs w:val="18"/>
                      <w:highlight w:val="none"/>
                    </w:rPr>
                  </w:pPr>
                  <w:r>
                    <w:rPr>
                      <w:rFonts w:hint="eastAsia"/>
                      <w:color w:val="auto"/>
                      <w:sz w:val="18"/>
                      <w:szCs w:val="18"/>
                      <w:highlight w:val="none"/>
                      <w:lang w:val="en-US" w:eastAsia="zh-CN"/>
                    </w:rPr>
                    <w:t>900-249-08</w:t>
                  </w:r>
                </w:p>
              </w:tc>
              <w:tc>
                <w:tcPr>
                  <w:tcW w:w="750" w:type="pct"/>
                  <w:vMerge w:val="continue"/>
                  <w:noWrap w:val="0"/>
                  <w:vAlign w:val="center"/>
                </w:tcPr>
                <w:p w14:paraId="4581E75C">
                  <w:pPr>
                    <w:jc w:val="center"/>
                    <w:rPr>
                      <w:rFonts w:ascii="Times New Roman" w:hAnsi="Times New Roman"/>
                      <w:color w:val="auto"/>
                      <w:sz w:val="18"/>
                      <w:szCs w:val="18"/>
                      <w:highlight w:val="none"/>
                    </w:rPr>
                  </w:pPr>
                </w:p>
              </w:tc>
            </w:tr>
            <w:tr w14:paraId="58E22D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shd w:val="clear" w:color="auto" w:fill="auto"/>
                  <w:noWrap w:val="0"/>
                  <w:vAlign w:val="center"/>
                </w:tcPr>
                <w:p w14:paraId="773662C6">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废弃的含油抹布和劳保用品</w:t>
                  </w:r>
                </w:p>
              </w:tc>
              <w:tc>
                <w:tcPr>
                  <w:tcW w:w="624" w:type="pct"/>
                  <w:vMerge w:val="continue"/>
                  <w:noWrap w:val="0"/>
                  <w:vAlign w:val="center"/>
                </w:tcPr>
                <w:p w14:paraId="031FE692">
                  <w:pPr>
                    <w:widowControl/>
                    <w:jc w:val="center"/>
                    <w:rPr>
                      <w:rFonts w:hint="eastAsia" w:ascii="Times New Roman" w:hAnsi="Times New Roman"/>
                      <w:color w:val="auto"/>
                      <w:kern w:val="0"/>
                      <w:sz w:val="18"/>
                      <w:szCs w:val="18"/>
                      <w:highlight w:val="none"/>
                    </w:rPr>
                  </w:pPr>
                </w:p>
              </w:tc>
              <w:tc>
                <w:tcPr>
                  <w:tcW w:w="364" w:type="pct"/>
                  <w:noWrap w:val="0"/>
                  <w:vAlign w:val="center"/>
                </w:tcPr>
                <w:p w14:paraId="1FBF3DB5">
                  <w:pPr>
                    <w:jc w:val="center"/>
                    <w:rPr>
                      <w:rFonts w:hint="eastAsia"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固态</w:t>
                  </w:r>
                </w:p>
              </w:tc>
              <w:tc>
                <w:tcPr>
                  <w:tcW w:w="531" w:type="pct"/>
                  <w:noWrap w:val="0"/>
                  <w:vAlign w:val="center"/>
                </w:tcPr>
                <w:p w14:paraId="5AAA31D9">
                  <w:pPr>
                    <w:jc w:val="center"/>
                    <w:rPr>
                      <w:rFonts w:hint="eastAsia"/>
                      <w:color w:val="auto"/>
                      <w:sz w:val="18"/>
                      <w:szCs w:val="18"/>
                      <w:highlight w:val="none"/>
                      <w:lang w:val="en-US" w:eastAsia="zh-CN"/>
                    </w:rPr>
                  </w:pPr>
                  <w:r>
                    <w:rPr>
                      <w:rFonts w:hint="eastAsia"/>
                      <w:color w:val="auto"/>
                      <w:sz w:val="18"/>
                      <w:szCs w:val="18"/>
                      <w:highlight w:val="none"/>
                      <w:lang w:val="en-US" w:eastAsia="zh-CN"/>
                    </w:rPr>
                    <w:t>设计数据+工程经验</w:t>
                  </w:r>
                </w:p>
              </w:tc>
              <w:tc>
                <w:tcPr>
                  <w:tcW w:w="531" w:type="pct"/>
                  <w:noWrap w:val="0"/>
                  <w:vAlign w:val="center"/>
                </w:tcPr>
                <w:p w14:paraId="1FE38C4C">
                  <w:pPr>
                    <w:widowControl/>
                    <w:jc w:val="center"/>
                    <w:rPr>
                      <w:rFonts w:hint="default" w:ascii="Times New Roman" w:hAnsi="Times New Roman" w:eastAsia="宋体"/>
                      <w:color w:val="auto"/>
                      <w:kern w:val="0"/>
                      <w:sz w:val="18"/>
                      <w:szCs w:val="18"/>
                      <w:highlight w:val="none"/>
                      <w:lang w:val="en-US" w:eastAsia="zh-CN"/>
                    </w:rPr>
                  </w:pPr>
                  <w:r>
                    <w:rPr>
                      <w:rFonts w:hint="eastAsia"/>
                      <w:color w:val="auto"/>
                      <w:kern w:val="0"/>
                      <w:sz w:val="18"/>
                      <w:szCs w:val="18"/>
                      <w:highlight w:val="none"/>
                      <w:lang w:val="en-US" w:eastAsia="zh-CN"/>
                    </w:rPr>
                    <w:t>0.3</w:t>
                  </w:r>
                </w:p>
              </w:tc>
              <w:tc>
                <w:tcPr>
                  <w:tcW w:w="604" w:type="pct"/>
                  <w:vMerge w:val="continue"/>
                  <w:noWrap w:val="0"/>
                  <w:vAlign w:val="center"/>
                </w:tcPr>
                <w:p w14:paraId="7F32116F">
                  <w:pPr>
                    <w:jc w:val="center"/>
                    <w:rPr>
                      <w:rFonts w:ascii="Times New Roman" w:hAnsi="Times New Roman"/>
                      <w:color w:val="auto"/>
                      <w:sz w:val="18"/>
                      <w:szCs w:val="18"/>
                      <w:highlight w:val="none"/>
                    </w:rPr>
                  </w:pPr>
                </w:p>
              </w:tc>
              <w:tc>
                <w:tcPr>
                  <w:tcW w:w="843" w:type="pct"/>
                  <w:noWrap w:val="0"/>
                  <w:vAlign w:val="center"/>
                </w:tcPr>
                <w:p w14:paraId="01252F5B">
                  <w:pPr>
                    <w:widowControl/>
                    <w:jc w:val="center"/>
                    <w:rPr>
                      <w:rFonts w:hint="eastAsia"/>
                      <w:color w:val="auto"/>
                      <w:sz w:val="18"/>
                      <w:szCs w:val="18"/>
                      <w:highlight w:val="none"/>
                      <w:lang w:val="en-US" w:eastAsia="zh-CN"/>
                    </w:rPr>
                  </w:pPr>
                  <w:r>
                    <w:rPr>
                      <w:rFonts w:hint="eastAsia"/>
                      <w:color w:val="auto"/>
                      <w:sz w:val="18"/>
                      <w:szCs w:val="18"/>
                      <w:highlight w:val="none"/>
                      <w:lang w:val="en-US" w:eastAsia="zh-CN"/>
                    </w:rPr>
                    <w:t>HW08</w:t>
                  </w:r>
                </w:p>
                <w:p w14:paraId="1A97D919">
                  <w:pPr>
                    <w:widowControl/>
                    <w:jc w:val="center"/>
                    <w:rPr>
                      <w:rFonts w:hint="default" w:ascii="Times New Roman" w:hAnsi="Times New Roman" w:eastAsia="宋体"/>
                      <w:color w:val="auto"/>
                      <w:kern w:val="0"/>
                      <w:sz w:val="18"/>
                      <w:szCs w:val="18"/>
                      <w:highlight w:val="none"/>
                      <w:lang w:val="en-US" w:eastAsia="zh-CN"/>
                    </w:rPr>
                  </w:pPr>
                  <w:r>
                    <w:rPr>
                      <w:rFonts w:hint="eastAsia"/>
                      <w:color w:val="auto"/>
                      <w:sz w:val="18"/>
                      <w:szCs w:val="18"/>
                      <w:highlight w:val="none"/>
                      <w:lang w:val="en-US" w:eastAsia="zh-CN"/>
                    </w:rPr>
                    <w:t>900-249-08</w:t>
                  </w:r>
                </w:p>
              </w:tc>
              <w:tc>
                <w:tcPr>
                  <w:tcW w:w="750" w:type="pct"/>
                  <w:vMerge w:val="continue"/>
                  <w:noWrap w:val="0"/>
                  <w:vAlign w:val="center"/>
                </w:tcPr>
                <w:p w14:paraId="30872FE5">
                  <w:pPr>
                    <w:jc w:val="center"/>
                    <w:rPr>
                      <w:rFonts w:ascii="Times New Roman" w:hAnsi="Times New Roman"/>
                      <w:color w:val="auto"/>
                      <w:sz w:val="18"/>
                      <w:szCs w:val="18"/>
                      <w:highlight w:val="none"/>
                    </w:rPr>
                  </w:pPr>
                </w:p>
              </w:tc>
            </w:tr>
            <w:tr w14:paraId="095A3C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shd w:val="clear" w:color="auto" w:fill="auto"/>
                  <w:noWrap w:val="0"/>
                  <w:vAlign w:val="center"/>
                </w:tcPr>
                <w:p w14:paraId="6E8EB446">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废透平油</w:t>
                  </w:r>
                </w:p>
              </w:tc>
              <w:tc>
                <w:tcPr>
                  <w:tcW w:w="624" w:type="pct"/>
                  <w:noWrap w:val="0"/>
                  <w:vAlign w:val="center"/>
                </w:tcPr>
                <w:p w14:paraId="64AA4CFD">
                  <w:pPr>
                    <w:widowControl/>
                    <w:jc w:val="center"/>
                    <w:rPr>
                      <w:rFonts w:hint="eastAsia" w:ascii="Times New Roman" w:hAnsi="Times New Roman"/>
                      <w:color w:val="auto"/>
                      <w:kern w:val="0"/>
                      <w:sz w:val="18"/>
                      <w:szCs w:val="18"/>
                      <w:highlight w:val="none"/>
                    </w:rPr>
                  </w:pPr>
                  <w:r>
                    <w:rPr>
                      <w:rFonts w:hint="eastAsia" w:cs="Times New Roman"/>
                      <w:snapToGrid w:val="0"/>
                      <w:color w:val="auto"/>
                      <w:kern w:val="2"/>
                      <w:sz w:val="18"/>
                      <w:szCs w:val="18"/>
                      <w:highlight w:val="none"/>
                      <w:vertAlign w:val="baseline"/>
                      <w:lang w:val="en-US" w:eastAsia="zh-CN" w:bidi="ar-SA"/>
                    </w:rPr>
                    <w:t>制氮系统</w:t>
                  </w:r>
                </w:p>
              </w:tc>
              <w:tc>
                <w:tcPr>
                  <w:tcW w:w="364" w:type="pct"/>
                  <w:noWrap w:val="0"/>
                  <w:vAlign w:val="center"/>
                </w:tcPr>
                <w:p w14:paraId="1017BE59">
                  <w:pPr>
                    <w:jc w:val="center"/>
                    <w:rPr>
                      <w:rFonts w:hint="default"/>
                      <w:color w:val="auto"/>
                      <w:sz w:val="18"/>
                      <w:szCs w:val="18"/>
                      <w:highlight w:val="none"/>
                      <w:lang w:val="en-US" w:eastAsia="zh-CN"/>
                    </w:rPr>
                  </w:pPr>
                  <w:r>
                    <w:rPr>
                      <w:rFonts w:hint="eastAsia"/>
                      <w:color w:val="auto"/>
                      <w:sz w:val="18"/>
                      <w:szCs w:val="18"/>
                      <w:highlight w:val="none"/>
                      <w:lang w:val="en-US" w:eastAsia="zh-CN"/>
                    </w:rPr>
                    <w:t>液态</w:t>
                  </w:r>
                </w:p>
              </w:tc>
              <w:tc>
                <w:tcPr>
                  <w:tcW w:w="531" w:type="pct"/>
                  <w:noWrap w:val="0"/>
                  <w:vAlign w:val="center"/>
                </w:tcPr>
                <w:p w14:paraId="2734D72D">
                  <w:pPr>
                    <w:jc w:val="center"/>
                    <w:rPr>
                      <w:rFonts w:hint="default"/>
                      <w:color w:val="auto"/>
                      <w:sz w:val="18"/>
                      <w:szCs w:val="18"/>
                      <w:highlight w:val="none"/>
                      <w:lang w:val="en-US" w:eastAsia="zh-CN"/>
                    </w:rPr>
                  </w:pPr>
                  <w:r>
                    <w:rPr>
                      <w:rFonts w:hint="eastAsia"/>
                      <w:color w:val="auto"/>
                      <w:sz w:val="18"/>
                      <w:szCs w:val="18"/>
                      <w:highlight w:val="none"/>
                      <w:lang w:val="en-US" w:eastAsia="zh-CN"/>
                    </w:rPr>
                    <w:t>设计数据</w:t>
                  </w:r>
                </w:p>
              </w:tc>
              <w:tc>
                <w:tcPr>
                  <w:tcW w:w="531" w:type="pct"/>
                  <w:noWrap w:val="0"/>
                  <w:vAlign w:val="center"/>
                </w:tcPr>
                <w:p w14:paraId="0FE0D829">
                  <w:pPr>
                    <w:widowControl/>
                    <w:jc w:val="center"/>
                    <w:rPr>
                      <w:rFonts w:hint="default"/>
                      <w:color w:val="auto"/>
                      <w:kern w:val="0"/>
                      <w:sz w:val="18"/>
                      <w:szCs w:val="18"/>
                      <w:highlight w:val="none"/>
                      <w:lang w:val="en-US" w:eastAsia="zh-CN"/>
                    </w:rPr>
                  </w:pPr>
                  <w:r>
                    <w:rPr>
                      <w:rFonts w:hint="eastAsia"/>
                      <w:color w:val="auto"/>
                      <w:kern w:val="0"/>
                      <w:sz w:val="18"/>
                      <w:szCs w:val="18"/>
                      <w:highlight w:val="none"/>
                      <w:lang w:val="en-US" w:eastAsia="zh-CN"/>
                    </w:rPr>
                    <w:t>1</w:t>
                  </w:r>
                </w:p>
              </w:tc>
              <w:tc>
                <w:tcPr>
                  <w:tcW w:w="604" w:type="pct"/>
                  <w:vMerge w:val="continue"/>
                  <w:noWrap w:val="0"/>
                  <w:vAlign w:val="center"/>
                </w:tcPr>
                <w:p w14:paraId="7A76C7DC">
                  <w:pPr>
                    <w:jc w:val="center"/>
                    <w:rPr>
                      <w:rFonts w:ascii="Times New Roman" w:hAnsi="Times New Roman"/>
                      <w:color w:val="auto"/>
                      <w:sz w:val="18"/>
                      <w:szCs w:val="18"/>
                      <w:highlight w:val="none"/>
                    </w:rPr>
                  </w:pPr>
                </w:p>
              </w:tc>
              <w:tc>
                <w:tcPr>
                  <w:tcW w:w="843" w:type="pct"/>
                  <w:noWrap w:val="0"/>
                  <w:vAlign w:val="center"/>
                </w:tcPr>
                <w:p w14:paraId="08E9CC59">
                  <w:pPr>
                    <w:widowControl/>
                    <w:jc w:val="center"/>
                    <w:rPr>
                      <w:rFonts w:hint="eastAsia"/>
                      <w:color w:val="auto"/>
                      <w:sz w:val="18"/>
                      <w:szCs w:val="18"/>
                      <w:highlight w:val="none"/>
                      <w:lang w:val="en-US" w:eastAsia="zh-CN"/>
                    </w:rPr>
                  </w:pPr>
                  <w:r>
                    <w:rPr>
                      <w:rFonts w:hint="eastAsia"/>
                      <w:color w:val="auto"/>
                      <w:sz w:val="18"/>
                      <w:szCs w:val="18"/>
                      <w:highlight w:val="none"/>
                      <w:lang w:val="en-US" w:eastAsia="zh-CN"/>
                    </w:rPr>
                    <w:t>HW08</w:t>
                  </w:r>
                </w:p>
                <w:p w14:paraId="347E8DFC">
                  <w:pPr>
                    <w:widowControl/>
                    <w:jc w:val="center"/>
                    <w:rPr>
                      <w:rFonts w:hint="eastAsia"/>
                      <w:color w:val="auto"/>
                      <w:sz w:val="18"/>
                      <w:szCs w:val="18"/>
                      <w:highlight w:val="none"/>
                      <w:lang w:val="en-US" w:eastAsia="zh-CN"/>
                    </w:rPr>
                  </w:pPr>
                  <w:r>
                    <w:rPr>
                      <w:rFonts w:hint="eastAsia"/>
                      <w:color w:val="auto"/>
                      <w:sz w:val="18"/>
                      <w:szCs w:val="18"/>
                      <w:highlight w:val="none"/>
                      <w:lang w:val="en-US" w:eastAsia="zh-CN"/>
                    </w:rPr>
                    <w:t>900-249-08</w:t>
                  </w:r>
                </w:p>
              </w:tc>
              <w:tc>
                <w:tcPr>
                  <w:tcW w:w="750" w:type="pct"/>
                  <w:vMerge w:val="continue"/>
                  <w:noWrap w:val="0"/>
                  <w:vAlign w:val="center"/>
                </w:tcPr>
                <w:p w14:paraId="4FF98FB4">
                  <w:pPr>
                    <w:jc w:val="center"/>
                    <w:rPr>
                      <w:rFonts w:ascii="Times New Roman" w:hAnsi="Times New Roman"/>
                      <w:color w:val="auto"/>
                      <w:sz w:val="18"/>
                      <w:szCs w:val="18"/>
                      <w:highlight w:val="none"/>
                    </w:rPr>
                  </w:pPr>
                </w:p>
              </w:tc>
            </w:tr>
            <w:tr w14:paraId="524774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9" w:type="pct"/>
                  <w:noWrap w:val="0"/>
                  <w:vAlign w:val="center"/>
                </w:tcPr>
                <w:p w14:paraId="5A0E7F2A">
                  <w:pPr>
                    <w:widowControl/>
                    <w:jc w:val="center"/>
                    <w:rPr>
                      <w:rFonts w:hint="default" w:ascii="Times New Roman" w:hAnsi="Times New Roman" w:eastAsia="宋体"/>
                      <w:color w:val="auto"/>
                      <w:kern w:val="0"/>
                      <w:sz w:val="18"/>
                      <w:szCs w:val="18"/>
                      <w:highlight w:val="none"/>
                      <w:lang w:val="en-US" w:eastAsia="zh-CN"/>
                    </w:rPr>
                  </w:pPr>
                  <w:r>
                    <w:rPr>
                      <w:rFonts w:hint="eastAsia"/>
                      <w:color w:val="auto"/>
                      <w:kern w:val="0"/>
                      <w:sz w:val="18"/>
                      <w:szCs w:val="18"/>
                      <w:highlight w:val="none"/>
                      <w:lang w:val="en-US" w:eastAsia="zh-CN"/>
                    </w:rPr>
                    <w:t>生活垃圾</w:t>
                  </w:r>
                </w:p>
              </w:tc>
              <w:tc>
                <w:tcPr>
                  <w:tcW w:w="624" w:type="pct"/>
                  <w:noWrap w:val="0"/>
                  <w:vAlign w:val="center"/>
                </w:tcPr>
                <w:p w14:paraId="40265493">
                  <w:pPr>
                    <w:widowControl/>
                    <w:jc w:val="center"/>
                    <w:rPr>
                      <w:rFonts w:hint="default" w:ascii="Times New Roman" w:hAnsi="Times New Roman" w:eastAsia="宋体"/>
                      <w:color w:val="auto"/>
                      <w:kern w:val="0"/>
                      <w:sz w:val="18"/>
                      <w:szCs w:val="18"/>
                      <w:highlight w:val="none"/>
                      <w:lang w:val="en-US" w:eastAsia="zh-CN"/>
                    </w:rPr>
                  </w:pPr>
                  <w:r>
                    <w:rPr>
                      <w:rFonts w:hint="eastAsia"/>
                      <w:color w:val="auto"/>
                      <w:kern w:val="0"/>
                      <w:sz w:val="18"/>
                      <w:szCs w:val="18"/>
                      <w:highlight w:val="none"/>
                      <w:lang w:val="en-US" w:eastAsia="zh-CN"/>
                    </w:rPr>
                    <w:t>职工生活</w:t>
                  </w:r>
                </w:p>
              </w:tc>
              <w:tc>
                <w:tcPr>
                  <w:tcW w:w="364" w:type="pct"/>
                  <w:noWrap w:val="0"/>
                  <w:vAlign w:val="center"/>
                </w:tcPr>
                <w:p w14:paraId="457B8947">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固态</w:t>
                  </w:r>
                </w:p>
              </w:tc>
              <w:tc>
                <w:tcPr>
                  <w:tcW w:w="531" w:type="pct"/>
                  <w:noWrap w:val="0"/>
                  <w:vAlign w:val="center"/>
                </w:tcPr>
                <w:p w14:paraId="2DCCA66E">
                  <w:pPr>
                    <w:jc w:val="center"/>
                    <w:rPr>
                      <w:rFonts w:hint="eastAsia"/>
                      <w:color w:val="auto"/>
                      <w:sz w:val="18"/>
                      <w:szCs w:val="18"/>
                      <w:highlight w:val="none"/>
                      <w:lang w:val="en-US" w:eastAsia="zh-CN"/>
                    </w:rPr>
                  </w:pPr>
                  <w:r>
                    <w:rPr>
                      <w:rFonts w:hint="eastAsia"/>
                      <w:color w:val="auto"/>
                      <w:sz w:val="18"/>
                      <w:szCs w:val="18"/>
                      <w:highlight w:val="none"/>
                      <w:lang w:val="en-US" w:eastAsia="zh-CN"/>
                    </w:rPr>
                    <w:t>产污系数</w:t>
                  </w:r>
                </w:p>
              </w:tc>
              <w:tc>
                <w:tcPr>
                  <w:tcW w:w="531" w:type="pct"/>
                  <w:noWrap w:val="0"/>
                  <w:vAlign w:val="center"/>
                </w:tcPr>
                <w:p w14:paraId="4F84E74F">
                  <w:pPr>
                    <w:widowControl/>
                    <w:jc w:val="center"/>
                    <w:rPr>
                      <w:rFonts w:hint="default" w:ascii="Times New Roman" w:hAnsi="Times New Roman" w:eastAsia="宋体"/>
                      <w:color w:val="auto"/>
                      <w:kern w:val="0"/>
                      <w:sz w:val="18"/>
                      <w:szCs w:val="18"/>
                      <w:highlight w:val="none"/>
                      <w:lang w:val="en-US" w:eastAsia="zh-CN"/>
                    </w:rPr>
                  </w:pPr>
                  <w:r>
                    <w:rPr>
                      <w:rFonts w:hint="eastAsia"/>
                      <w:color w:val="auto"/>
                      <w:kern w:val="0"/>
                      <w:sz w:val="18"/>
                      <w:szCs w:val="18"/>
                      <w:highlight w:val="none"/>
                      <w:lang w:val="en-US" w:eastAsia="zh-CN"/>
                    </w:rPr>
                    <w:t>65.7</w:t>
                  </w:r>
                </w:p>
              </w:tc>
              <w:tc>
                <w:tcPr>
                  <w:tcW w:w="604" w:type="pct"/>
                  <w:noWrap w:val="0"/>
                  <w:vAlign w:val="center"/>
                </w:tcPr>
                <w:p w14:paraId="428CCEFF">
                  <w:pPr>
                    <w:jc w:val="center"/>
                    <w:rPr>
                      <w:rFonts w:hint="eastAsia"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w:t>
                  </w:r>
                </w:p>
              </w:tc>
              <w:tc>
                <w:tcPr>
                  <w:tcW w:w="843" w:type="pct"/>
                  <w:noWrap w:val="0"/>
                  <w:vAlign w:val="center"/>
                </w:tcPr>
                <w:p w14:paraId="00A8C9D8">
                  <w:pPr>
                    <w:widowControl/>
                    <w:jc w:val="center"/>
                    <w:rPr>
                      <w:rFonts w:hint="eastAsia" w:ascii="Times New Roman" w:hAnsi="Times New Roman" w:eastAsia="宋体"/>
                      <w:color w:val="auto"/>
                      <w:kern w:val="0"/>
                      <w:sz w:val="18"/>
                      <w:szCs w:val="18"/>
                      <w:highlight w:val="none"/>
                      <w:lang w:val="en-US" w:eastAsia="zh-CN"/>
                    </w:rPr>
                  </w:pPr>
                  <w:r>
                    <w:rPr>
                      <w:rFonts w:hint="eastAsia"/>
                      <w:color w:val="auto"/>
                      <w:kern w:val="0"/>
                      <w:sz w:val="18"/>
                      <w:szCs w:val="18"/>
                      <w:highlight w:val="none"/>
                      <w:lang w:val="en-US" w:eastAsia="zh-CN"/>
                    </w:rPr>
                    <w:t>/</w:t>
                  </w:r>
                </w:p>
              </w:tc>
              <w:tc>
                <w:tcPr>
                  <w:tcW w:w="750" w:type="pct"/>
                  <w:noWrap w:val="0"/>
                  <w:vAlign w:val="center"/>
                </w:tcPr>
                <w:p w14:paraId="1215D96A">
                  <w:pPr>
                    <w:jc w:val="center"/>
                    <w:rPr>
                      <w:rFonts w:hint="eastAsia"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环卫部门清运</w:t>
                  </w:r>
                </w:p>
              </w:tc>
            </w:tr>
          </w:tbl>
          <w:p w14:paraId="658C2987">
            <w:pPr>
              <w:pStyle w:val="226"/>
              <w:spacing w:line="360" w:lineRule="auto"/>
              <w:ind w:firstLine="422" w:firstLineChars="200"/>
              <w:jc w:val="left"/>
              <w:rPr>
                <w:rFonts w:ascii="Times New Roman" w:hAnsi="Times New Roman"/>
                <w:b/>
                <w:color w:val="auto"/>
                <w:sz w:val="21"/>
                <w:szCs w:val="21"/>
                <w:highlight w:val="none"/>
              </w:rPr>
            </w:pPr>
            <w:r>
              <w:rPr>
                <w:rFonts w:ascii="Times New Roman" w:hAnsi="Times New Roman"/>
                <w:b/>
                <w:color w:val="auto"/>
                <w:sz w:val="21"/>
                <w:szCs w:val="21"/>
                <w:highlight w:val="none"/>
              </w:rPr>
              <w:t>2、危废收集、贮存、转移规范要求</w:t>
            </w:r>
          </w:p>
          <w:p w14:paraId="074141B1">
            <w:pPr>
              <w:spacing w:line="360" w:lineRule="auto"/>
              <w:ind w:firstLine="420" w:firstLineChars="200"/>
              <w:jc w:val="both"/>
              <w:rPr>
                <w:rFonts w:ascii="Times New Roman" w:hAnsi="Times New Roman"/>
                <w:color w:val="auto"/>
                <w:kern w:val="0"/>
                <w:sz w:val="21"/>
                <w:szCs w:val="21"/>
                <w:highlight w:val="none"/>
              </w:rPr>
            </w:pPr>
            <w:r>
              <w:rPr>
                <w:rFonts w:hint="eastAsia" w:ascii="Times New Roman" w:hAnsi="Times New Roman"/>
                <w:color w:val="auto"/>
                <w:kern w:val="0"/>
                <w:sz w:val="21"/>
                <w:szCs w:val="21"/>
                <w:highlight w:val="none"/>
              </w:rPr>
              <w:t>本项目产生的危险废物</w:t>
            </w:r>
            <w:r>
              <w:rPr>
                <w:rFonts w:hint="eastAsia"/>
                <w:color w:val="auto"/>
                <w:kern w:val="0"/>
                <w:sz w:val="21"/>
                <w:szCs w:val="21"/>
                <w:highlight w:val="none"/>
                <w:lang w:val="en-US" w:eastAsia="zh-CN"/>
              </w:rPr>
              <w:t>在</w:t>
            </w:r>
            <w:r>
              <w:rPr>
                <w:rFonts w:hint="eastAsia"/>
                <w:color w:val="auto"/>
                <w:kern w:val="0"/>
                <w:sz w:val="21"/>
                <w:szCs w:val="21"/>
                <w:highlight w:val="none"/>
                <w:lang w:eastAsia="zh-CN"/>
              </w:rPr>
              <w:t>危废暂存库</w:t>
            </w:r>
            <w:r>
              <w:rPr>
                <w:rFonts w:hint="eastAsia" w:ascii="Times New Roman" w:hAnsi="Times New Roman"/>
                <w:color w:val="auto"/>
                <w:kern w:val="0"/>
                <w:sz w:val="21"/>
                <w:szCs w:val="21"/>
                <w:highlight w:val="none"/>
              </w:rPr>
              <w:t>（占地面积</w:t>
            </w:r>
            <w:r>
              <w:rPr>
                <w:rFonts w:hint="eastAsia"/>
                <w:color w:val="auto"/>
                <w:kern w:val="0"/>
                <w:sz w:val="21"/>
                <w:szCs w:val="21"/>
                <w:highlight w:val="none"/>
                <w:lang w:val="en-US" w:eastAsia="zh-CN"/>
              </w:rPr>
              <w:t>175</w:t>
            </w:r>
            <w:r>
              <w:rPr>
                <w:rFonts w:hint="eastAsia" w:ascii="Times New Roman" w:hAnsi="Times New Roman"/>
                <w:color w:val="auto"/>
                <w:kern w:val="0"/>
                <w:sz w:val="21"/>
                <w:szCs w:val="21"/>
                <w:highlight w:val="none"/>
              </w:rPr>
              <w:t>m</w:t>
            </w:r>
            <w:r>
              <w:rPr>
                <w:rFonts w:ascii="Times New Roman" w:hAnsi="Times New Roman"/>
                <w:color w:val="auto"/>
                <w:kern w:val="0"/>
                <w:sz w:val="21"/>
                <w:szCs w:val="21"/>
                <w:highlight w:val="none"/>
                <w:vertAlign w:val="superscript"/>
              </w:rPr>
              <w:t>2</w:t>
            </w:r>
            <w:r>
              <w:rPr>
                <w:rFonts w:hint="eastAsia" w:ascii="Times New Roman" w:hAnsi="Times New Roman"/>
                <w:color w:val="auto"/>
                <w:kern w:val="0"/>
                <w:sz w:val="21"/>
                <w:szCs w:val="21"/>
                <w:highlight w:val="none"/>
              </w:rPr>
              <w:t>）进行暂存。</w:t>
            </w:r>
            <w:r>
              <w:rPr>
                <w:rFonts w:ascii="Times New Roman" w:hAnsi="Times New Roman"/>
                <w:color w:val="auto"/>
                <w:kern w:val="0"/>
                <w:sz w:val="21"/>
                <w:szCs w:val="21"/>
                <w:highlight w:val="none"/>
              </w:rPr>
              <w:t>根据《建设项目危险废物环境影响评价指南》，本项目危险废物名称、数量、类别、形态、危险特性和污染防治措施等见表4-</w:t>
            </w:r>
            <w:r>
              <w:rPr>
                <w:rFonts w:hint="eastAsia"/>
                <w:color w:val="auto"/>
                <w:kern w:val="0"/>
                <w:sz w:val="21"/>
                <w:szCs w:val="21"/>
                <w:highlight w:val="none"/>
                <w:lang w:val="en-US" w:eastAsia="zh-CN"/>
              </w:rPr>
              <w:t>25</w:t>
            </w:r>
            <w:r>
              <w:rPr>
                <w:rFonts w:ascii="Times New Roman" w:hAnsi="Times New Roman"/>
                <w:color w:val="auto"/>
                <w:kern w:val="0"/>
                <w:sz w:val="21"/>
                <w:szCs w:val="21"/>
                <w:highlight w:val="none"/>
              </w:rPr>
              <w:t>。</w:t>
            </w:r>
          </w:p>
          <w:p w14:paraId="5FC9FAB0">
            <w:pPr>
              <w:spacing w:line="360" w:lineRule="auto"/>
              <w:jc w:val="center"/>
              <w:rPr>
                <w:rFonts w:ascii="Times New Roman" w:hAnsi="Times New Roman" w:eastAsia="黑体"/>
                <w:bCs/>
                <w:color w:val="auto"/>
                <w:spacing w:val="2"/>
                <w:sz w:val="21"/>
                <w:szCs w:val="21"/>
                <w:highlight w:val="none"/>
              </w:rPr>
            </w:pPr>
            <w:r>
              <w:rPr>
                <w:rFonts w:ascii="Times New Roman" w:hAnsi="Times New Roman" w:eastAsia="黑体"/>
                <w:bCs/>
                <w:color w:val="auto"/>
                <w:spacing w:val="2"/>
                <w:sz w:val="21"/>
                <w:szCs w:val="21"/>
                <w:highlight w:val="none"/>
              </w:rPr>
              <w:t>表4-</w:t>
            </w:r>
            <w:r>
              <w:rPr>
                <w:rFonts w:hint="eastAsia" w:eastAsia="黑体"/>
                <w:bCs/>
                <w:color w:val="auto"/>
                <w:spacing w:val="2"/>
                <w:sz w:val="21"/>
                <w:szCs w:val="21"/>
                <w:highlight w:val="none"/>
                <w:lang w:val="en-US" w:eastAsia="zh-CN"/>
              </w:rPr>
              <w:t xml:space="preserve">25  </w:t>
            </w:r>
            <w:r>
              <w:rPr>
                <w:rFonts w:ascii="Times New Roman" w:hAnsi="Times New Roman" w:eastAsia="黑体"/>
                <w:bCs/>
                <w:color w:val="auto"/>
                <w:spacing w:val="2"/>
                <w:sz w:val="21"/>
                <w:szCs w:val="21"/>
                <w:highlight w:val="none"/>
              </w:rPr>
              <w:t>工程分析中危险废物汇总一览表</w:t>
            </w:r>
          </w:p>
          <w:tbl>
            <w:tblPr>
              <w:tblStyle w:val="33"/>
              <w:tblW w:w="499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77"/>
              <w:gridCol w:w="731"/>
              <w:gridCol w:w="1247"/>
              <w:gridCol w:w="1048"/>
              <w:gridCol w:w="525"/>
              <w:gridCol w:w="482"/>
              <w:gridCol w:w="732"/>
              <w:gridCol w:w="732"/>
              <w:gridCol w:w="648"/>
              <w:gridCol w:w="790"/>
              <w:gridCol w:w="882"/>
            </w:tblGrid>
            <w:tr w14:paraId="039CE2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88" w:type="pct"/>
                  <w:noWrap w:val="0"/>
                  <w:vAlign w:val="center"/>
                </w:tcPr>
                <w:p w14:paraId="132BE5EE">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ascii="Times New Roman" w:hAnsi="Times New Roman"/>
                      <w:bCs/>
                      <w:color w:val="auto"/>
                      <w:kern w:val="0"/>
                      <w:sz w:val="18"/>
                      <w:szCs w:val="18"/>
                      <w:highlight w:val="none"/>
                    </w:rPr>
                    <w:t>序号</w:t>
                  </w:r>
                </w:p>
              </w:tc>
              <w:tc>
                <w:tcPr>
                  <w:tcW w:w="440" w:type="pct"/>
                  <w:noWrap w:val="0"/>
                  <w:vAlign w:val="center"/>
                </w:tcPr>
                <w:p w14:paraId="195E1F3A">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ascii="Times New Roman" w:hAnsi="Times New Roman"/>
                      <w:bCs/>
                      <w:color w:val="auto"/>
                      <w:kern w:val="0"/>
                      <w:sz w:val="18"/>
                      <w:szCs w:val="18"/>
                      <w:highlight w:val="none"/>
                    </w:rPr>
                    <w:t>危险废物名称</w:t>
                  </w:r>
                </w:p>
              </w:tc>
              <w:tc>
                <w:tcPr>
                  <w:tcW w:w="751" w:type="pct"/>
                  <w:noWrap w:val="0"/>
                  <w:vAlign w:val="center"/>
                </w:tcPr>
                <w:p w14:paraId="5FC001DC">
                  <w:pPr>
                    <w:keepNext w:val="0"/>
                    <w:keepLines w:val="0"/>
                    <w:pageBreakBefore w:val="0"/>
                    <w:kinsoku/>
                    <w:wordWrap/>
                    <w:overflowPunct/>
                    <w:topLinePunct/>
                    <w:autoSpaceDE/>
                    <w:autoSpaceDN/>
                    <w:bidi w:val="0"/>
                    <w:adjustRightInd w:val="0"/>
                    <w:snapToGrid w:val="0"/>
                    <w:spacing w:line="240" w:lineRule="auto"/>
                    <w:jc w:val="center"/>
                    <w:rPr>
                      <w:rFonts w:hint="default" w:ascii="Times New Roman" w:hAnsi="Times New Roman" w:eastAsia="宋体"/>
                      <w:bCs/>
                      <w:color w:val="auto"/>
                      <w:kern w:val="0"/>
                      <w:sz w:val="18"/>
                      <w:szCs w:val="18"/>
                      <w:highlight w:val="none"/>
                      <w:lang w:val="en-US" w:eastAsia="zh-CN"/>
                    </w:rPr>
                  </w:pPr>
                  <w:r>
                    <w:rPr>
                      <w:rFonts w:ascii="Times New Roman" w:hAnsi="Times New Roman"/>
                      <w:bCs/>
                      <w:color w:val="auto"/>
                      <w:kern w:val="0"/>
                      <w:sz w:val="18"/>
                      <w:szCs w:val="18"/>
                      <w:highlight w:val="none"/>
                    </w:rPr>
                    <w:t>危险废物类别</w:t>
                  </w:r>
                  <w:r>
                    <w:rPr>
                      <w:rFonts w:hint="eastAsia"/>
                      <w:bCs/>
                      <w:color w:val="auto"/>
                      <w:kern w:val="0"/>
                      <w:sz w:val="18"/>
                      <w:szCs w:val="18"/>
                      <w:highlight w:val="none"/>
                      <w:lang w:val="en-US" w:eastAsia="zh-CN"/>
                    </w:rPr>
                    <w:t>及代码</w:t>
                  </w:r>
                </w:p>
              </w:tc>
              <w:tc>
                <w:tcPr>
                  <w:tcW w:w="631" w:type="pct"/>
                  <w:noWrap w:val="0"/>
                  <w:vAlign w:val="center"/>
                </w:tcPr>
                <w:p w14:paraId="679AF2E7">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ascii="Times New Roman" w:hAnsi="Times New Roman"/>
                      <w:bCs/>
                      <w:color w:val="auto"/>
                      <w:kern w:val="0"/>
                      <w:sz w:val="18"/>
                      <w:szCs w:val="18"/>
                      <w:highlight w:val="none"/>
                    </w:rPr>
                    <w:t>产生量(t/a)</w:t>
                  </w:r>
                </w:p>
              </w:tc>
              <w:tc>
                <w:tcPr>
                  <w:tcW w:w="316" w:type="pct"/>
                  <w:noWrap w:val="0"/>
                  <w:vAlign w:val="center"/>
                </w:tcPr>
                <w:p w14:paraId="47A13E22">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ascii="Times New Roman" w:hAnsi="Times New Roman"/>
                      <w:bCs/>
                      <w:color w:val="auto"/>
                      <w:kern w:val="0"/>
                      <w:sz w:val="18"/>
                      <w:szCs w:val="18"/>
                      <w:highlight w:val="none"/>
                    </w:rPr>
                    <w:t>产生工序及装置</w:t>
                  </w:r>
                </w:p>
              </w:tc>
              <w:tc>
                <w:tcPr>
                  <w:tcW w:w="290" w:type="pct"/>
                  <w:noWrap w:val="0"/>
                  <w:vAlign w:val="center"/>
                </w:tcPr>
                <w:p w14:paraId="19A05418">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ascii="Times New Roman" w:hAnsi="Times New Roman"/>
                      <w:bCs/>
                      <w:color w:val="auto"/>
                      <w:kern w:val="0"/>
                      <w:sz w:val="18"/>
                      <w:szCs w:val="18"/>
                      <w:highlight w:val="none"/>
                    </w:rPr>
                    <w:t>形态</w:t>
                  </w:r>
                </w:p>
              </w:tc>
              <w:tc>
                <w:tcPr>
                  <w:tcW w:w="441" w:type="pct"/>
                  <w:noWrap w:val="0"/>
                  <w:vAlign w:val="center"/>
                </w:tcPr>
                <w:p w14:paraId="1C5ECD2F">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ascii="Times New Roman" w:hAnsi="Times New Roman"/>
                      <w:bCs/>
                      <w:color w:val="auto"/>
                      <w:kern w:val="0"/>
                      <w:sz w:val="18"/>
                      <w:szCs w:val="18"/>
                      <w:highlight w:val="none"/>
                    </w:rPr>
                    <w:t>主要成分</w:t>
                  </w:r>
                </w:p>
              </w:tc>
              <w:tc>
                <w:tcPr>
                  <w:tcW w:w="441" w:type="pct"/>
                  <w:noWrap w:val="0"/>
                  <w:vAlign w:val="center"/>
                </w:tcPr>
                <w:p w14:paraId="56C96927">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ascii="Times New Roman" w:hAnsi="Times New Roman"/>
                      <w:bCs/>
                      <w:color w:val="auto"/>
                      <w:kern w:val="0"/>
                      <w:sz w:val="18"/>
                      <w:szCs w:val="18"/>
                      <w:highlight w:val="none"/>
                    </w:rPr>
                    <w:t>有害成分</w:t>
                  </w:r>
                </w:p>
              </w:tc>
              <w:tc>
                <w:tcPr>
                  <w:tcW w:w="390" w:type="pct"/>
                  <w:noWrap w:val="0"/>
                  <w:vAlign w:val="center"/>
                </w:tcPr>
                <w:p w14:paraId="5EFE1476">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ascii="Times New Roman" w:hAnsi="Times New Roman"/>
                      <w:bCs/>
                      <w:color w:val="auto"/>
                      <w:kern w:val="0"/>
                      <w:sz w:val="18"/>
                      <w:szCs w:val="18"/>
                      <w:highlight w:val="none"/>
                    </w:rPr>
                    <w:t>产废周期</w:t>
                  </w:r>
                </w:p>
              </w:tc>
              <w:tc>
                <w:tcPr>
                  <w:tcW w:w="476" w:type="pct"/>
                  <w:noWrap w:val="0"/>
                  <w:vAlign w:val="center"/>
                </w:tcPr>
                <w:p w14:paraId="609877A9">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ascii="Times New Roman" w:hAnsi="Times New Roman"/>
                      <w:bCs/>
                      <w:color w:val="auto"/>
                      <w:kern w:val="0"/>
                      <w:sz w:val="18"/>
                      <w:szCs w:val="18"/>
                      <w:highlight w:val="none"/>
                    </w:rPr>
                    <w:t>危险</w:t>
                  </w:r>
                </w:p>
                <w:p w14:paraId="3EA76B96">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ascii="Times New Roman" w:hAnsi="Times New Roman"/>
                      <w:bCs/>
                      <w:color w:val="auto"/>
                      <w:kern w:val="0"/>
                      <w:sz w:val="18"/>
                      <w:szCs w:val="18"/>
                      <w:highlight w:val="none"/>
                    </w:rPr>
                    <w:t>特性</w:t>
                  </w:r>
                </w:p>
              </w:tc>
              <w:tc>
                <w:tcPr>
                  <w:tcW w:w="531" w:type="pct"/>
                  <w:noWrap w:val="0"/>
                  <w:vAlign w:val="center"/>
                </w:tcPr>
                <w:p w14:paraId="77A90AF9">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ascii="Times New Roman" w:hAnsi="Times New Roman"/>
                      <w:bCs/>
                      <w:color w:val="auto"/>
                      <w:kern w:val="0"/>
                      <w:sz w:val="18"/>
                      <w:szCs w:val="18"/>
                      <w:highlight w:val="none"/>
                    </w:rPr>
                    <w:t>污染防治措施</w:t>
                  </w:r>
                </w:p>
              </w:tc>
            </w:tr>
            <w:tr w14:paraId="25CAB8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88" w:type="pct"/>
                  <w:noWrap w:val="0"/>
                  <w:vAlign w:val="center"/>
                </w:tcPr>
                <w:p w14:paraId="2CC9143A">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ascii="Times New Roman" w:hAnsi="Times New Roman"/>
                      <w:bCs/>
                      <w:color w:val="auto"/>
                      <w:kern w:val="0"/>
                      <w:sz w:val="18"/>
                      <w:szCs w:val="18"/>
                      <w:highlight w:val="none"/>
                    </w:rPr>
                    <w:t>1</w:t>
                  </w:r>
                </w:p>
              </w:tc>
              <w:tc>
                <w:tcPr>
                  <w:tcW w:w="440" w:type="pct"/>
                  <w:shd w:val="clear" w:color="auto" w:fill="auto"/>
                  <w:noWrap w:val="0"/>
                  <w:vAlign w:val="center"/>
                </w:tcPr>
                <w:p w14:paraId="00C39F1E">
                  <w:pPr>
                    <w:keepNext w:val="0"/>
                    <w:keepLines w:val="0"/>
                    <w:pageBreakBefore w:val="0"/>
                    <w:kinsoku/>
                    <w:wordWrap/>
                    <w:overflowPunct/>
                    <w:autoSpaceDE/>
                    <w:autoSpaceDN/>
                    <w:bidi w:val="0"/>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酸洗废液</w:t>
                  </w:r>
                </w:p>
              </w:tc>
              <w:tc>
                <w:tcPr>
                  <w:tcW w:w="751" w:type="pct"/>
                  <w:shd w:val="clear" w:color="auto" w:fill="auto"/>
                  <w:noWrap w:val="0"/>
                  <w:vAlign w:val="center"/>
                </w:tcPr>
                <w:p w14:paraId="658C1F55">
                  <w:pPr>
                    <w:keepNext w:val="0"/>
                    <w:keepLines w:val="0"/>
                    <w:pageBreakBefore w:val="0"/>
                    <w:kinsoku/>
                    <w:wordWrap/>
                    <w:overflowPunct/>
                    <w:autoSpaceDE/>
                    <w:autoSpaceDN/>
                    <w:bidi w:val="0"/>
                    <w:spacing w:line="240" w:lineRule="auto"/>
                    <w:jc w:val="center"/>
                    <w:rPr>
                      <w:rFonts w:hint="eastAsia"/>
                      <w:color w:val="auto"/>
                      <w:sz w:val="18"/>
                      <w:szCs w:val="18"/>
                      <w:highlight w:val="none"/>
                      <w:lang w:val="en-US" w:eastAsia="zh-CN"/>
                    </w:rPr>
                  </w:pPr>
                  <w:r>
                    <w:rPr>
                      <w:rFonts w:hint="eastAsia"/>
                      <w:color w:val="auto"/>
                      <w:sz w:val="18"/>
                      <w:szCs w:val="18"/>
                      <w:highlight w:val="none"/>
                      <w:lang w:val="en-US" w:eastAsia="zh-CN"/>
                    </w:rPr>
                    <w:t>HW17</w:t>
                  </w:r>
                </w:p>
                <w:p w14:paraId="16C228E2">
                  <w:pPr>
                    <w:keepNext w:val="0"/>
                    <w:keepLines w:val="0"/>
                    <w:pageBreakBefore w:val="0"/>
                    <w:kinsoku/>
                    <w:wordWrap/>
                    <w:overflowPunct/>
                    <w:autoSpaceDE/>
                    <w:autoSpaceDN/>
                    <w:bidi w:val="0"/>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336-064-17</w:t>
                  </w:r>
                </w:p>
              </w:tc>
              <w:tc>
                <w:tcPr>
                  <w:tcW w:w="631" w:type="pct"/>
                  <w:shd w:val="clear" w:color="auto" w:fill="auto"/>
                  <w:noWrap w:val="0"/>
                  <w:vAlign w:val="center"/>
                </w:tcPr>
                <w:p w14:paraId="19213157">
                  <w:pPr>
                    <w:keepNext w:val="0"/>
                    <w:keepLines w:val="0"/>
                    <w:pageBreakBefore w:val="0"/>
                    <w:kinsoku/>
                    <w:wordWrap/>
                    <w:overflowPunct/>
                    <w:autoSpaceDE/>
                    <w:autoSpaceDN/>
                    <w:bidi w:val="0"/>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6000</w:t>
                  </w:r>
                </w:p>
              </w:tc>
              <w:tc>
                <w:tcPr>
                  <w:tcW w:w="316" w:type="pct"/>
                  <w:shd w:val="clear" w:color="auto" w:fill="auto"/>
                  <w:noWrap w:val="0"/>
                  <w:vAlign w:val="center"/>
                </w:tcPr>
                <w:p w14:paraId="3E8DF2F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盐酸酸洗</w:t>
                  </w:r>
                </w:p>
              </w:tc>
              <w:tc>
                <w:tcPr>
                  <w:tcW w:w="290" w:type="pct"/>
                  <w:shd w:val="clear" w:color="auto" w:fill="auto"/>
                  <w:noWrap w:val="0"/>
                  <w:vAlign w:val="center"/>
                </w:tcPr>
                <w:p w14:paraId="38EB5E1D">
                  <w:pPr>
                    <w:keepNext w:val="0"/>
                    <w:keepLines w:val="0"/>
                    <w:pageBreakBefore w:val="0"/>
                    <w:kinsoku/>
                    <w:wordWrap/>
                    <w:overflowPunct/>
                    <w:autoSpaceDE/>
                    <w:autoSpaceDN/>
                    <w:bidi w:val="0"/>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液态</w:t>
                  </w:r>
                </w:p>
              </w:tc>
              <w:tc>
                <w:tcPr>
                  <w:tcW w:w="441" w:type="pct"/>
                  <w:noWrap w:val="0"/>
                  <w:vAlign w:val="center"/>
                </w:tcPr>
                <w:p w14:paraId="19117E87">
                  <w:pPr>
                    <w:keepNext w:val="0"/>
                    <w:keepLines w:val="0"/>
                    <w:pageBreakBefore w:val="0"/>
                    <w:kinsoku/>
                    <w:wordWrap/>
                    <w:overflowPunct/>
                    <w:topLinePunct/>
                    <w:autoSpaceDE/>
                    <w:autoSpaceDN/>
                    <w:bidi w:val="0"/>
                    <w:adjustRightInd w:val="0"/>
                    <w:snapToGrid w:val="0"/>
                    <w:spacing w:line="240" w:lineRule="auto"/>
                    <w:jc w:val="center"/>
                    <w:rPr>
                      <w:rFonts w:hint="default" w:ascii="Times New Roman" w:hAnsi="Times New Roman" w:eastAsia="宋体"/>
                      <w:bCs/>
                      <w:color w:val="auto"/>
                      <w:kern w:val="0"/>
                      <w:sz w:val="18"/>
                      <w:szCs w:val="18"/>
                      <w:highlight w:val="none"/>
                      <w:lang w:val="en-US" w:eastAsia="zh-CN"/>
                    </w:rPr>
                  </w:pPr>
                  <w:r>
                    <w:rPr>
                      <w:rFonts w:hint="eastAsia"/>
                      <w:bCs/>
                      <w:color w:val="auto"/>
                      <w:kern w:val="0"/>
                      <w:sz w:val="18"/>
                      <w:szCs w:val="18"/>
                      <w:highlight w:val="none"/>
                      <w:lang w:val="en-US" w:eastAsia="zh-CN"/>
                    </w:rPr>
                    <w:t>废酸洗液</w:t>
                  </w:r>
                </w:p>
              </w:tc>
              <w:tc>
                <w:tcPr>
                  <w:tcW w:w="441" w:type="pct"/>
                  <w:noWrap w:val="0"/>
                  <w:vAlign w:val="center"/>
                </w:tcPr>
                <w:p w14:paraId="5FC5F970">
                  <w:pPr>
                    <w:keepNext w:val="0"/>
                    <w:keepLines w:val="0"/>
                    <w:pageBreakBefore w:val="0"/>
                    <w:kinsoku/>
                    <w:wordWrap/>
                    <w:overflowPunct/>
                    <w:topLinePunct/>
                    <w:autoSpaceDE/>
                    <w:autoSpaceDN/>
                    <w:bidi w:val="0"/>
                    <w:adjustRightInd w:val="0"/>
                    <w:snapToGrid w:val="0"/>
                    <w:spacing w:line="240" w:lineRule="auto"/>
                    <w:jc w:val="center"/>
                    <w:rPr>
                      <w:rFonts w:hint="default" w:ascii="Times New Roman" w:hAnsi="Times New Roman" w:eastAsia="宋体"/>
                      <w:bCs/>
                      <w:color w:val="auto"/>
                      <w:kern w:val="0"/>
                      <w:sz w:val="18"/>
                      <w:szCs w:val="18"/>
                      <w:highlight w:val="none"/>
                      <w:lang w:val="en-US" w:eastAsia="zh-CN"/>
                    </w:rPr>
                  </w:pPr>
                  <w:r>
                    <w:rPr>
                      <w:rFonts w:hint="eastAsia"/>
                      <w:bCs/>
                      <w:color w:val="auto"/>
                      <w:kern w:val="0"/>
                      <w:sz w:val="18"/>
                      <w:szCs w:val="18"/>
                      <w:highlight w:val="none"/>
                      <w:lang w:val="en-US" w:eastAsia="zh-CN"/>
                    </w:rPr>
                    <w:t>废酸</w:t>
                  </w:r>
                </w:p>
              </w:tc>
              <w:tc>
                <w:tcPr>
                  <w:tcW w:w="390" w:type="pct"/>
                  <w:noWrap w:val="0"/>
                  <w:vAlign w:val="center"/>
                </w:tcPr>
                <w:p w14:paraId="00682A14">
                  <w:pPr>
                    <w:keepNext w:val="0"/>
                    <w:keepLines w:val="0"/>
                    <w:pageBreakBefore w:val="0"/>
                    <w:kinsoku/>
                    <w:wordWrap/>
                    <w:overflowPunct/>
                    <w:topLinePunct/>
                    <w:autoSpaceDE/>
                    <w:autoSpaceDN/>
                    <w:bidi w:val="0"/>
                    <w:adjustRightInd w:val="0"/>
                    <w:snapToGrid w:val="0"/>
                    <w:spacing w:line="240" w:lineRule="auto"/>
                    <w:jc w:val="center"/>
                    <w:rPr>
                      <w:rFonts w:hint="eastAsia" w:ascii="Times New Roman" w:hAnsi="Times New Roman" w:eastAsia="宋体"/>
                      <w:bCs/>
                      <w:color w:val="auto"/>
                      <w:kern w:val="0"/>
                      <w:sz w:val="18"/>
                      <w:szCs w:val="18"/>
                      <w:highlight w:val="none"/>
                      <w:lang w:val="en-US" w:eastAsia="zh-CN"/>
                    </w:rPr>
                  </w:pPr>
                  <w:r>
                    <w:rPr>
                      <w:rFonts w:hint="eastAsia"/>
                      <w:bCs/>
                      <w:color w:val="auto"/>
                      <w:kern w:val="0"/>
                      <w:sz w:val="18"/>
                      <w:szCs w:val="18"/>
                      <w:highlight w:val="none"/>
                      <w:lang w:val="en-US" w:eastAsia="zh-CN"/>
                    </w:rPr>
                    <w:t>每天</w:t>
                  </w:r>
                </w:p>
              </w:tc>
              <w:tc>
                <w:tcPr>
                  <w:tcW w:w="476" w:type="pct"/>
                  <w:noWrap w:val="0"/>
                  <w:vAlign w:val="center"/>
                </w:tcPr>
                <w:p w14:paraId="094ED5E2">
                  <w:pPr>
                    <w:keepNext w:val="0"/>
                    <w:keepLines w:val="0"/>
                    <w:pageBreakBefore w:val="0"/>
                    <w:kinsoku/>
                    <w:wordWrap/>
                    <w:overflowPunct/>
                    <w:autoSpaceDE/>
                    <w:autoSpaceDN/>
                    <w:bidi w:val="0"/>
                    <w:adjustRightInd w:val="0"/>
                    <w:spacing w:line="240" w:lineRule="auto"/>
                    <w:jc w:val="center"/>
                    <w:textAlignment w:val="center"/>
                    <w:rPr>
                      <w:rFonts w:hint="default" w:ascii="Times New Roman" w:hAnsi="Times New Roman" w:eastAsia="宋体"/>
                      <w:color w:val="auto"/>
                      <w:kern w:val="0"/>
                      <w:sz w:val="18"/>
                      <w:szCs w:val="18"/>
                      <w:highlight w:val="none"/>
                      <w:lang w:val="en-US" w:eastAsia="zh-CN"/>
                    </w:rPr>
                  </w:pPr>
                  <w:r>
                    <w:rPr>
                      <w:rFonts w:hint="eastAsia"/>
                      <w:color w:val="auto"/>
                      <w:kern w:val="0"/>
                      <w:sz w:val="18"/>
                      <w:szCs w:val="18"/>
                      <w:highlight w:val="none"/>
                      <w:lang w:val="en-US" w:eastAsia="zh-CN"/>
                    </w:rPr>
                    <w:t>T/C</w:t>
                  </w:r>
                </w:p>
              </w:tc>
              <w:tc>
                <w:tcPr>
                  <w:tcW w:w="531" w:type="pct"/>
                  <w:noWrap w:val="0"/>
                  <w:vAlign w:val="center"/>
                </w:tcPr>
                <w:p w14:paraId="6030DEA4">
                  <w:pPr>
                    <w:keepNext w:val="0"/>
                    <w:keepLines w:val="0"/>
                    <w:pageBreakBefore w:val="0"/>
                    <w:kinsoku/>
                    <w:wordWrap/>
                    <w:overflowPunct/>
                    <w:topLinePunct/>
                    <w:autoSpaceDE/>
                    <w:autoSpaceDN/>
                    <w:bidi w:val="0"/>
                    <w:adjustRightInd w:val="0"/>
                    <w:snapToGrid w:val="0"/>
                    <w:spacing w:line="240" w:lineRule="auto"/>
                    <w:jc w:val="center"/>
                    <w:rPr>
                      <w:rFonts w:hint="eastAsia" w:ascii="Times New Roman" w:hAnsi="Times New Roman" w:eastAsia="宋体"/>
                      <w:bCs/>
                      <w:color w:val="auto"/>
                      <w:kern w:val="0"/>
                      <w:sz w:val="18"/>
                      <w:szCs w:val="18"/>
                      <w:highlight w:val="none"/>
                      <w:lang w:val="en-US" w:eastAsia="zh-CN"/>
                    </w:rPr>
                  </w:pPr>
                  <w:r>
                    <w:rPr>
                      <w:rFonts w:hint="eastAsia"/>
                      <w:bCs/>
                      <w:color w:val="auto"/>
                      <w:kern w:val="0"/>
                      <w:sz w:val="18"/>
                      <w:szCs w:val="18"/>
                      <w:highlight w:val="none"/>
                      <w:lang w:val="en-US" w:eastAsia="zh-CN"/>
                    </w:rPr>
                    <w:t>废酸再生</w:t>
                  </w:r>
                </w:p>
              </w:tc>
            </w:tr>
            <w:tr w14:paraId="65DF84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88" w:type="pct"/>
                  <w:noWrap w:val="0"/>
                  <w:vAlign w:val="center"/>
                </w:tcPr>
                <w:p w14:paraId="0A731453">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hint="eastAsia"/>
                      <w:bCs/>
                      <w:color w:val="auto"/>
                      <w:kern w:val="0"/>
                      <w:sz w:val="18"/>
                      <w:szCs w:val="18"/>
                      <w:highlight w:val="none"/>
                      <w:lang w:val="en-US" w:eastAsia="zh-CN"/>
                    </w:rPr>
                    <w:t>2</w:t>
                  </w:r>
                </w:p>
              </w:tc>
              <w:tc>
                <w:tcPr>
                  <w:tcW w:w="440" w:type="pct"/>
                  <w:shd w:val="clear" w:color="auto" w:fill="auto"/>
                  <w:noWrap w:val="0"/>
                  <w:vAlign w:val="center"/>
                </w:tcPr>
                <w:p w14:paraId="04C708A0">
                  <w:pPr>
                    <w:keepNext w:val="0"/>
                    <w:keepLines w:val="0"/>
                    <w:pageBreakBefore w:val="0"/>
                    <w:kinsoku/>
                    <w:wordWrap/>
                    <w:overflowPunct/>
                    <w:autoSpaceDE/>
                    <w:autoSpaceDN/>
                    <w:bidi w:val="0"/>
                    <w:spacing w:line="240" w:lineRule="auto"/>
                    <w:jc w:val="center"/>
                    <w:rPr>
                      <w:rFonts w:hint="eastAsia"/>
                      <w:color w:val="auto"/>
                      <w:sz w:val="18"/>
                      <w:szCs w:val="18"/>
                      <w:highlight w:val="none"/>
                      <w:lang w:val="en-US" w:eastAsia="zh-CN"/>
                    </w:rPr>
                  </w:pPr>
                  <w:r>
                    <w:rPr>
                      <w:rFonts w:hint="eastAsia"/>
                      <w:color w:val="auto"/>
                      <w:sz w:val="18"/>
                      <w:szCs w:val="18"/>
                      <w:highlight w:val="none"/>
                      <w:lang w:val="en-US" w:eastAsia="zh-CN"/>
                    </w:rPr>
                    <w:t>酸再生滤渣</w:t>
                  </w:r>
                </w:p>
              </w:tc>
              <w:tc>
                <w:tcPr>
                  <w:tcW w:w="751" w:type="pct"/>
                  <w:shd w:val="clear" w:color="auto" w:fill="auto"/>
                  <w:noWrap w:val="0"/>
                  <w:vAlign w:val="center"/>
                </w:tcPr>
                <w:p w14:paraId="54FE3557">
                  <w:pPr>
                    <w:keepNext w:val="0"/>
                    <w:keepLines w:val="0"/>
                    <w:pageBreakBefore w:val="0"/>
                    <w:kinsoku/>
                    <w:wordWrap/>
                    <w:overflowPunct/>
                    <w:autoSpaceDE/>
                    <w:autoSpaceDN/>
                    <w:bidi w:val="0"/>
                    <w:spacing w:line="240" w:lineRule="auto"/>
                    <w:jc w:val="center"/>
                    <w:rPr>
                      <w:rFonts w:hint="eastAsia"/>
                      <w:color w:val="auto"/>
                      <w:sz w:val="18"/>
                      <w:szCs w:val="18"/>
                      <w:highlight w:val="none"/>
                      <w:lang w:val="en-US" w:eastAsia="zh-CN"/>
                    </w:rPr>
                  </w:pPr>
                  <w:r>
                    <w:rPr>
                      <w:rFonts w:hint="eastAsia"/>
                      <w:color w:val="auto"/>
                      <w:sz w:val="18"/>
                      <w:szCs w:val="18"/>
                      <w:highlight w:val="none"/>
                      <w:lang w:val="en-US" w:eastAsia="zh-CN"/>
                    </w:rPr>
                    <w:t>HW49</w:t>
                  </w:r>
                </w:p>
                <w:p w14:paraId="2292AF92">
                  <w:pPr>
                    <w:keepNext w:val="0"/>
                    <w:keepLines w:val="0"/>
                    <w:pageBreakBefore w:val="0"/>
                    <w:kinsoku/>
                    <w:wordWrap/>
                    <w:overflowPunct/>
                    <w:autoSpaceDE/>
                    <w:autoSpaceDN/>
                    <w:bidi w:val="0"/>
                    <w:spacing w:line="240" w:lineRule="auto"/>
                    <w:jc w:val="center"/>
                    <w:rPr>
                      <w:rFonts w:hint="eastAsia"/>
                      <w:color w:val="auto"/>
                      <w:sz w:val="18"/>
                      <w:szCs w:val="18"/>
                      <w:highlight w:val="none"/>
                      <w:lang w:val="en-US" w:eastAsia="zh-CN"/>
                    </w:rPr>
                  </w:pPr>
                  <w:r>
                    <w:rPr>
                      <w:rFonts w:hint="eastAsia"/>
                      <w:color w:val="auto"/>
                      <w:sz w:val="18"/>
                      <w:szCs w:val="18"/>
                      <w:highlight w:val="none"/>
                      <w:lang w:val="en-US" w:eastAsia="zh-CN"/>
                    </w:rPr>
                    <w:t>900-041-49</w:t>
                  </w:r>
                </w:p>
              </w:tc>
              <w:tc>
                <w:tcPr>
                  <w:tcW w:w="631" w:type="pct"/>
                  <w:shd w:val="clear" w:color="auto" w:fill="auto"/>
                  <w:noWrap w:val="0"/>
                  <w:vAlign w:val="center"/>
                </w:tcPr>
                <w:p w14:paraId="01B70BF7">
                  <w:pPr>
                    <w:keepNext w:val="0"/>
                    <w:keepLines w:val="0"/>
                    <w:pageBreakBefore w:val="0"/>
                    <w:kinsoku/>
                    <w:wordWrap/>
                    <w:overflowPunct/>
                    <w:autoSpaceDE/>
                    <w:autoSpaceDN/>
                    <w:bidi w:val="0"/>
                    <w:spacing w:line="240" w:lineRule="auto"/>
                    <w:jc w:val="center"/>
                    <w:rPr>
                      <w:rFonts w:hint="default"/>
                      <w:color w:val="auto"/>
                      <w:sz w:val="18"/>
                      <w:szCs w:val="18"/>
                      <w:highlight w:val="none"/>
                      <w:lang w:val="en-US" w:eastAsia="zh-CN"/>
                    </w:rPr>
                  </w:pPr>
                  <w:r>
                    <w:rPr>
                      <w:rFonts w:hint="eastAsia"/>
                      <w:color w:val="auto"/>
                      <w:sz w:val="18"/>
                      <w:szCs w:val="18"/>
                      <w:highlight w:val="none"/>
                      <w:lang w:val="en-US" w:eastAsia="zh-CN"/>
                    </w:rPr>
                    <w:t>0.03</w:t>
                  </w:r>
                </w:p>
              </w:tc>
              <w:tc>
                <w:tcPr>
                  <w:tcW w:w="316" w:type="pct"/>
                  <w:shd w:val="clear" w:color="auto" w:fill="auto"/>
                  <w:noWrap w:val="0"/>
                  <w:vAlign w:val="center"/>
                </w:tcPr>
                <w:p w14:paraId="3F91741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snapToGrid w:val="0"/>
                      <w:color w:val="auto"/>
                      <w:sz w:val="18"/>
                      <w:szCs w:val="18"/>
                      <w:highlight w:val="none"/>
                      <w:vertAlign w:val="baseline"/>
                      <w:lang w:val="en-US" w:eastAsia="zh-CN"/>
                    </w:rPr>
                  </w:pPr>
                  <w:r>
                    <w:rPr>
                      <w:rFonts w:hint="eastAsia" w:cs="Times New Roman"/>
                      <w:snapToGrid w:val="0"/>
                      <w:color w:val="auto"/>
                      <w:sz w:val="18"/>
                      <w:szCs w:val="18"/>
                      <w:highlight w:val="none"/>
                      <w:vertAlign w:val="baseline"/>
                      <w:lang w:val="en-US" w:eastAsia="zh-CN"/>
                    </w:rPr>
                    <w:t>酸再生</w:t>
                  </w:r>
                </w:p>
              </w:tc>
              <w:tc>
                <w:tcPr>
                  <w:tcW w:w="290" w:type="pct"/>
                  <w:shd w:val="clear" w:color="auto" w:fill="auto"/>
                  <w:noWrap w:val="0"/>
                  <w:vAlign w:val="center"/>
                </w:tcPr>
                <w:p w14:paraId="7144585B">
                  <w:pPr>
                    <w:keepNext w:val="0"/>
                    <w:keepLines w:val="0"/>
                    <w:pageBreakBefore w:val="0"/>
                    <w:kinsoku/>
                    <w:wordWrap/>
                    <w:overflowPunct/>
                    <w:autoSpaceDE/>
                    <w:autoSpaceDN/>
                    <w:bidi w:val="0"/>
                    <w:spacing w:line="240" w:lineRule="auto"/>
                    <w:jc w:val="center"/>
                    <w:rPr>
                      <w:rFonts w:hint="default"/>
                      <w:color w:val="auto"/>
                      <w:sz w:val="18"/>
                      <w:szCs w:val="18"/>
                      <w:highlight w:val="none"/>
                      <w:lang w:val="en-US" w:eastAsia="zh-CN"/>
                    </w:rPr>
                  </w:pPr>
                  <w:r>
                    <w:rPr>
                      <w:rFonts w:hint="eastAsia"/>
                      <w:color w:val="auto"/>
                      <w:sz w:val="18"/>
                      <w:szCs w:val="18"/>
                      <w:highlight w:val="none"/>
                      <w:lang w:val="en-US" w:eastAsia="zh-CN"/>
                    </w:rPr>
                    <w:t>固态</w:t>
                  </w:r>
                </w:p>
              </w:tc>
              <w:tc>
                <w:tcPr>
                  <w:tcW w:w="441" w:type="pct"/>
                  <w:noWrap w:val="0"/>
                  <w:vAlign w:val="center"/>
                </w:tcPr>
                <w:p w14:paraId="490686AB">
                  <w:pPr>
                    <w:keepNext w:val="0"/>
                    <w:keepLines w:val="0"/>
                    <w:pageBreakBefore w:val="0"/>
                    <w:kinsoku/>
                    <w:wordWrap/>
                    <w:overflowPunct/>
                    <w:topLinePunct/>
                    <w:autoSpaceDE/>
                    <w:autoSpaceDN/>
                    <w:bidi w:val="0"/>
                    <w:adjustRightInd w:val="0"/>
                    <w:snapToGrid w:val="0"/>
                    <w:spacing w:line="240" w:lineRule="auto"/>
                    <w:jc w:val="center"/>
                    <w:rPr>
                      <w:rFonts w:hint="default"/>
                      <w:bCs/>
                      <w:color w:val="auto"/>
                      <w:kern w:val="0"/>
                      <w:sz w:val="18"/>
                      <w:szCs w:val="18"/>
                      <w:highlight w:val="none"/>
                      <w:lang w:val="en-US" w:eastAsia="zh-CN"/>
                    </w:rPr>
                  </w:pPr>
                  <w:r>
                    <w:rPr>
                      <w:rFonts w:hint="eastAsia"/>
                      <w:bCs/>
                      <w:color w:val="auto"/>
                      <w:kern w:val="0"/>
                      <w:sz w:val="18"/>
                      <w:szCs w:val="18"/>
                      <w:highlight w:val="none"/>
                      <w:lang w:val="en-US" w:eastAsia="zh-CN"/>
                    </w:rPr>
                    <w:t>废酸</w:t>
                  </w:r>
                </w:p>
              </w:tc>
              <w:tc>
                <w:tcPr>
                  <w:tcW w:w="441" w:type="pct"/>
                  <w:noWrap w:val="0"/>
                  <w:vAlign w:val="center"/>
                </w:tcPr>
                <w:p w14:paraId="3ADED957">
                  <w:pPr>
                    <w:keepNext w:val="0"/>
                    <w:keepLines w:val="0"/>
                    <w:pageBreakBefore w:val="0"/>
                    <w:kinsoku/>
                    <w:wordWrap/>
                    <w:overflowPunct/>
                    <w:topLinePunct/>
                    <w:autoSpaceDE/>
                    <w:autoSpaceDN/>
                    <w:bidi w:val="0"/>
                    <w:adjustRightInd w:val="0"/>
                    <w:snapToGrid w:val="0"/>
                    <w:spacing w:line="240" w:lineRule="auto"/>
                    <w:jc w:val="center"/>
                    <w:rPr>
                      <w:rFonts w:hint="eastAsia"/>
                      <w:bCs/>
                      <w:color w:val="auto"/>
                      <w:kern w:val="0"/>
                      <w:sz w:val="18"/>
                      <w:szCs w:val="18"/>
                      <w:highlight w:val="none"/>
                      <w:lang w:val="en-US" w:eastAsia="zh-CN"/>
                    </w:rPr>
                  </w:pPr>
                  <w:r>
                    <w:rPr>
                      <w:rFonts w:hint="eastAsia"/>
                      <w:bCs/>
                      <w:color w:val="auto"/>
                      <w:kern w:val="0"/>
                      <w:sz w:val="18"/>
                      <w:szCs w:val="18"/>
                      <w:highlight w:val="none"/>
                      <w:lang w:val="en-US" w:eastAsia="zh-CN"/>
                    </w:rPr>
                    <w:t>废酸</w:t>
                  </w:r>
                </w:p>
              </w:tc>
              <w:tc>
                <w:tcPr>
                  <w:tcW w:w="390" w:type="pct"/>
                  <w:noWrap w:val="0"/>
                  <w:vAlign w:val="center"/>
                </w:tcPr>
                <w:p w14:paraId="7F25CCF0">
                  <w:pPr>
                    <w:keepNext w:val="0"/>
                    <w:keepLines w:val="0"/>
                    <w:pageBreakBefore w:val="0"/>
                    <w:kinsoku/>
                    <w:wordWrap/>
                    <w:overflowPunct/>
                    <w:topLinePunct/>
                    <w:autoSpaceDE/>
                    <w:autoSpaceDN/>
                    <w:bidi w:val="0"/>
                    <w:adjustRightInd w:val="0"/>
                    <w:snapToGrid w:val="0"/>
                    <w:spacing w:line="240" w:lineRule="auto"/>
                    <w:jc w:val="center"/>
                    <w:rPr>
                      <w:rFonts w:hint="default"/>
                      <w:bCs/>
                      <w:color w:val="auto"/>
                      <w:kern w:val="0"/>
                      <w:sz w:val="18"/>
                      <w:szCs w:val="18"/>
                      <w:highlight w:val="none"/>
                      <w:lang w:val="en-US" w:eastAsia="zh-CN"/>
                    </w:rPr>
                  </w:pPr>
                  <w:r>
                    <w:rPr>
                      <w:rFonts w:hint="eastAsia"/>
                      <w:bCs/>
                      <w:color w:val="auto"/>
                      <w:kern w:val="0"/>
                      <w:sz w:val="18"/>
                      <w:szCs w:val="18"/>
                      <w:highlight w:val="none"/>
                      <w:lang w:val="en-US" w:eastAsia="zh-CN"/>
                    </w:rPr>
                    <w:t>每月</w:t>
                  </w:r>
                </w:p>
              </w:tc>
              <w:tc>
                <w:tcPr>
                  <w:tcW w:w="476" w:type="pct"/>
                  <w:noWrap w:val="0"/>
                  <w:vAlign w:val="center"/>
                </w:tcPr>
                <w:p w14:paraId="53907245">
                  <w:pPr>
                    <w:keepNext w:val="0"/>
                    <w:keepLines w:val="0"/>
                    <w:pageBreakBefore w:val="0"/>
                    <w:kinsoku/>
                    <w:wordWrap/>
                    <w:overflowPunct/>
                    <w:autoSpaceDE/>
                    <w:autoSpaceDN/>
                    <w:bidi w:val="0"/>
                    <w:adjustRightInd w:val="0"/>
                    <w:spacing w:line="240" w:lineRule="auto"/>
                    <w:jc w:val="center"/>
                    <w:textAlignment w:val="center"/>
                    <w:rPr>
                      <w:rFonts w:hint="default"/>
                      <w:color w:val="auto"/>
                      <w:kern w:val="0"/>
                      <w:sz w:val="18"/>
                      <w:szCs w:val="18"/>
                      <w:highlight w:val="none"/>
                      <w:lang w:val="en-US" w:eastAsia="zh-CN"/>
                    </w:rPr>
                  </w:pPr>
                  <w:r>
                    <w:rPr>
                      <w:rFonts w:hint="eastAsia"/>
                      <w:color w:val="auto"/>
                      <w:kern w:val="0"/>
                      <w:sz w:val="18"/>
                      <w:szCs w:val="18"/>
                      <w:highlight w:val="none"/>
                      <w:lang w:val="en-US" w:eastAsia="zh-CN"/>
                    </w:rPr>
                    <w:t>T/In</w:t>
                  </w:r>
                </w:p>
              </w:tc>
              <w:tc>
                <w:tcPr>
                  <w:tcW w:w="531" w:type="pct"/>
                  <w:vMerge w:val="restart"/>
                  <w:noWrap w:val="0"/>
                  <w:vAlign w:val="center"/>
                </w:tcPr>
                <w:p w14:paraId="0436717D">
                  <w:pPr>
                    <w:keepNext w:val="0"/>
                    <w:keepLines w:val="0"/>
                    <w:pageBreakBefore w:val="0"/>
                    <w:kinsoku/>
                    <w:wordWrap/>
                    <w:overflowPunct/>
                    <w:topLinePunct/>
                    <w:autoSpaceDE/>
                    <w:autoSpaceDN/>
                    <w:bidi w:val="0"/>
                    <w:adjustRightInd w:val="0"/>
                    <w:snapToGrid w:val="0"/>
                    <w:spacing w:line="240" w:lineRule="auto"/>
                    <w:jc w:val="center"/>
                    <w:rPr>
                      <w:rFonts w:hint="default"/>
                      <w:bCs/>
                      <w:color w:val="auto"/>
                      <w:kern w:val="0"/>
                      <w:sz w:val="18"/>
                      <w:szCs w:val="18"/>
                      <w:highlight w:val="none"/>
                      <w:lang w:val="en-US" w:eastAsia="zh-CN"/>
                    </w:rPr>
                  </w:pPr>
                  <w:r>
                    <w:rPr>
                      <w:rFonts w:hint="eastAsia"/>
                      <w:bCs/>
                      <w:color w:val="auto"/>
                      <w:kern w:val="0"/>
                      <w:sz w:val="18"/>
                      <w:szCs w:val="18"/>
                      <w:highlight w:val="none"/>
                      <w:lang w:val="en-US" w:eastAsia="zh-CN"/>
                    </w:rPr>
                    <w:t>委托有资质单位处置</w:t>
                  </w:r>
                </w:p>
              </w:tc>
            </w:tr>
            <w:tr w14:paraId="0D1112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88" w:type="pct"/>
                  <w:shd w:val="clear" w:color="auto" w:fill="auto"/>
                  <w:noWrap w:val="0"/>
                  <w:vAlign w:val="center"/>
                </w:tcPr>
                <w:p w14:paraId="29DD3E00">
                  <w:pPr>
                    <w:keepNext w:val="0"/>
                    <w:keepLines w:val="0"/>
                    <w:pageBreakBefore w:val="0"/>
                    <w:kinsoku/>
                    <w:wordWrap/>
                    <w:overflowPunct/>
                    <w:topLinePunct/>
                    <w:autoSpaceDE/>
                    <w:autoSpaceDN/>
                    <w:bidi w:val="0"/>
                    <w:adjustRightInd w:val="0"/>
                    <w:snapToGrid w:val="0"/>
                    <w:spacing w:line="240" w:lineRule="auto"/>
                    <w:jc w:val="center"/>
                    <w:rPr>
                      <w:rFonts w:hint="eastAsia" w:ascii="Times New Roman" w:hAnsi="Times New Roman" w:eastAsia="宋体" w:cs="Times New Roman"/>
                      <w:bCs/>
                      <w:color w:val="auto"/>
                      <w:kern w:val="0"/>
                      <w:sz w:val="18"/>
                      <w:szCs w:val="18"/>
                      <w:highlight w:val="none"/>
                      <w:lang w:val="en-US" w:eastAsia="zh-CN" w:bidi="ar-SA"/>
                    </w:rPr>
                  </w:pPr>
                  <w:r>
                    <w:rPr>
                      <w:rFonts w:hint="eastAsia"/>
                      <w:bCs/>
                      <w:color w:val="auto"/>
                      <w:kern w:val="0"/>
                      <w:sz w:val="18"/>
                      <w:szCs w:val="18"/>
                      <w:highlight w:val="none"/>
                      <w:lang w:val="en-US" w:eastAsia="zh-CN"/>
                    </w:rPr>
                    <w:t>3</w:t>
                  </w:r>
                </w:p>
              </w:tc>
              <w:tc>
                <w:tcPr>
                  <w:tcW w:w="440" w:type="pct"/>
                  <w:shd w:val="clear" w:color="auto" w:fill="auto"/>
                  <w:noWrap w:val="0"/>
                  <w:vAlign w:val="center"/>
                </w:tcPr>
                <w:p w14:paraId="3EEE6D8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废油</w:t>
                  </w:r>
                </w:p>
              </w:tc>
              <w:tc>
                <w:tcPr>
                  <w:tcW w:w="751" w:type="pct"/>
                  <w:shd w:val="clear" w:color="auto" w:fill="auto"/>
                  <w:noWrap w:val="0"/>
                  <w:vAlign w:val="center"/>
                </w:tcPr>
                <w:p w14:paraId="130D491F">
                  <w:pPr>
                    <w:keepNext w:val="0"/>
                    <w:keepLines w:val="0"/>
                    <w:pageBreakBefore w:val="0"/>
                    <w:widowControl/>
                    <w:kinsoku/>
                    <w:wordWrap/>
                    <w:overflowPunct/>
                    <w:autoSpaceDE/>
                    <w:autoSpaceDN/>
                    <w:bidi w:val="0"/>
                    <w:spacing w:line="240" w:lineRule="auto"/>
                    <w:jc w:val="center"/>
                    <w:rPr>
                      <w:rFonts w:hint="eastAsia"/>
                      <w:color w:val="auto"/>
                      <w:sz w:val="18"/>
                      <w:szCs w:val="18"/>
                      <w:highlight w:val="none"/>
                      <w:lang w:val="en-US" w:eastAsia="zh-CN"/>
                    </w:rPr>
                  </w:pPr>
                  <w:r>
                    <w:rPr>
                      <w:rFonts w:hint="eastAsia"/>
                      <w:color w:val="auto"/>
                      <w:sz w:val="18"/>
                      <w:szCs w:val="18"/>
                      <w:highlight w:val="none"/>
                      <w:lang w:val="en-US" w:eastAsia="zh-CN"/>
                    </w:rPr>
                    <w:t>HW08</w:t>
                  </w:r>
                </w:p>
                <w:p w14:paraId="516F7858">
                  <w:pPr>
                    <w:keepNext w:val="0"/>
                    <w:keepLines w:val="0"/>
                    <w:pageBreakBefore w:val="0"/>
                    <w:widowControl/>
                    <w:kinsoku/>
                    <w:wordWrap/>
                    <w:overflowPunct/>
                    <w:autoSpaceDE/>
                    <w:autoSpaceDN/>
                    <w:bidi w:val="0"/>
                    <w:spacing w:line="240" w:lineRule="auto"/>
                    <w:jc w:val="center"/>
                    <w:rPr>
                      <w:rFonts w:ascii="Times New Roman" w:hAnsi="Times New Roman" w:eastAsia="宋体" w:cs="Times New Roman"/>
                      <w:color w:val="auto"/>
                      <w:kern w:val="0"/>
                      <w:sz w:val="18"/>
                      <w:szCs w:val="18"/>
                      <w:highlight w:val="none"/>
                      <w:lang w:val="en-US" w:eastAsia="zh-CN" w:bidi="ar-SA"/>
                    </w:rPr>
                  </w:pPr>
                  <w:r>
                    <w:rPr>
                      <w:rFonts w:hint="eastAsia"/>
                      <w:color w:val="auto"/>
                      <w:sz w:val="18"/>
                      <w:szCs w:val="18"/>
                      <w:highlight w:val="none"/>
                      <w:lang w:val="en-US" w:eastAsia="zh-CN"/>
                    </w:rPr>
                    <w:t>900-204-08</w:t>
                  </w:r>
                </w:p>
              </w:tc>
              <w:tc>
                <w:tcPr>
                  <w:tcW w:w="631" w:type="pct"/>
                  <w:shd w:val="clear" w:color="auto" w:fill="auto"/>
                  <w:noWrap w:val="0"/>
                  <w:vAlign w:val="center"/>
                </w:tcPr>
                <w:p w14:paraId="226BDFBA">
                  <w:pPr>
                    <w:keepNext w:val="0"/>
                    <w:keepLines w:val="0"/>
                    <w:pageBreakBefore w:val="0"/>
                    <w:widowControl/>
                    <w:kinsoku/>
                    <w:wordWrap/>
                    <w:overflowPunct/>
                    <w:autoSpaceDE/>
                    <w:autoSpaceDN/>
                    <w:bidi w:val="0"/>
                    <w:spacing w:line="240" w:lineRule="auto"/>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13.34</w:t>
                  </w:r>
                </w:p>
              </w:tc>
              <w:tc>
                <w:tcPr>
                  <w:tcW w:w="316" w:type="pct"/>
                  <w:vMerge w:val="restart"/>
                  <w:shd w:val="clear" w:color="auto" w:fill="auto"/>
                  <w:noWrap w:val="0"/>
                  <w:vAlign w:val="center"/>
                </w:tcPr>
                <w:p w14:paraId="4D17561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油雾净化器</w:t>
                  </w:r>
                </w:p>
              </w:tc>
              <w:tc>
                <w:tcPr>
                  <w:tcW w:w="290" w:type="pct"/>
                  <w:shd w:val="clear" w:color="auto" w:fill="auto"/>
                  <w:noWrap w:val="0"/>
                  <w:vAlign w:val="center"/>
                </w:tcPr>
                <w:p w14:paraId="3C6550B6">
                  <w:pPr>
                    <w:keepNext w:val="0"/>
                    <w:keepLines w:val="0"/>
                    <w:pageBreakBefore w:val="0"/>
                    <w:kinsoku/>
                    <w:wordWrap/>
                    <w:overflowPunct/>
                    <w:autoSpaceDE/>
                    <w:autoSpaceDN/>
                    <w:bidi w:val="0"/>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固态</w:t>
                  </w:r>
                </w:p>
              </w:tc>
              <w:tc>
                <w:tcPr>
                  <w:tcW w:w="441" w:type="pct"/>
                  <w:shd w:val="clear" w:color="auto" w:fill="auto"/>
                  <w:noWrap w:val="0"/>
                  <w:vAlign w:val="center"/>
                </w:tcPr>
                <w:p w14:paraId="16CB7973">
                  <w:pPr>
                    <w:keepNext w:val="0"/>
                    <w:keepLines w:val="0"/>
                    <w:pageBreakBefore w:val="0"/>
                    <w:kinsoku/>
                    <w:wordWrap/>
                    <w:overflowPunct/>
                    <w:topLinePunct/>
                    <w:autoSpaceDE/>
                    <w:autoSpaceDN/>
                    <w:bidi w:val="0"/>
                    <w:adjustRightInd w:val="0"/>
                    <w:snapToGrid w:val="0"/>
                    <w:spacing w:line="240" w:lineRule="auto"/>
                    <w:jc w:val="center"/>
                    <w:rPr>
                      <w:rFonts w:hint="default" w:ascii="Times New Roman" w:hAnsi="Times New Roman" w:eastAsia="宋体" w:cs="Times New Roman"/>
                      <w:bCs/>
                      <w:color w:val="auto"/>
                      <w:kern w:val="0"/>
                      <w:sz w:val="18"/>
                      <w:szCs w:val="18"/>
                      <w:highlight w:val="none"/>
                      <w:lang w:val="en-US" w:eastAsia="zh-CN" w:bidi="ar-SA"/>
                    </w:rPr>
                  </w:pPr>
                  <w:r>
                    <w:rPr>
                      <w:rFonts w:hint="eastAsia" w:cs="Times New Roman"/>
                      <w:bCs/>
                      <w:color w:val="auto"/>
                      <w:kern w:val="0"/>
                      <w:sz w:val="18"/>
                      <w:szCs w:val="18"/>
                      <w:highlight w:val="none"/>
                      <w:lang w:val="en-US" w:eastAsia="zh-CN" w:bidi="ar-SA"/>
                    </w:rPr>
                    <w:t>废矿物油</w:t>
                  </w:r>
                </w:p>
              </w:tc>
              <w:tc>
                <w:tcPr>
                  <w:tcW w:w="441" w:type="pct"/>
                  <w:shd w:val="clear" w:color="auto" w:fill="auto"/>
                  <w:noWrap w:val="0"/>
                  <w:vAlign w:val="center"/>
                </w:tcPr>
                <w:p w14:paraId="495A5835">
                  <w:pPr>
                    <w:keepNext w:val="0"/>
                    <w:keepLines w:val="0"/>
                    <w:pageBreakBefore w:val="0"/>
                    <w:kinsoku/>
                    <w:wordWrap/>
                    <w:overflowPunct/>
                    <w:topLinePunct/>
                    <w:autoSpaceDE/>
                    <w:autoSpaceDN/>
                    <w:bidi w:val="0"/>
                    <w:adjustRightInd w:val="0"/>
                    <w:snapToGrid w:val="0"/>
                    <w:spacing w:line="240" w:lineRule="auto"/>
                    <w:jc w:val="center"/>
                    <w:rPr>
                      <w:rFonts w:hint="default" w:ascii="Times New Roman" w:hAnsi="Times New Roman" w:eastAsia="宋体" w:cs="Times New Roman"/>
                      <w:bCs/>
                      <w:color w:val="auto"/>
                      <w:kern w:val="0"/>
                      <w:sz w:val="18"/>
                      <w:szCs w:val="18"/>
                      <w:highlight w:val="none"/>
                      <w:lang w:val="en-US" w:eastAsia="zh-CN" w:bidi="ar-SA"/>
                    </w:rPr>
                  </w:pPr>
                  <w:r>
                    <w:rPr>
                      <w:rFonts w:hint="eastAsia" w:cs="Times New Roman"/>
                      <w:bCs/>
                      <w:color w:val="auto"/>
                      <w:kern w:val="0"/>
                      <w:sz w:val="18"/>
                      <w:szCs w:val="18"/>
                      <w:highlight w:val="none"/>
                      <w:lang w:val="en-US" w:eastAsia="zh-CN" w:bidi="ar-SA"/>
                    </w:rPr>
                    <w:t>废矿物油</w:t>
                  </w:r>
                </w:p>
              </w:tc>
              <w:tc>
                <w:tcPr>
                  <w:tcW w:w="390" w:type="pct"/>
                  <w:shd w:val="clear" w:color="auto" w:fill="auto"/>
                  <w:noWrap w:val="0"/>
                  <w:vAlign w:val="center"/>
                </w:tcPr>
                <w:p w14:paraId="4C8F61E6">
                  <w:pPr>
                    <w:keepNext w:val="0"/>
                    <w:keepLines w:val="0"/>
                    <w:pageBreakBefore w:val="0"/>
                    <w:kinsoku/>
                    <w:wordWrap/>
                    <w:overflowPunct/>
                    <w:topLinePunct/>
                    <w:autoSpaceDE/>
                    <w:autoSpaceDN/>
                    <w:bidi w:val="0"/>
                    <w:adjustRightInd w:val="0"/>
                    <w:snapToGrid w:val="0"/>
                    <w:spacing w:line="240" w:lineRule="auto"/>
                    <w:jc w:val="center"/>
                    <w:rPr>
                      <w:rFonts w:hint="default" w:ascii="Times New Roman" w:hAnsi="Times New Roman" w:eastAsia="宋体" w:cs="Times New Roman"/>
                      <w:bCs/>
                      <w:color w:val="auto"/>
                      <w:kern w:val="0"/>
                      <w:sz w:val="18"/>
                      <w:szCs w:val="18"/>
                      <w:highlight w:val="none"/>
                      <w:lang w:val="en-US" w:eastAsia="zh-CN" w:bidi="ar-SA"/>
                    </w:rPr>
                  </w:pPr>
                  <w:r>
                    <w:rPr>
                      <w:rFonts w:hint="eastAsia" w:cs="Times New Roman"/>
                      <w:bCs/>
                      <w:color w:val="auto"/>
                      <w:kern w:val="0"/>
                      <w:sz w:val="18"/>
                      <w:szCs w:val="18"/>
                      <w:highlight w:val="none"/>
                      <w:lang w:val="en-US" w:eastAsia="zh-CN" w:bidi="ar-SA"/>
                    </w:rPr>
                    <w:t>每月</w:t>
                  </w:r>
                </w:p>
              </w:tc>
              <w:tc>
                <w:tcPr>
                  <w:tcW w:w="476" w:type="pct"/>
                  <w:shd w:val="clear" w:color="auto" w:fill="auto"/>
                  <w:noWrap w:val="0"/>
                  <w:vAlign w:val="center"/>
                </w:tcPr>
                <w:p w14:paraId="73EF7256">
                  <w:pPr>
                    <w:keepNext w:val="0"/>
                    <w:keepLines w:val="0"/>
                    <w:pageBreakBefore w:val="0"/>
                    <w:kinsoku/>
                    <w:wordWrap/>
                    <w:overflowPunct/>
                    <w:autoSpaceDE/>
                    <w:autoSpaceDN/>
                    <w:bidi w:val="0"/>
                    <w:adjustRightInd w:val="0"/>
                    <w:spacing w:line="240" w:lineRule="auto"/>
                    <w:jc w:val="center"/>
                    <w:textAlignment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T,I</w:t>
                  </w:r>
                </w:p>
              </w:tc>
              <w:tc>
                <w:tcPr>
                  <w:tcW w:w="531" w:type="pct"/>
                  <w:vMerge w:val="continue"/>
                  <w:noWrap w:val="0"/>
                  <w:vAlign w:val="center"/>
                </w:tcPr>
                <w:p w14:paraId="0F32EDE4">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p>
              </w:tc>
            </w:tr>
            <w:tr w14:paraId="6257B9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88" w:type="pct"/>
                  <w:shd w:val="clear" w:color="auto" w:fill="auto"/>
                  <w:noWrap w:val="0"/>
                  <w:vAlign w:val="center"/>
                </w:tcPr>
                <w:p w14:paraId="06D36271">
                  <w:pPr>
                    <w:keepNext w:val="0"/>
                    <w:keepLines w:val="0"/>
                    <w:pageBreakBefore w:val="0"/>
                    <w:kinsoku/>
                    <w:wordWrap/>
                    <w:overflowPunct/>
                    <w:topLinePunct/>
                    <w:autoSpaceDE/>
                    <w:autoSpaceDN/>
                    <w:bidi w:val="0"/>
                    <w:adjustRightInd w:val="0"/>
                    <w:snapToGrid w:val="0"/>
                    <w:spacing w:line="240" w:lineRule="auto"/>
                    <w:jc w:val="center"/>
                    <w:rPr>
                      <w:rFonts w:hint="eastAsia" w:ascii="Times New Roman" w:hAnsi="Times New Roman" w:eastAsia="宋体" w:cs="Times New Roman"/>
                      <w:bCs/>
                      <w:color w:val="auto"/>
                      <w:kern w:val="0"/>
                      <w:sz w:val="18"/>
                      <w:szCs w:val="18"/>
                      <w:highlight w:val="none"/>
                      <w:lang w:val="en-US" w:eastAsia="zh-CN" w:bidi="ar-SA"/>
                    </w:rPr>
                  </w:pPr>
                  <w:r>
                    <w:rPr>
                      <w:rFonts w:hint="eastAsia"/>
                      <w:bCs/>
                      <w:color w:val="auto"/>
                      <w:kern w:val="0"/>
                      <w:sz w:val="18"/>
                      <w:szCs w:val="18"/>
                      <w:highlight w:val="none"/>
                      <w:lang w:val="en-US" w:eastAsia="zh-CN"/>
                    </w:rPr>
                    <w:t>4</w:t>
                  </w:r>
                </w:p>
              </w:tc>
              <w:tc>
                <w:tcPr>
                  <w:tcW w:w="440" w:type="pct"/>
                  <w:shd w:val="clear" w:color="auto" w:fill="auto"/>
                  <w:noWrap w:val="0"/>
                  <w:vAlign w:val="center"/>
                </w:tcPr>
                <w:p w14:paraId="2F67E4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废滤网</w:t>
                  </w:r>
                </w:p>
              </w:tc>
              <w:tc>
                <w:tcPr>
                  <w:tcW w:w="751" w:type="pct"/>
                  <w:shd w:val="clear" w:color="auto" w:fill="auto"/>
                  <w:noWrap w:val="0"/>
                  <w:vAlign w:val="center"/>
                </w:tcPr>
                <w:p w14:paraId="4E636D1F">
                  <w:pPr>
                    <w:keepNext w:val="0"/>
                    <w:keepLines w:val="0"/>
                    <w:pageBreakBefore w:val="0"/>
                    <w:kinsoku/>
                    <w:wordWrap/>
                    <w:overflowPunct/>
                    <w:autoSpaceDE/>
                    <w:autoSpaceDN/>
                    <w:bidi w:val="0"/>
                    <w:spacing w:line="240" w:lineRule="auto"/>
                    <w:jc w:val="center"/>
                    <w:rPr>
                      <w:rFonts w:hint="eastAsia"/>
                      <w:color w:val="auto"/>
                      <w:sz w:val="18"/>
                      <w:szCs w:val="18"/>
                      <w:highlight w:val="none"/>
                      <w:lang w:val="en-US" w:eastAsia="zh-CN"/>
                    </w:rPr>
                  </w:pPr>
                  <w:r>
                    <w:rPr>
                      <w:rFonts w:hint="eastAsia"/>
                      <w:color w:val="auto"/>
                      <w:sz w:val="18"/>
                      <w:szCs w:val="18"/>
                      <w:highlight w:val="none"/>
                      <w:lang w:val="en-US" w:eastAsia="zh-CN"/>
                    </w:rPr>
                    <w:t>HW49</w:t>
                  </w:r>
                </w:p>
                <w:p w14:paraId="58CA6ED3">
                  <w:pPr>
                    <w:keepNext w:val="0"/>
                    <w:keepLines w:val="0"/>
                    <w:pageBreakBefore w:val="0"/>
                    <w:widowControl/>
                    <w:kinsoku/>
                    <w:wordWrap/>
                    <w:overflowPunct/>
                    <w:autoSpaceDE/>
                    <w:autoSpaceDN/>
                    <w:bidi w:val="0"/>
                    <w:spacing w:line="240" w:lineRule="auto"/>
                    <w:jc w:val="center"/>
                    <w:rPr>
                      <w:rFonts w:hint="eastAsia"/>
                      <w:color w:val="auto"/>
                      <w:sz w:val="18"/>
                      <w:szCs w:val="18"/>
                      <w:highlight w:val="none"/>
                      <w:lang w:val="en-US" w:eastAsia="zh-CN"/>
                    </w:rPr>
                  </w:pPr>
                  <w:r>
                    <w:rPr>
                      <w:rFonts w:hint="eastAsia"/>
                      <w:color w:val="auto"/>
                      <w:sz w:val="18"/>
                      <w:szCs w:val="18"/>
                      <w:highlight w:val="none"/>
                      <w:lang w:val="en-US" w:eastAsia="zh-CN"/>
                    </w:rPr>
                    <w:t>900-041-49</w:t>
                  </w:r>
                </w:p>
              </w:tc>
              <w:tc>
                <w:tcPr>
                  <w:tcW w:w="631" w:type="pct"/>
                  <w:shd w:val="clear" w:color="auto" w:fill="auto"/>
                  <w:noWrap w:val="0"/>
                  <w:vAlign w:val="center"/>
                </w:tcPr>
                <w:p w14:paraId="3F34EBE4">
                  <w:pPr>
                    <w:keepNext w:val="0"/>
                    <w:keepLines w:val="0"/>
                    <w:pageBreakBefore w:val="0"/>
                    <w:widowControl/>
                    <w:kinsoku/>
                    <w:wordWrap/>
                    <w:overflowPunct/>
                    <w:autoSpaceDE/>
                    <w:autoSpaceDN/>
                    <w:bidi w:val="0"/>
                    <w:spacing w:line="240" w:lineRule="auto"/>
                    <w:jc w:val="center"/>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0.06</w:t>
                  </w:r>
                </w:p>
              </w:tc>
              <w:tc>
                <w:tcPr>
                  <w:tcW w:w="316" w:type="pct"/>
                  <w:vMerge w:val="continue"/>
                  <w:shd w:val="clear" w:color="auto" w:fill="auto"/>
                  <w:noWrap w:val="0"/>
                  <w:vAlign w:val="center"/>
                </w:tcPr>
                <w:p w14:paraId="51795B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sz w:val="18"/>
                      <w:szCs w:val="18"/>
                      <w:highlight w:val="none"/>
                      <w:vertAlign w:val="baseline"/>
                      <w:lang w:val="en-US" w:eastAsia="zh-CN"/>
                    </w:rPr>
                  </w:pPr>
                </w:p>
              </w:tc>
              <w:tc>
                <w:tcPr>
                  <w:tcW w:w="290" w:type="pct"/>
                  <w:shd w:val="clear" w:color="auto" w:fill="auto"/>
                  <w:noWrap w:val="0"/>
                  <w:vAlign w:val="center"/>
                </w:tcPr>
                <w:p w14:paraId="458C5F0F">
                  <w:pPr>
                    <w:keepNext w:val="0"/>
                    <w:keepLines w:val="0"/>
                    <w:pageBreakBefore w:val="0"/>
                    <w:kinsoku/>
                    <w:wordWrap/>
                    <w:overflowPunct/>
                    <w:autoSpaceDE/>
                    <w:autoSpaceDN/>
                    <w:bidi w:val="0"/>
                    <w:spacing w:line="240" w:lineRule="auto"/>
                    <w:jc w:val="center"/>
                    <w:rPr>
                      <w:rFonts w:hint="default"/>
                      <w:color w:val="auto"/>
                      <w:sz w:val="18"/>
                      <w:szCs w:val="18"/>
                      <w:highlight w:val="none"/>
                      <w:lang w:val="en-US" w:eastAsia="zh-CN"/>
                    </w:rPr>
                  </w:pPr>
                  <w:r>
                    <w:rPr>
                      <w:rFonts w:hint="eastAsia"/>
                      <w:color w:val="auto"/>
                      <w:sz w:val="18"/>
                      <w:szCs w:val="18"/>
                      <w:highlight w:val="none"/>
                      <w:lang w:val="en-US" w:eastAsia="zh-CN"/>
                    </w:rPr>
                    <w:t>固态</w:t>
                  </w:r>
                </w:p>
              </w:tc>
              <w:tc>
                <w:tcPr>
                  <w:tcW w:w="441" w:type="pct"/>
                  <w:shd w:val="clear" w:color="auto" w:fill="auto"/>
                  <w:noWrap w:val="0"/>
                  <w:vAlign w:val="center"/>
                </w:tcPr>
                <w:p w14:paraId="1BF0CB52">
                  <w:pPr>
                    <w:keepNext w:val="0"/>
                    <w:keepLines w:val="0"/>
                    <w:pageBreakBefore w:val="0"/>
                    <w:kinsoku/>
                    <w:wordWrap/>
                    <w:overflowPunct/>
                    <w:topLinePunct/>
                    <w:autoSpaceDE/>
                    <w:autoSpaceDN/>
                    <w:bidi w:val="0"/>
                    <w:adjustRightInd w:val="0"/>
                    <w:snapToGrid w:val="0"/>
                    <w:spacing w:line="240" w:lineRule="auto"/>
                    <w:jc w:val="center"/>
                    <w:rPr>
                      <w:rFonts w:hint="default" w:cs="Times New Roman"/>
                      <w:bCs/>
                      <w:color w:val="auto"/>
                      <w:kern w:val="0"/>
                      <w:sz w:val="18"/>
                      <w:szCs w:val="18"/>
                      <w:highlight w:val="none"/>
                      <w:lang w:val="en-US" w:eastAsia="zh-CN" w:bidi="ar-SA"/>
                    </w:rPr>
                  </w:pPr>
                  <w:r>
                    <w:rPr>
                      <w:rFonts w:hint="eastAsia" w:cs="Times New Roman"/>
                      <w:bCs/>
                      <w:color w:val="auto"/>
                      <w:kern w:val="0"/>
                      <w:sz w:val="18"/>
                      <w:szCs w:val="18"/>
                      <w:highlight w:val="none"/>
                      <w:lang w:val="en-US" w:eastAsia="zh-CN" w:bidi="ar-SA"/>
                    </w:rPr>
                    <w:t>废矿物油</w:t>
                  </w:r>
                </w:p>
              </w:tc>
              <w:tc>
                <w:tcPr>
                  <w:tcW w:w="441" w:type="pct"/>
                  <w:shd w:val="clear" w:color="auto" w:fill="auto"/>
                  <w:noWrap w:val="0"/>
                  <w:vAlign w:val="center"/>
                </w:tcPr>
                <w:p w14:paraId="44416D12">
                  <w:pPr>
                    <w:keepNext w:val="0"/>
                    <w:keepLines w:val="0"/>
                    <w:pageBreakBefore w:val="0"/>
                    <w:kinsoku/>
                    <w:wordWrap/>
                    <w:overflowPunct/>
                    <w:topLinePunct/>
                    <w:autoSpaceDE/>
                    <w:autoSpaceDN/>
                    <w:bidi w:val="0"/>
                    <w:adjustRightInd w:val="0"/>
                    <w:snapToGrid w:val="0"/>
                    <w:spacing w:line="240" w:lineRule="auto"/>
                    <w:jc w:val="center"/>
                    <w:rPr>
                      <w:rFonts w:hint="default" w:cs="Times New Roman"/>
                      <w:bCs/>
                      <w:color w:val="auto"/>
                      <w:kern w:val="0"/>
                      <w:sz w:val="18"/>
                      <w:szCs w:val="18"/>
                      <w:highlight w:val="none"/>
                      <w:lang w:val="en-US" w:eastAsia="zh-CN" w:bidi="ar-SA"/>
                    </w:rPr>
                  </w:pPr>
                  <w:r>
                    <w:rPr>
                      <w:rFonts w:hint="eastAsia" w:cs="Times New Roman"/>
                      <w:bCs/>
                      <w:color w:val="auto"/>
                      <w:kern w:val="0"/>
                      <w:sz w:val="18"/>
                      <w:szCs w:val="18"/>
                      <w:highlight w:val="none"/>
                      <w:lang w:val="en-US" w:eastAsia="zh-CN" w:bidi="ar-SA"/>
                    </w:rPr>
                    <w:t>废矿物油</w:t>
                  </w:r>
                </w:p>
              </w:tc>
              <w:tc>
                <w:tcPr>
                  <w:tcW w:w="390" w:type="pct"/>
                  <w:shd w:val="clear" w:color="auto" w:fill="auto"/>
                  <w:noWrap w:val="0"/>
                  <w:vAlign w:val="center"/>
                </w:tcPr>
                <w:p w14:paraId="6293A924">
                  <w:pPr>
                    <w:keepNext w:val="0"/>
                    <w:keepLines w:val="0"/>
                    <w:pageBreakBefore w:val="0"/>
                    <w:kinsoku/>
                    <w:wordWrap/>
                    <w:overflowPunct/>
                    <w:topLinePunct/>
                    <w:autoSpaceDE/>
                    <w:autoSpaceDN/>
                    <w:bidi w:val="0"/>
                    <w:adjustRightInd w:val="0"/>
                    <w:snapToGrid w:val="0"/>
                    <w:spacing w:line="240" w:lineRule="auto"/>
                    <w:jc w:val="both"/>
                    <w:rPr>
                      <w:rFonts w:hint="default" w:cs="Times New Roman"/>
                      <w:bCs/>
                      <w:color w:val="auto"/>
                      <w:kern w:val="0"/>
                      <w:sz w:val="18"/>
                      <w:szCs w:val="18"/>
                      <w:highlight w:val="none"/>
                      <w:lang w:val="en-US" w:eastAsia="zh-CN" w:bidi="ar-SA"/>
                    </w:rPr>
                  </w:pPr>
                  <w:r>
                    <w:rPr>
                      <w:rFonts w:hint="eastAsia" w:cs="Times New Roman"/>
                      <w:bCs/>
                      <w:color w:val="auto"/>
                      <w:kern w:val="0"/>
                      <w:sz w:val="18"/>
                      <w:szCs w:val="18"/>
                      <w:highlight w:val="none"/>
                      <w:lang w:val="en-US" w:eastAsia="zh-CN" w:bidi="ar-SA"/>
                    </w:rPr>
                    <w:t>每年</w:t>
                  </w:r>
                </w:p>
              </w:tc>
              <w:tc>
                <w:tcPr>
                  <w:tcW w:w="476" w:type="pct"/>
                  <w:shd w:val="clear" w:color="auto" w:fill="auto"/>
                  <w:noWrap w:val="0"/>
                  <w:vAlign w:val="center"/>
                </w:tcPr>
                <w:p w14:paraId="5E4A4C48">
                  <w:pPr>
                    <w:keepNext w:val="0"/>
                    <w:keepLines w:val="0"/>
                    <w:pageBreakBefore w:val="0"/>
                    <w:kinsoku/>
                    <w:wordWrap/>
                    <w:overflowPunct/>
                    <w:autoSpaceDE/>
                    <w:autoSpaceDN/>
                    <w:bidi w:val="0"/>
                    <w:adjustRightInd w:val="0"/>
                    <w:spacing w:line="240" w:lineRule="auto"/>
                    <w:jc w:val="center"/>
                    <w:textAlignment w:val="center"/>
                    <w:rPr>
                      <w:rFonts w:hint="eastAsia" w:cs="Times New Roman"/>
                      <w:color w:val="auto"/>
                      <w:kern w:val="0"/>
                      <w:sz w:val="18"/>
                      <w:szCs w:val="18"/>
                      <w:highlight w:val="none"/>
                      <w:lang w:val="en-US" w:eastAsia="zh-CN" w:bidi="ar-SA"/>
                    </w:rPr>
                  </w:pPr>
                  <w:r>
                    <w:rPr>
                      <w:rFonts w:hint="eastAsia"/>
                      <w:color w:val="auto"/>
                      <w:kern w:val="0"/>
                      <w:sz w:val="18"/>
                      <w:szCs w:val="18"/>
                      <w:highlight w:val="none"/>
                      <w:lang w:val="en-US" w:eastAsia="zh-CN"/>
                    </w:rPr>
                    <w:t>T/In</w:t>
                  </w:r>
                </w:p>
              </w:tc>
              <w:tc>
                <w:tcPr>
                  <w:tcW w:w="531" w:type="pct"/>
                  <w:vMerge w:val="continue"/>
                  <w:noWrap w:val="0"/>
                  <w:vAlign w:val="center"/>
                </w:tcPr>
                <w:p w14:paraId="406BD8F5">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p>
              </w:tc>
            </w:tr>
            <w:tr w14:paraId="71C5D0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88" w:type="pct"/>
                  <w:shd w:val="clear" w:color="auto" w:fill="auto"/>
                  <w:noWrap w:val="0"/>
                  <w:vAlign w:val="center"/>
                </w:tcPr>
                <w:p w14:paraId="6A064B1C">
                  <w:pPr>
                    <w:keepNext w:val="0"/>
                    <w:keepLines w:val="0"/>
                    <w:pageBreakBefore w:val="0"/>
                    <w:kinsoku/>
                    <w:wordWrap/>
                    <w:overflowPunct/>
                    <w:topLinePunct/>
                    <w:autoSpaceDE/>
                    <w:autoSpaceDN/>
                    <w:bidi w:val="0"/>
                    <w:adjustRightInd w:val="0"/>
                    <w:snapToGrid w:val="0"/>
                    <w:spacing w:line="240" w:lineRule="auto"/>
                    <w:jc w:val="center"/>
                    <w:rPr>
                      <w:rFonts w:hint="eastAsia" w:ascii="Times New Roman" w:hAnsi="Times New Roman" w:eastAsia="宋体" w:cs="Times New Roman"/>
                      <w:bCs/>
                      <w:color w:val="auto"/>
                      <w:kern w:val="0"/>
                      <w:sz w:val="18"/>
                      <w:szCs w:val="18"/>
                      <w:highlight w:val="none"/>
                      <w:lang w:val="en-US" w:eastAsia="zh-CN" w:bidi="ar-SA"/>
                    </w:rPr>
                  </w:pPr>
                  <w:r>
                    <w:rPr>
                      <w:rFonts w:hint="eastAsia"/>
                      <w:bCs/>
                      <w:color w:val="auto"/>
                      <w:kern w:val="0"/>
                      <w:sz w:val="18"/>
                      <w:szCs w:val="18"/>
                      <w:highlight w:val="none"/>
                      <w:lang w:val="en-US" w:eastAsia="zh-CN"/>
                    </w:rPr>
                    <w:t>5</w:t>
                  </w:r>
                </w:p>
              </w:tc>
              <w:tc>
                <w:tcPr>
                  <w:tcW w:w="440" w:type="pct"/>
                  <w:shd w:val="clear" w:color="auto" w:fill="auto"/>
                  <w:noWrap w:val="0"/>
                  <w:vAlign w:val="center"/>
                </w:tcPr>
                <w:p w14:paraId="03CEBF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碱洗槽滤渣及槽渣</w:t>
                  </w:r>
                </w:p>
              </w:tc>
              <w:tc>
                <w:tcPr>
                  <w:tcW w:w="751" w:type="pct"/>
                  <w:shd w:val="clear" w:color="auto" w:fill="auto"/>
                  <w:noWrap w:val="0"/>
                  <w:vAlign w:val="center"/>
                </w:tcPr>
                <w:p w14:paraId="39DFC8EE">
                  <w:pPr>
                    <w:keepNext w:val="0"/>
                    <w:keepLines w:val="0"/>
                    <w:pageBreakBefore w:val="0"/>
                    <w:kinsoku/>
                    <w:wordWrap/>
                    <w:overflowPunct/>
                    <w:autoSpaceDE/>
                    <w:autoSpaceDN/>
                    <w:bidi w:val="0"/>
                    <w:spacing w:line="240" w:lineRule="auto"/>
                    <w:jc w:val="center"/>
                    <w:rPr>
                      <w:rFonts w:hint="eastAsia"/>
                      <w:color w:val="auto"/>
                      <w:sz w:val="18"/>
                      <w:szCs w:val="18"/>
                      <w:highlight w:val="none"/>
                      <w:lang w:val="en-US" w:eastAsia="zh-CN"/>
                    </w:rPr>
                  </w:pPr>
                  <w:r>
                    <w:rPr>
                      <w:rFonts w:hint="eastAsia"/>
                      <w:color w:val="auto"/>
                      <w:sz w:val="18"/>
                      <w:szCs w:val="18"/>
                      <w:highlight w:val="none"/>
                      <w:lang w:val="en-US" w:eastAsia="zh-CN"/>
                    </w:rPr>
                    <w:t>HW17</w:t>
                  </w:r>
                </w:p>
                <w:p w14:paraId="525BD639">
                  <w:pPr>
                    <w:keepNext w:val="0"/>
                    <w:keepLines w:val="0"/>
                    <w:pageBreakBefore w:val="0"/>
                    <w:widowControl/>
                    <w:kinsoku/>
                    <w:wordWrap/>
                    <w:overflowPunct/>
                    <w:autoSpaceDE/>
                    <w:autoSpaceDN/>
                    <w:bidi w:val="0"/>
                    <w:spacing w:line="240" w:lineRule="auto"/>
                    <w:jc w:val="center"/>
                    <w:rPr>
                      <w:rFonts w:ascii="Times New Roman" w:hAnsi="Times New Roman" w:eastAsia="宋体" w:cs="Times New Roman"/>
                      <w:color w:val="auto"/>
                      <w:kern w:val="0"/>
                      <w:sz w:val="18"/>
                      <w:szCs w:val="18"/>
                      <w:highlight w:val="none"/>
                      <w:lang w:val="en-US" w:eastAsia="zh-CN" w:bidi="ar-SA"/>
                    </w:rPr>
                  </w:pPr>
                  <w:r>
                    <w:rPr>
                      <w:rFonts w:hint="eastAsia"/>
                      <w:color w:val="auto"/>
                      <w:sz w:val="18"/>
                      <w:szCs w:val="18"/>
                      <w:highlight w:val="none"/>
                      <w:lang w:val="en-US" w:eastAsia="zh-CN"/>
                    </w:rPr>
                    <w:t>336-064-17</w:t>
                  </w:r>
                </w:p>
              </w:tc>
              <w:tc>
                <w:tcPr>
                  <w:tcW w:w="631" w:type="pct"/>
                  <w:shd w:val="clear" w:color="auto" w:fill="auto"/>
                  <w:noWrap w:val="0"/>
                  <w:vAlign w:val="center"/>
                </w:tcPr>
                <w:p w14:paraId="557F9567">
                  <w:pPr>
                    <w:keepNext w:val="0"/>
                    <w:keepLines w:val="0"/>
                    <w:pageBreakBefore w:val="0"/>
                    <w:widowControl/>
                    <w:kinsoku/>
                    <w:wordWrap/>
                    <w:overflowPunct/>
                    <w:autoSpaceDE/>
                    <w:autoSpaceDN/>
                    <w:bidi w:val="0"/>
                    <w:spacing w:line="240" w:lineRule="auto"/>
                    <w:jc w:val="center"/>
                    <w:rPr>
                      <w:rFonts w:hint="default" w:ascii="Times New Roman" w:hAnsi="Times New Roman" w:eastAsia="宋体" w:cs="Times New Roman"/>
                      <w:color w:val="auto"/>
                      <w:kern w:val="0"/>
                      <w:sz w:val="18"/>
                      <w:szCs w:val="18"/>
                      <w:highlight w:val="none"/>
                      <w:lang w:val="en-US" w:eastAsia="zh-CN" w:bidi="ar-SA"/>
                    </w:rPr>
                  </w:pPr>
                  <w:r>
                    <w:rPr>
                      <w:rFonts w:hint="eastAsia"/>
                      <w:color w:val="auto"/>
                      <w:kern w:val="0"/>
                      <w:sz w:val="18"/>
                      <w:szCs w:val="18"/>
                      <w:highlight w:val="none"/>
                      <w:lang w:val="en-US" w:eastAsia="zh-CN"/>
                    </w:rPr>
                    <w:t>1</w:t>
                  </w:r>
                </w:p>
              </w:tc>
              <w:tc>
                <w:tcPr>
                  <w:tcW w:w="316" w:type="pct"/>
                  <w:shd w:val="clear" w:color="auto" w:fill="auto"/>
                  <w:noWrap w:val="0"/>
                  <w:vAlign w:val="center"/>
                </w:tcPr>
                <w:p w14:paraId="50E3AEA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碱洗</w:t>
                  </w:r>
                </w:p>
              </w:tc>
              <w:tc>
                <w:tcPr>
                  <w:tcW w:w="290" w:type="pct"/>
                  <w:shd w:val="clear" w:color="auto" w:fill="auto"/>
                  <w:noWrap w:val="0"/>
                  <w:vAlign w:val="center"/>
                </w:tcPr>
                <w:p w14:paraId="0B5E29C5">
                  <w:pPr>
                    <w:keepNext w:val="0"/>
                    <w:keepLines w:val="0"/>
                    <w:pageBreakBefore w:val="0"/>
                    <w:kinsoku/>
                    <w:wordWrap/>
                    <w:overflowPunct/>
                    <w:autoSpaceDE/>
                    <w:autoSpaceDN/>
                    <w:bidi w:val="0"/>
                    <w:spacing w:line="240" w:lineRule="auto"/>
                    <w:jc w:val="center"/>
                    <w:rPr>
                      <w:rFonts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固态</w:t>
                  </w:r>
                </w:p>
              </w:tc>
              <w:tc>
                <w:tcPr>
                  <w:tcW w:w="441" w:type="pct"/>
                  <w:noWrap w:val="0"/>
                  <w:vAlign w:val="center"/>
                </w:tcPr>
                <w:p w14:paraId="0DCC430C">
                  <w:pPr>
                    <w:keepNext w:val="0"/>
                    <w:keepLines w:val="0"/>
                    <w:pageBreakBefore w:val="0"/>
                    <w:kinsoku/>
                    <w:wordWrap/>
                    <w:overflowPunct/>
                    <w:topLinePunct/>
                    <w:autoSpaceDE/>
                    <w:autoSpaceDN/>
                    <w:bidi w:val="0"/>
                    <w:adjustRightInd w:val="0"/>
                    <w:snapToGrid w:val="0"/>
                    <w:spacing w:line="240" w:lineRule="auto"/>
                    <w:jc w:val="center"/>
                    <w:rPr>
                      <w:rFonts w:hint="default" w:ascii="Times New Roman" w:hAnsi="Times New Roman" w:eastAsia="宋体"/>
                      <w:bCs/>
                      <w:color w:val="auto"/>
                      <w:kern w:val="0"/>
                      <w:sz w:val="18"/>
                      <w:szCs w:val="18"/>
                      <w:highlight w:val="none"/>
                      <w:lang w:val="en-US" w:eastAsia="zh-CN"/>
                    </w:rPr>
                  </w:pPr>
                  <w:r>
                    <w:rPr>
                      <w:rFonts w:hint="eastAsia"/>
                      <w:bCs/>
                      <w:color w:val="auto"/>
                      <w:kern w:val="0"/>
                      <w:sz w:val="18"/>
                      <w:szCs w:val="18"/>
                      <w:highlight w:val="none"/>
                      <w:lang w:val="en-US" w:eastAsia="zh-CN"/>
                    </w:rPr>
                    <w:t>氧化铁、废碱液</w:t>
                  </w:r>
                </w:p>
              </w:tc>
              <w:tc>
                <w:tcPr>
                  <w:tcW w:w="441" w:type="pct"/>
                  <w:noWrap w:val="0"/>
                  <w:vAlign w:val="center"/>
                </w:tcPr>
                <w:p w14:paraId="71A09EEE">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hint="eastAsia"/>
                      <w:bCs/>
                      <w:color w:val="auto"/>
                      <w:kern w:val="0"/>
                      <w:sz w:val="18"/>
                      <w:szCs w:val="18"/>
                      <w:highlight w:val="none"/>
                      <w:lang w:val="en-US" w:eastAsia="zh-CN"/>
                    </w:rPr>
                    <w:t>废碱液</w:t>
                  </w:r>
                </w:p>
              </w:tc>
              <w:tc>
                <w:tcPr>
                  <w:tcW w:w="390" w:type="pct"/>
                  <w:noWrap w:val="0"/>
                  <w:vAlign w:val="center"/>
                </w:tcPr>
                <w:p w14:paraId="471BB0A8">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hint="eastAsia"/>
                      <w:bCs/>
                      <w:color w:val="auto"/>
                      <w:kern w:val="0"/>
                      <w:sz w:val="18"/>
                      <w:szCs w:val="18"/>
                      <w:highlight w:val="none"/>
                      <w:lang w:val="en-US" w:eastAsia="zh-CN"/>
                    </w:rPr>
                    <w:t>每年</w:t>
                  </w:r>
                </w:p>
              </w:tc>
              <w:tc>
                <w:tcPr>
                  <w:tcW w:w="476" w:type="pct"/>
                  <w:noWrap w:val="0"/>
                  <w:vAlign w:val="center"/>
                </w:tcPr>
                <w:p w14:paraId="58E8FC2E">
                  <w:pPr>
                    <w:keepNext w:val="0"/>
                    <w:keepLines w:val="0"/>
                    <w:pageBreakBefore w:val="0"/>
                    <w:kinsoku/>
                    <w:wordWrap/>
                    <w:overflowPunct/>
                    <w:autoSpaceDE/>
                    <w:autoSpaceDN/>
                    <w:bidi w:val="0"/>
                    <w:adjustRightInd w:val="0"/>
                    <w:spacing w:line="240" w:lineRule="auto"/>
                    <w:jc w:val="center"/>
                    <w:textAlignment w:val="center"/>
                    <w:rPr>
                      <w:rFonts w:ascii="Times New Roman" w:hAnsi="Times New Roman"/>
                      <w:color w:val="auto"/>
                      <w:kern w:val="0"/>
                      <w:sz w:val="18"/>
                      <w:szCs w:val="18"/>
                      <w:highlight w:val="none"/>
                    </w:rPr>
                  </w:pPr>
                  <w:r>
                    <w:rPr>
                      <w:rFonts w:hint="eastAsia"/>
                      <w:color w:val="auto"/>
                      <w:kern w:val="0"/>
                      <w:sz w:val="18"/>
                      <w:szCs w:val="18"/>
                      <w:highlight w:val="none"/>
                      <w:lang w:val="en-US" w:eastAsia="zh-CN"/>
                    </w:rPr>
                    <w:t>T/C</w:t>
                  </w:r>
                </w:p>
              </w:tc>
              <w:tc>
                <w:tcPr>
                  <w:tcW w:w="531" w:type="pct"/>
                  <w:vMerge w:val="continue"/>
                  <w:noWrap w:val="0"/>
                  <w:vAlign w:val="center"/>
                </w:tcPr>
                <w:p w14:paraId="076329AC">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p>
              </w:tc>
            </w:tr>
            <w:tr w14:paraId="5E558E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88" w:type="pct"/>
                  <w:shd w:val="clear" w:color="auto" w:fill="auto"/>
                  <w:noWrap w:val="0"/>
                  <w:vAlign w:val="center"/>
                </w:tcPr>
                <w:p w14:paraId="1EF9AA88">
                  <w:pPr>
                    <w:keepNext w:val="0"/>
                    <w:keepLines w:val="0"/>
                    <w:pageBreakBefore w:val="0"/>
                    <w:kinsoku/>
                    <w:wordWrap/>
                    <w:overflowPunct/>
                    <w:topLinePunct/>
                    <w:autoSpaceDE/>
                    <w:autoSpaceDN/>
                    <w:bidi w:val="0"/>
                    <w:adjustRightInd w:val="0"/>
                    <w:snapToGrid w:val="0"/>
                    <w:spacing w:line="240" w:lineRule="auto"/>
                    <w:jc w:val="center"/>
                    <w:rPr>
                      <w:rFonts w:hint="default" w:ascii="Times New Roman" w:hAnsi="Times New Roman" w:eastAsia="宋体" w:cs="Times New Roman"/>
                      <w:bCs/>
                      <w:color w:val="auto"/>
                      <w:kern w:val="0"/>
                      <w:sz w:val="18"/>
                      <w:szCs w:val="18"/>
                      <w:highlight w:val="none"/>
                      <w:lang w:val="en-US" w:eastAsia="zh-CN" w:bidi="ar-SA"/>
                    </w:rPr>
                  </w:pPr>
                  <w:r>
                    <w:rPr>
                      <w:rFonts w:hint="eastAsia"/>
                      <w:bCs/>
                      <w:color w:val="auto"/>
                      <w:kern w:val="0"/>
                      <w:sz w:val="18"/>
                      <w:szCs w:val="18"/>
                      <w:highlight w:val="none"/>
                      <w:lang w:val="en-US" w:eastAsia="zh-CN"/>
                    </w:rPr>
                    <w:t>6</w:t>
                  </w:r>
                </w:p>
              </w:tc>
              <w:tc>
                <w:tcPr>
                  <w:tcW w:w="440" w:type="pct"/>
                  <w:shd w:val="clear" w:color="auto" w:fill="auto"/>
                  <w:noWrap w:val="0"/>
                  <w:vAlign w:val="center"/>
                </w:tcPr>
                <w:p w14:paraId="452CB3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酸洗槽滤渣及槽渣</w:t>
                  </w:r>
                </w:p>
              </w:tc>
              <w:tc>
                <w:tcPr>
                  <w:tcW w:w="751" w:type="pct"/>
                  <w:shd w:val="clear" w:color="auto" w:fill="auto"/>
                  <w:noWrap w:val="0"/>
                  <w:vAlign w:val="center"/>
                </w:tcPr>
                <w:p w14:paraId="7D0D8808">
                  <w:pPr>
                    <w:keepNext w:val="0"/>
                    <w:keepLines w:val="0"/>
                    <w:pageBreakBefore w:val="0"/>
                    <w:kinsoku/>
                    <w:wordWrap/>
                    <w:overflowPunct/>
                    <w:autoSpaceDE/>
                    <w:autoSpaceDN/>
                    <w:bidi w:val="0"/>
                    <w:spacing w:line="240" w:lineRule="auto"/>
                    <w:jc w:val="center"/>
                    <w:rPr>
                      <w:rFonts w:hint="eastAsia"/>
                      <w:color w:val="auto"/>
                      <w:sz w:val="18"/>
                      <w:szCs w:val="18"/>
                      <w:highlight w:val="none"/>
                      <w:lang w:val="en-US" w:eastAsia="zh-CN"/>
                    </w:rPr>
                  </w:pPr>
                  <w:r>
                    <w:rPr>
                      <w:rFonts w:hint="eastAsia"/>
                      <w:color w:val="auto"/>
                      <w:sz w:val="18"/>
                      <w:szCs w:val="18"/>
                      <w:highlight w:val="none"/>
                      <w:lang w:val="en-US" w:eastAsia="zh-CN"/>
                    </w:rPr>
                    <w:t>HW17</w:t>
                  </w:r>
                </w:p>
                <w:p w14:paraId="5957C51E">
                  <w:pPr>
                    <w:keepNext w:val="0"/>
                    <w:keepLines w:val="0"/>
                    <w:pageBreakBefore w:val="0"/>
                    <w:widowControl/>
                    <w:kinsoku/>
                    <w:wordWrap/>
                    <w:overflowPunct/>
                    <w:autoSpaceDE/>
                    <w:autoSpaceDN/>
                    <w:bidi w:val="0"/>
                    <w:spacing w:line="240" w:lineRule="auto"/>
                    <w:jc w:val="center"/>
                    <w:rPr>
                      <w:rFonts w:ascii="Times New Roman" w:hAnsi="Times New Roman" w:eastAsia="宋体" w:cs="Times New Roman"/>
                      <w:color w:val="auto"/>
                      <w:kern w:val="0"/>
                      <w:sz w:val="18"/>
                      <w:szCs w:val="18"/>
                      <w:highlight w:val="none"/>
                      <w:lang w:val="en-US" w:eastAsia="zh-CN" w:bidi="ar-SA"/>
                    </w:rPr>
                  </w:pPr>
                  <w:r>
                    <w:rPr>
                      <w:rFonts w:hint="eastAsia"/>
                      <w:color w:val="auto"/>
                      <w:sz w:val="18"/>
                      <w:szCs w:val="18"/>
                      <w:highlight w:val="none"/>
                      <w:lang w:val="en-US" w:eastAsia="zh-CN"/>
                    </w:rPr>
                    <w:t>336-064-17</w:t>
                  </w:r>
                </w:p>
              </w:tc>
              <w:tc>
                <w:tcPr>
                  <w:tcW w:w="631" w:type="pct"/>
                  <w:shd w:val="clear" w:color="auto" w:fill="auto"/>
                  <w:noWrap w:val="0"/>
                  <w:vAlign w:val="center"/>
                </w:tcPr>
                <w:p w14:paraId="53E5897C">
                  <w:pPr>
                    <w:keepNext w:val="0"/>
                    <w:keepLines w:val="0"/>
                    <w:pageBreakBefore w:val="0"/>
                    <w:widowControl/>
                    <w:kinsoku/>
                    <w:wordWrap/>
                    <w:overflowPunct/>
                    <w:autoSpaceDE/>
                    <w:autoSpaceDN/>
                    <w:bidi w:val="0"/>
                    <w:spacing w:line="240" w:lineRule="auto"/>
                    <w:jc w:val="center"/>
                    <w:rPr>
                      <w:rFonts w:hint="default" w:ascii="Times New Roman" w:hAnsi="Times New Roman" w:eastAsia="宋体" w:cs="Times New Roman"/>
                      <w:color w:val="auto"/>
                      <w:kern w:val="0"/>
                      <w:sz w:val="18"/>
                      <w:szCs w:val="18"/>
                      <w:highlight w:val="none"/>
                      <w:lang w:val="en-US" w:eastAsia="zh-CN" w:bidi="ar-SA"/>
                    </w:rPr>
                  </w:pPr>
                  <w:r>
                    <w:rPr>
                      <w:rFonts w:hint="eastAsia"/>
                      <w:color w:val="auto"/>
                      <w:kern w:val="0"/>
                      <w:sz w:val="18"/>
                      <w:szCs w:val="18"/>
                      <w:highlight w:val="none"/>
                      <w:lang w:val="en-US" w:eastAsia="zh-CN"/>
                    </w:rPr>
                    <w:t>0.5</w:t>
                  </w:r>
                </w:p>
              </w:tc>
              <w:tc>
                <w:tcPr>
                  <w:tcW w:w="316" w:type="pct"/>
                  <w:shd w:val="clear" w:color="auto" w:fill="auto"/>
                  <w:noWrap w:val="0"/>
                  <w:vAlign w:val="center"/>
                </w:tcPr>
                <w:p w14:paraId="45037FA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硫酸酸洗</w:t>
                  </w:r>
                </w:p>
              </w:tc>
              <w:tc>
                <w:tcPr>
                  <w:tcW w:w="290" w:type="pct"/>
                  <w:shd w:val="clear" w:color="auto" w:fill="auto"/>
                  <w:noWrap w:val="0"/>
                  <w:vAlign w:val="center"/>
                </w:tcPr>
                <w:p w14:paraId="0130EA51">
                  <w:pPr>
                    <w:keepNext w:val="0"/>
                    <w:keepLines w:val="0"/>
                    <w:pageBreakBefore w:val="0"/>
                    <w:kinsoku/>
                    <w:wordWrap/>
                    <w:overflowPunct/>
                    <w:autoSpaceDE/>
                    <w:autoSpaceDN/>
                    <w:bidi w:val="0"/>
                    <w:spacing w:line="240" w:lineRule="auto"/>
                    <w:jc w:val="center"/>
                    <w:rPr>
                      <w:rFonts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固态</w:t>
                  </w:r>
                </w:p>
              </w:tc>
              <w:tc>
                <w:tcPr>
                  <w:tcW w:w="441" w:type="pct"/>
                  <w:noWrap w:val="0"/>
                  <w:vAlign w:val="center"/>
                </w:tcPr>
                <w:p w14:paraId="726C5000">
                  <w:pPr>
                    <w:keepNext w:val="0"/>
                    <w:keepLines w:val="0"/>
                    <w:pageBreakBefore w:val="0"/>
                    <w:kinsoku/>
                    <w:wordWrap/>
                    <w:overflowPunct/>
                    <w:topLinePunct/>
                    <w:autoSpaceDE/>
                    <w:autoSpaceDN/>
                    <w:bidi w:val="0"/>
                    <w:adjustRightInd w:val="0"/>
                    <w:snapToGrid w:val="0"/>
                    <w:spacing w:line="240" w:lineRule="auto"/>
                    <w:jc w:val="center"/>
                    <w:rPr>
                      <w:rFonts w:hint="default" w:ascii="Times New Roman" w:hAnsi="Times New Roman"/>
                      <w:bCs/>
                      <w:color w:val="auto"/>
                      <w:kern w:val="0"/>
                      <w:sz w:val="18"/>
                      <w:szCs w:val="18"/>
                      <w:highlight w:val="none"/>
                      <w:lang w:val="en-US"/>
                    </w:rPr>
                  </w:pPr>
                  <w:r>
                    <w:rPr>
                      <w:rFonts w:hint="eastAsia"/>
                      <w:bCs/>
                      <w:color w:val="auto"/>
                      <w:kern w:val="0"/>
                      <w:sz w:val="18"/>
                      <w:szCs w:val="18"/>
                      <w:highlight w:val="none"/>
                      <w:lang w:val="en-US" w:eastAsia="zh-CN"/>
                    </w:rPr>
                    <w:t>氧化铁、废酸</w:t>
                  </w:r>
                </w:p>
              </w:tc>
              <w:tc>
                <w:tcPr>
                  <w:tcW w:w="441" w:type="pct"/>
                  <w:noWrap w:val="0"/>
                  <w:vAlign w:val="center"/>
                </w:tcPr>
                <w:p w14:paraId="48A73340">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hint="eastAsia"/>
                      <w:bCs/>
                      <w:color w:val="auto"/>
                      <w:kern w:val="0"/>
                      <w:sz w:val="18"/>
                      <w:szCs w:val="18"/>
                      <w:highlight w:val="none"/>
                      <w:lang w:val="en-US" w:eastAsia="zh-CN"/>
                    </w:rPr>
                    <w:t>废酸</w:t>
                  </w:r>
                </w:p>
              </w:tc>
              <w:tc>
                <w:tcPr>
                  <w:tcW w:w="390" w:type="pct"/>
                  <w:noWrap w:val="0"/>
                  <w:vAlign w:val="center"/>
                </w:tcPr>
                <w:p w14:paraId="6A6003C7">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hint="eastAsia"/>
                      <w:bCs/>
                      <w:color w:val="auto"/>
                      <w:kern w:val="0"/>
                      <w:sz w:val="18"/>
                      <w:szCs w:val="18"/>
                      <w:highlight w:val="none"/>
                      <w:lang w:val="en-US" w:eastAsia="zh-CN"/>
                    </w:rPr>
                    <w:t>每年</w:t>
                  </w:r>
                </w:p>
              </w:tc>
              <w:tc>
                <w:tcPr>
                  <w:tcW w:w="476" w:type="pct"/>
                  <w:noWrap w:val="0"/>
                  <w:vAlign w:val="center"/>
                </w:tcPr>
                <w:p w14:paraId="5E720DB6">
                  <w:pPr>
                    <w:keepNext w:val="0"/>
                    <w:keepLines w:val="0"/>
                    <w:pageBreakBefore w:val="0"/>
                    <w:kinsoku/>
                    <w:wordWrap/>
                    <w:overflowPunct/>
                    <w:autoSpaceDE/>
                    <w:autoSpaceDN/>
                    <w:bidi w:val="0"/>
                    <w:adjustRightInd w:val="0"/>
                    <w:spacing w:line="240" w:lineRule="auto"/>
                    <w:jc w:val="center"/>
                    <w:textAlignment w:val="center"/>
                    <w:rPr>
                      <w:rFonts w:ascii="Times New Roman" w:hAnsi="Times New Roman"/>
                      <w:color w:val="auto"/>
                      <w:kern w:val="0"/>
                      <w:sz w:val="18"/>
                      <w:szCs w:val="18"/>
                      <w:highlight w:val="none"/>
                    </w:rPr>
                  </w:pPr>
                  <w:r>
                    <w:rPr>
                      <w:rFonts w:hint="eastAsia"/>
                      <w:color w:val="auto"/>
                      <w:kern w:val="0"/>
                      <w:sz w:val="18"/>
                      <w:szCs w:val="18"/>
                      <w:highlight w:val="none"/>
                      <w:lang w:val="en-US" w:eastAsia="zh-CN"/>
                    </w:rPr>
                    <w:t>T/C</w:t>
                  </w:r>
                </w:p>
              </w:tc>
              <w:tc>
                <w:tcPr>
                  <w:tcW w:w="531" w:type="pct"/>
                  <w:vMerge w:val="continue"/>
                  <w:noWrap w:val="0"/>
                  <w:vAlign w:val="center"/>
                </w:tcPr>
                <w:p w14:paraId="092E89A9">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p>
              </w:tc>
            </w:tr>
            <w:tr w14:paraId="6DFD05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88" w:type="pct"/>
                  <w:shd w:val="clear" w:color="auto" w:fill="auto"/>
                  <w:noWrap w:val="0"/>
                  <w:vAlign w:val="center"/>
                </w:tcPr>
                <w:p w14:paraId="7D0AE40B">
                  <w:pPr>
                    <w:keepNext w:val="0"/>
                    <w:keepLines w:val="0"/>
                    <w:pageBreakBefore w:val="0"/>
                    <w:kinsoku/>
                    <w:wordWrap/>
                    <w:overflowPunct/>
                    <w:topLinePunct/>
                    <w:autoSpaceDE/>
                    <w:autoSpaceDN/>
                    <w:bidi w:val="0"/>
                    <w:adjustRightInd w:val="0"/>
                    <w:snapToGrid w:val="0"/>
                    <w:spacing w:line="240" w:lineRule="auto"/>
                    <w:jc w:val="center"/>
                    <w:rPr>
                      <w:rFonts w:hint="default" w:ascii="Times New Roman" w:hAnsi="Times New Roman" w:eastAsia="宋体" w:cs="Times New Roman"/>
                      <w:bCs/>
                      <w:color w:val="auto"/>
                      <w:kern w:val="0"/>
                      <w:sz w:val="18"/>
                      <w:szCs w:val="18"/>
                      <w:highlight w:val="none"/>
                      <w:lang w:val="en-US" w:eastAsia="zh-CN" w:bidi="ar-SA"/>
                    </w:rPr>
                  </w:pPr>
                  <w:r>
                    <w:rPr>
                      <w:rFonts w:hint="eastAsia"/>
                      <w:bCs/>
                      <w:color w:val="auto"/>
                      <w:kern w:val="0"/>
                      <w:sz w:val="18"/>
                      <w:szCs w:val="18"/>
                      <w:highlight w:val="none"/>
                      <w:lang w:val="en-US" w:eastAsia="zh-CN"/>
                    </w:rPr>
                    <w:t>7</w:t>
                  </w:r>
                </w:p>
              </w:tc>
              <w:tc>
                <w:tcPr>
                  <w:tcW w:w="440" w:type="pct"/>
                  <w:shd w:val="clear" w:color="auto" w:fill="auto"/>
                  <w:noWrap w:val="0"/>
                  <w:vAlign w:val="center"/>
                </w:tcPr>
                <w:p w14:paraId="4A3280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浮油及污泥</w:t>
                  </w:r>
                </w:p>
              </w:tc>
              <w:tc>
                <w:tcPr>
                  <w:tcW w:w="751" w:type="pct"/>
                  <w:shd w:val="clear" w:color="auto" w:fill="auto"/>
                  <w:noWrap w:val="0"/>
                  <w:vAlign w:val="center"/>
                </w:tcPr>
                <w:p w14:paraId="4176EFA7">
                  <w:pPr>
                    <w:keepNext w:val="0"/>
                    <w:keepLines w:val="0"/>
                    <w:pageBreakBefore w:val="0"/>
                    <w:widowControl/>
                    <w:kinsoku/>
                    <w:wordWrap/>
                    <w:overflowPunct/>
                    <w:autoSpaceDE/>
                    <w:autoSpaceDN/>
                    <w:bidi w:val="0"/>
                    <w:spacing w:line="240" w:lineRule="auto"/>
                    <w:jc w:val="center"/>
                    <w:rPr>
                      <w:rFonts w:hint="eastAsia"/>
                      <w:color w:val="auto"/>
                      <w:sz w:val="18"/>
                      <w:szCs w:val="18"/>
                      <w:highlight w:val="none"/>
                      <w:lang w:val="en-US" w:eastAsia="zh-CN"/>
                    </w:rPr>
                  </w:pPr>
                  <w:r>
                    <w:rPr>
                      <w:rFonts w:hint="eastAsia"/>
                      <w:color w:val="auto"/>
                      <w:sz w:val="18"/>
                      <w:szCs w:val="18"/>
                      <w:highlight w:val="none"/>
                      <w:lang w:val="en-US" w:eastAsia="zh-CN"/>
                    </w:rPr>
                    <w:t>HW08</w:t>
                  </w:r>
                </w:p>
                <w:p w14:paraId="039B21C6">
                  <w:pPr>
                    <w:keepNext w:val="0"/>
                    <w:keepLines w:val="0"/>
                    <w:pageBreakBefore w:val="0"/>
                    <w:widowControl/>
                    <w:kinsoku/>
                    <w:wordWrap/>
                    <w:overflowPunct/>
                    <w:autoSpaceDE/>
                    <w:autoSpaceDN/>
                    <w:bidi w:val="0"/>
                    <w:spacing w:line="240" w:lineRule="auto"/>
                    <w:jc w:val="center"/>
                    <w:rPr>
                      <w:rFonts w:hint="default" w:ascii="Times New Roman" w:hAnsi="Times New Roman" w:eastAsia="宋体" w:cs="Times New Roman"/>
                      <w:color w:val="auto"/>
                      <w:kern w:val="0"/>
                      <w:sz w:val="18"/>
                      <w:szCs w:val="18"/>
                      <w:highlight w:val="none"/>
                      <w:lang w:val="en-US" w:eastAsia="zh-CN" w:bidi="ar-SA"/>
                    </w:rPr>
                  </w:pPr>
                  <w:r>
                    <w:rPr>
                      <w:rFonts w:hint="eastAsia"/>
                      <w:color w:val="auto"/>
                      <w:sz w:val="18"/>
                      <w:szCs w:val="18"/>
                      <w:highlight w:val="none"/>
                      <w:lang w:val="en-US" w:eastAsia="zh-CN"/>
                    </w:rPr>
                    <w:t>900-210-08</w:t>
                  </w:r>
                </w:p>
              </w:tc>
              <w:tc>
                <w:tcPr>
                  <w:tcW w:w="631" w:type="pct"/>
                  <w:shd w:val="clear" w:color="auto" w:fill="auto"/>
                  <w:noWrap w:val="0"/>
                  <w:vAlign w:val="center"/>
                </w:tcPr>
                <w:p w14:paraId="73DADA0A">
                  <w:pPr>
                    <w:keepNext w:val="0"/>
                    <w:keepLines w:val="0"/>
                    <w:pageBreakBefore w:val="0"/>
                    <w:widowControl/>
                    <w:kinsoku/>
                    <w:wordWrap/>
                    <w:overflowPunct/>
                    <w:autoSpaceDE/>
                    <w:autoSpaceDN/>
                    <w:bidi w:val="0"/>
                    <w:spacing w:line="240" w:lineRule="auto"/>
                    <w:jc w:val="center"/>
                    <w:rPr>
                      <w:rFonts w:hint="default" w:ascii="Times New Roman" w:hAnsi="Times New Roman" w:eastAsia="宋体" w:cs="Times New Roman"/>
                      <w:color w:val="auto"/>
                      <w:kern w:val="0"/>
                      <w:sz w:val="18"/>
                      <w:szCs w:val="18"/>
                      <w:highlight w:val="none"/>
                      <w:lang w:val="en-US" w:eastAsia="zh-CN" w:bidi="ar-SA"/>
                    </w:rPr>
                  </w:pPr>
                  <w:r>
                    <w:rPr>
                      <w:rFonts w:hint="eastAsia"/>
                      <w:color w:val="auto"/>
                      <w:kern w:val="0"/>
                      <w:sz w:val="18"/>
                      <w:szCs w:val="18"/>
                      <w:highlight w:val="none"/>
                      <w:lang w:val="en-US" w:eastAsia="zh-CN"/>
                    </w:rPr>
                    <w:t>2</w:t>
                  </w:r>
                </w:p>
              </w:tc>
              <w:tc>
                <w:tcPr>
                  <w:tcW w:w="316" w:type="pct"/>
                  <w:shd w:val="clear" w:color="auto" w:fill="auto"/>
                  <w:noWrap w:val="0"/>
                  <w:vAlign w:val="center"/>
                </w:tcPr>
                <w:p w14:paraId="41A855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碱性含油和乳化液废水处理站</w:t>
                  </w:r>
                </w:p>
              </w:tc>
              <w:tc>
                <w:tcPr>
                  <w:tcW w:w="290" w:type="pct"/>
                  <w:shd w:val="clear" w:color="auto" w:fill="auto"/>
                  <w:noWrap w:val="0"/>
                  <w:vAlign w:val="center"/>
                </w:tcPr>
                <w:p w14:paraId="02355150">
                  <w:pPr>
                    <w:keepNext w:val="0"/>
                    <w:keepLines w:val="0"/>
                    <w:pageBreakBefore w:val="0"/>
                    <w:kinsoku/>
                    <w:wordWrap/>
                    <w:overflowPunct/>
                    <w:autoSpaceDE/>
                    <w:autoSpaceDN/>
                    <w:bidi w:val="0"/>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固态</w:t>
                  </w:r>
                </w:p>
              </w:tc>
              <w:tc>
                <w:tcPr>
                  <w:tcW w:w="441" w:type="pct"/>
                  <w:noWrap w:val="0"/>
                  <w:vAlign w:val="center"/>
                </w:tcPr>
                <w:p w14:paraId="3B0354C3">
                  <w:pPr>
                    <w:keepNext w:val="0"/>
                    <w:keepLines w:val="0"/>
                    <w:pageBreakBefore w:val="0"/>
                    <w:kinsoku/>
                    <w:wordWrap/>
                    <w:overflowPunct/>
                    <w:topLinePunct/>
                    <w:autoSpaceDE/>
                    <w:autoSpaceDN/>
                    <w:bidi w:val="0"/>
                    <w:adjustRightInd w:val="0"/>
                    <w:snapToGrid w:val="0"/>
                    <w:spacing w:line="240" w:lineRule="auto"/>
                    <w:jc w:val="center"/>
                    <w:rPr>
                      <w:rFonts w:hint="default" w:ascii="Times New Roman" w:hAnsi="Times New Roman" w:eastAsia="宋体"/>
                      <w:bCs/>
                      <w:color w:val="auto"/>
                      <w:kern w:val="0"/>
                      <w:sz w:val="18"/>
                      <w:szCs w:val="18"/>
                      <w:highlight w:val="none"/>
                      <w:lang w:val="en-US" w:eastAsia="zh-CN"/>
                    </w:rPr>
                  </w:pPr>
                  <w:r>
                    <w:rPr>
                      <w:rFonts w:hint="eastAsia"/>
                      <w:bCs/>
                      <w:color w:val="auto"/>
                      <w:kern w:val="0"/>
                      <w:sz w:val="18"/>
                      <w:szCs w:val="18"/>
                      <w:highlight w:val="none"/>
                      <w:lang w:val="en-US" w:eastAsia="zh-CN"/>
                    </w:rPr>
                    <w:t>矿物油、乳化液、废碱液</w:t>
                  </w:r>
                </w:p>
              </w:tc>
              <w:tc>
                <w:tcPr>
                  <w:tcW w:w="441" w:type="pct"/>
                  <w:noWrap w:val="0"/>
                  <w:vAlign w:val="center"/>
                </w:tcPr>
                <w:p w14:paraId="365B8045">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hint="eastAsia"/>
                      <w:bCs/>
                      <w:color w:val="auto"/>
                      <w:kern w:val="0"/>
                      <w:sz w:val="18"/>
                      <w:szCs w:val="18"/>
                      <w:highlight w:val="none"/>
                      <w:lang w:val="en-US" w:eastAsia="zh-CN"/>
                    </w:rPr>
                    <w:t>矿物油、乳化液、废碱液</w:t>
                  </w:r>
                </w:p>
              </w:tc>
              <w:tc>
                <w:tcPr>
                  <w:tcW w:w="390" w:type="pct"/>
                  <w:noWrap w:val="0"/>
                  <w:vAlign w:val="center"/>
                </w:tcPr>
                <w:p w14:paraId="48E7F4D0">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hint="eastAsia"/>
                      <w:bCs/>
                      <w:color w:val="auto"/>
                      <w:kern w:val="0"/>
                      <w:sz w:val="18"/>
                      <w:szCs w:val="18"/>
                      <w:highlight w:val="none"/>
                      <w:lang w:val="en-US" w:eastAsia="zh-CN"/>
                    </w:rPr>
                    <w:t>每年</w:t>
                  </w:r>
                </w:p>
              </w:tc>
              <w:tc>
                <w:tcPr>
                  <w:tcW w:w="476" w:type="pct"/>
                  <w:noWrap w:val="0"/>
                  <w:vAlign w:val="center"/>
                </w:tcPr>
                <w:p w14:paraId="69828D65">
                  <w:pPr>
                    <w:keepNext w:val="0"/>
                    <w:keepLines w:val="0"/>
                    <w:pageBreakBefore w:val="0"/>
                    <w:kinsoku/>
                    <w:wordWrap/>
                    <w:overflowPunct/>
                    <w:autoSpaceDE/>
                    <w:autoSpaceDN/>
                    <w:bidi w:val="0"/>
                    <w:adjustRightInd w:val="0"/>
                    <w:spacing w:line="240" w:lineRule="auto"/>
                    <w:jc w:val="center"/>
                    <w:textAlignment w:val="center"/>
                    <w:rPr>
                      <w:rFonts w:ascii="Times New Roman" w:hAnsi="Times New Roman"/>
                      <w:color w:val="auto"/>
                      <w:kern w:val="0"/>
                      <w:sz w:val="18"/>
                      <w:szCs w:val="18"/>
                      <w:highlight w:val="none"/>
                    </w:rPr>
                  </w:pPr>
                  <w:r>
                    <w:rPr>
                      <w:rFonts w:hint="eastAsia" w:cs="Times New Roman"/>
                      <w:color w:val="auto"/>
                      <w:kern w:val="0"/>
                      <w:sz w:val="18"/>
                      <w:szCs w:val="18"/>
                      <w:highlight w:val="none"/>
                      <w:lang w:val="en-US" w:eastAsia="zh-CN" w:bidi="ar-SA"/>
                    </w:rPr>
                    <w:t>T,I</w:t>
                  </w:r>
                </w:p>
              </w:tc>
              <w:tc>
                <w:tcPr>
                  <w:tcW w:w="531" w:type="pct"/>
                  <w:vMerge w:val="continue"/>
                  <w:noWrap w:val="0"/>
                  <w:vAlign w:val="center"/>
                </w:tcPr>
                <w:p w14:paraId="3767FC40">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p>
              </w:tc>
            </w:tr>
            <w:tr w14:paraId="5E4686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88" w:type="pct"/>
                  <w:shd w:val="clear" w:color="auto" w:fill="auto"/>
                  <w:noWrap w:val="0"/>
                  <w:vAlign w:val="center"/>
                </w:tcPr>
                <w:p w14:paraId="0435B918">
                  <w:pPr>
                    <w:keepNext w:val="0"/>
                    <w:keepLines w:val="0"/>
                    <w:pageBreakBefore w:val="0"/>
                    <w:kinsoku/>
                    <w:wordWrap/>
                    <w:overflowPunct/>
                    <w:topLinePunct/>
                    <w:autoSpaceDE/>
                    <w:autoSpaceDN/>
                    <w:bidi w:val="0"/>
                    <w:adjustRightInd w:val="0"/>
                    <w:snapToGrid w:val="0"/>
                    <w:spacing w:line="240" w:lineRule="auto"/>
                    <w:jc w:val="center"/>
                    <w:rPr>
                      <w:rFonts w:hint="default" w:ascii="Times New Roman" w:hAnsi="Times New Roman" w:eastAsia="宋体" w:cs="Times New Roman"/>
                      <w:bCs/>
                      <w:color w:val="auto"/>
                      <w:kern w:val="0"/>
                      <w:sz w:val="18"/>
                      <w:szCs w:val="18"/>
                      <w:highlight w:val="none"/>
                      <w:lang w:val="en-US" w:eastAsia="zh-CN" w:bidi="ar-SA"/>
                    </w:rPr>
                  </w:pPr>
                  <w:r>
                    <w:rPr>
                      <w:rFonts w:hint="eastAsia"/>
                      <w:bCs/>
                      <w:color w:val="auto"/>
                      <w:kern w:val="0"/>
                      <w:sz w:val="18"/>
                      <w:szCs w:val="18"/>
                      <w:highlight w:val="none"/>
                      <w:lang w:val="en-US" w:eastAsia="zh-CN"/>
                    </w:rPr>
                    <w:t>8</w:t>
                  </w:r>
                </w:p>
              </w:tc>
              <w:tc>
                <w:tcPr>
                  <w:tcW w:w="440" w:type="pct"/>
                  <w:shd w:val="clear" w:color="auto" w:fill="auto"/>
                  <w:noWrap w:val="0"/>
                  <w:vAlign w:val="center"/>
                </w:tcPr>
                <w:p w14:paraId="6A57D52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污泥</w:t>
                  </w:r>
                </w:p>
              </w:tc>
              <w:tc>
                <w:tcPr>
                  <w:tcW w:w="751" w:type="pct"/>
                  <w:shd w:val="clear" w:color="auto" w:fill="auto"/>
                  <w:noWrap w:val="0"/>
                  <w:vAlign w:val="center"/>
                </w:tcPr>
                <w:p w14:paraId="0737DE38">
                  <w:pPr>
                    <w:keepNext w:val="0"/>
                    <w:keepLines w:val="0"/>
                    <w:pageBreakBefore w:val="0"/>
                    <w:kinsoku/>
                    <w:wordWrap/>
                    <w:overflowPunct/>
                    <w:autoSpaceDE/>
                    <w:autoSpaceDN/>
                    <w:bidi w:val="0"/>
                    <w:spacing w:line="240" w:lineRule="auto"/>
                    <w:jc w:val="center"/>
                    <w:rPr>
                      <w:rFonts w:hint="eastAsia"/>
                      <w:color w:val="auto"/>
                      <w:sz w:val="18"/>
                      <w:szCs w:val="18"/>
                      <w:highlight w:val="none"/>
                      <w:lang w:val="en-US" w:eastAsia="zh-CN"/>
                    </w:rPr>
                  </w:pPr>
                  <w:r>
                    <w:rPr>
                      <w:rFonts w:hint="eastAsia"/>
                      <w:color w:val="auto"/>
                      <w:sz w:val="18"/>
                      <w:szCs w:val="18"/>
                      <w:highlight w:val="none"/>
                      <w:lang w:val="en-US" w:eastAsia="zh-CN"/>
                    </w:rPr>
                    <w:t>HW17</w:t>
                  </w:r>
                </w:p>
                <w:p w14:paraId="18CE7B5A">
                  <w:pPr>
                    <w:keepNext w:val="0"/>
                    <w:keepLines w:val="0"/>
                    <w:pageBreakBefore w:val="0"/>
                    <w:widowControl/>
                    <w:kinsoku/>
                    <w:wordWrap/>
                    <w:overflowPunct/>
                    <w:autoSpaceDE/>
                    <w:autoSpaceDN/>
                    <w:bidi w:val="0"/>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336-064-17</w:t>
                  </w:r>
                </w:p>
              </w:tc>
              <w:tc>
                <w:tcPr>
                  <w:tcW w:w="631" w:type="pct"/>
                  <w:shd w:val="clear" w:color="auto" w:fill="auto"/>
                  <w:noWrap w:val="0"/>
                  <w:vAlign w:val="center"/>
                </w:tcPr>
                <w:p w14:paraId="5CE2ED84">
                  <w:pPr>
                    <w:keepNext w:val="0"/>
                    <w:keepLines w:val="0"/>
                    <w:pageBreakBefore w:val="0"/>
                    <w:widowControl/>
                    <w:kinsoku/>
                    <w:wordWrap/>
                    <w:overflowPunct/>
                    <w:autoSpaceDE/>
                    <w:autoSpaceDN/>
                    <w:bidi w:val="0"/>
                    <w:spacing w:line="240" w:lineRule="auto"/>
                    <w:jc w:val="center"/>
                    <w:rPr>
                      <w:rFonts w:hint="default" w:ascii="Times New Roman" w:hAnsi="Times New Roman" w:eastAsia="宋体" w:cs="Times New Roman"/>
                      <w:color w:val="auto"/>
                      <w:kern w:val="0"/>
                      <w:sz w:val="18"/>
                      <w:szCs w:val="18"/>
                      <w:highlight w:val="none"/>
                      <w:lang w:val="en-US" w:eastAsia="zh-CN" w:bidi="ar-SA"/>
                    </w:rPr>
                  </w:pPr>
                  <w:r>
                    <w:rPr>
                      <w:rFonts w:hint="eastAsia"/>
                      <w:color w:val="auto"/>
                      <w:kern w:val="0"/>
                      <w:sz w:val="18"/>
                      <w:szCs w:val="18"/>
                      <w:highlight w:val="none"/>
                      <w:lang w:val="en-US" w:eastAsia="zh-CN"/>
                    </w:rPr>
                    <w:t>5</w:t>
                  </w:r>
                </w:p>
              </w:tc>
              <w:tc>
                <w:tcPr>
                  <w:tcW w:w="316" w:type="pct"/>
                  <w:shd w:val="clear" w:color="auto" w:fill="auto"/>
                  <w:noWrap w:val="0"/>
                  <w:vAlign w:val="center"/>
                </w:tcPr>
                <w:p w14:paraId="06C36FA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酸性废水处理站</w:t>
                  </w:r>
                </w:p>
              </w:tc>
              <w:tc>
                <w:tcPr>
                  <w:tcW w:w="290" w:type="pct"/>
                  <w:shd w:val="clear" w:color="auto" w:fill="auto"/>
                  <w:noWrap w:val="0"/>
                  <w:vAlign w:val="center"/>
                </w:tcPr>
                <w:p w14:paraId="3653912D">
                  <w:pPr>
                    <w:keepNext w:val="0"/>
                    <w:keepLines w:val="0"/>
                    <w:pageBreakBefore w:val="0"/>
                    <w:kinsoku/>
                    <w:wordWrap/>
                    <w:overflowPunct/>
                    <w:autoSpaceDE/>
                    <w:autoSpaceDN/>
                    <w:bidi w:val="0"/>
                    <w:spacing w:line="240" w:lineRule="auto"/>
                    <w:jc w:val="center"/>
                    <w:rPr>
                      <w:rFonts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液态</w:t>
                  </w:r>
                </w:p>
              </w:tc>
              <w:tc>
                <w:tcPr>
                  <w:tcW w:w="441" w:type="pct"/>
                  <w:noWrap w:val="0"/>
                  <w:vAlign w:val="center"/>
                </w:tcPr>
                <w:p w14:paraId="13320C5C">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hint="eastAsia"/>
                      <w:bCs/>
                      <w:color w:val="auto"/>
                      <w:kern w:val="0"/>
                      <w:sz w:val="18"/>
                      <w:szCs w:val="18"/>
                      <w:highlight w:val="none"/>
                      <w:lang w:val="en-US" w:eastAsia="zh-CN"/>
                    </w:rPr>
                    <w:t>氧化铁、废酸</w:t>
                  </w:r>
                </w:p>
              </w:tc>
              <w:tc>
                <w:tcPr>
                  <w:tcW w:w="441" w:type="pct"/>
                  <w:noWrap w:val="0"/>
                  <w:vAlign w:val="center"/>
                </w:tcPr>
                <w:p w14:paraId="3D5FD050">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hint="eastAsia"/>
                      <w:bCs/>
                      <w:color w:val="auto"/>
                      <w:kern w:val="0"/>
                      <w:sz w:val="18"/>
                      <w:szCs w:val="18"/>
                      <w:highlight w:val="none"/>
                      <w:lang w:val="en-US" w:eastAsia="zh-CN"/>
                    </w:rPr>
                    <w:t>废矿物油</w:t>
                  </w:r>
                </w:p>
              </w:tc>
              <w:tc>
                <w:tcPr>
                  <w:tcW w:w="390" w:type="pct"/>
                  <w:noWrap w:val="0"/>
                  <w:vAlign w:val="center"/>
                </w:tcPr>
                <w:p w14:paraId="296ADB9E">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hint="eastAsia"/>
                      <w:bCs/>
                      <w:color w:val="auto"/>
                      <w:kern w:val="0"/>
                      <w:sz w:val="18"/>
                      <w:szCs w:val="18"/>
                      <w:highlight w:val="none"/>
                      <w:lang w:val="en-US" w:eastAsia="zh-CN"/>
                    </w:rPr>
                    <w:t>每年</w:t>
                  </w:r>
                </w:p>
              </w:tc>
              <w:tc>
                <w:tcPr>
                  <w:tcW w:w="476" w:type="pct"/>
                  <w:noWrap w:val="0"/>
                  <w:vAlign w:val="center"/>
                </w:tcPr>
                <w:p w14:paraId="08C6E882">
                  <w:pPr>
                    <w:keepNext w:val="0"/>
                    <w:keepLines w:val="0"/>
                    <w:pageBreakBefore w:val="0"/>
                    <w:kinsoku/>
                    <w:wordWrap/>
                    <w:overflowPunct/>
                    <w:autoSpaceDE/>
                    <w:autoSpaceDN/>
                    <w:bidi w:val="0"/>
                    <w:adjustRightInd w:val="0"/>
                    <w:spacing w:line="240" w:lineRule="auto"/>
                    <w:jc w:val="center"/>
                    <w:textAlignment w:val="center"/>
                    <w:rPr>
                      <w:rFonts w:ascii="Times New Roman" w:hAnsi="Times New Roman"/>
                      <w:color w:val="auto"/>
                      <w:kern w:val="0"/>
                      <w:sz w:val="18"/>
                      <w:szCs w:val="18"/>
                      <w:highlight w:val="none"/>
                    </w:rPr>
                  </w:pPr>
                  <w:r>
                    <w:rPr>
                      <w:rFonts w:hint="eastAsia"/>
                      <w:color w:val="auto"/>
                      <w:kern w:val="0"/>
                      <w:sz w:val="18"/>
                      <w:szCs w:val="18"/>
                      <w:highlight w:val="none"/>
                      <w:lang w:val="en-US" w:eastAsia="zh-CN"/>
                    </w:rPr>
                    <w:t>T/C</w:t>
                  </w:r>
                </w:p>
              </w:tc>
              <w:tc>
                <w:tcPr>
                  <w:tcW w:w="531" w:type="pct"/>
                  <w:vMerge w:val="continue"/>
                  <w:noWrap w:val="0"/>
                  <w:vAlign w:val="center"/>
                </w:tcPr>
                <w:p w14:paraId="34C407DF">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p>
              </w:tc>
            </w:tr>
            <w:tr w14:paraId="5CA0FE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88" w:type="pct"/>
                  <w:shd w:val="clear" w:color="auto" w:fill="auto"/>
                  <w:noWrap w:val="0"/>
                  <w:vAlign w:val="center"/>
                </w:tcPr>
                <w:p w14:paraId="6BCD0819">
                  <w:pPr>
                    <w:keepNext w:val="0"/>
                    <w:keepLines w:val="0"/>
                    <w:pageBreakBefore w:val="0"/>
                    <w:kinsoku/>
                    <w:wordWrap/>
                    <w:overflowPunct/>
                    <w:topLinePunct/>
                    <w:autoSpaceDE/>
                    <w:autoSpaceDN/>
                    <w:bidi w:val="0"/>
                    <w:adjustRightInd w:val="0"/>
                    <w:snapToGrid w:val="0"/>
                    <w:spacing w:line="240" w:lineRule="auto"/>
                    <w:jc w:val="center"/>
                    <w:rPr>
                      <w:rFonts w:hint="default" w:ascii="Times New Roman" w:hAnsi="Times New Roman" w:eastAsia="宋体" w:cs="Times New Roman"/>
                      <w:bCs/>
                      <w:color w:val="auto"/>
                      <w:kern w:val="0"/>
                      <w:sz w:val="18"/>
                      <w:szCs w:val="18"/>
                      <w:highlight w:val="none"/>
                      <w:lang w:val="en-US" w:eastAsia="zh-CN" w:bidi="ar-SA"/>
                    </w:rPr>
                  </w:pPr>
                  <w:r>
                    <w:rPr>
                      <w:rFonts w:hint="eastAsia"/>
                      <w:bCs/>
                      <w:color w:val="auto"/>
                      <w:kern w:val="0"/>
                      <w:sz w:val="18"/>
                      <w:szCs w:val="18"/>
                      <w:highlight w:val="none"/>
                      <w:lang w:val="en-US" w:eastAsia="zh-CN"/>
                    </w:rPr>
                    <w:t>9</w:t>
                  </w:r>
                </w:p>
              </w:tc>
              <w:tc>
                <w:tcPr>
                  <w:tcW w:w="440" w:type="pct"/>
                  <w:shd w:val="clear" w:color="auto" w:fill="auto"/>
                  <w:noWrap w:val="0"/>
                  <w:vAlign w:val="center"/>
                </w:tcPr>
                <w:p w14:paraId="34B33A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废液压油</w:t>
                  </w:r>
                </w:p>
              </w:tc>
              <w:tc>
                <w:tcPr>
                  <w:tcW w:w="751" w:type="pct"/>
                  <w:shd w:val="clear" w:color="auto" w:fill="auto"/>
                  <w:noWrap w:val="0"/>
                  <w:vAlign w:val="center"/>
                </w:tcPr>
                <w:p w14:paraId="11FD44D2">
                  <w:pPr>
                    <w:keepNext w:val="0"/>
                    <w:keepLines w:val="0"/>
                    <w:pageBreakBefore w:val="0"/>
                    <w:widowControl/>
                    <w:kinsoku/>
                    <w:wordWrap/>
                    <w:overflowPunct/>
                    <w:autoSpaceDE/>
                    <w:autoSpaceDN/>
                    <w:bidi w:val="0"/>
                    <w:spacing w:line="240" w:lineRule="auto"/>
                    <w:jc w:val="center"/>
                    <w:rPr>
                      <w:rFonts w:hint="eastAsia"/>
                      <w:color w:val="auto"/>
                      <w:sz w:val="18"/>
                      <w:szCs w:val="18"/>
                      <w:highlight w:val="none"/>
                      <w:lang w:val="en-US" w:eastAsia="zh-CN"/>
                    </w:rPr>
                  </w:pPr>
                  <w:r>
                    <w:rPr>
                      <w:rFonts w:hint="eastAsia"/>
                      <w:color w:val="auto"/>
                      <w:sz w:val="18"/>
                      <w:szCs w:val="18"/>
                      <w:highlight w:val="none"/>
                      <w:lang w:val="en-US" w:eastAsia="zh-CN"/>
                    </w:rPr>
                    <w:t>HW08</w:t>
                  </w:r>
                </w:p>
                <w:p w14:paraId="4AE02B03">
                  <w:pPr>
                    <w:keepNext w:val="0"/>
                    <w:keepLines w:val="0"/>
                    <w:pageBreakBefore w:val="0"/>
                    <w:widowControl/>
                    <w:kinsoku/>
                    <w:wordWrap/>
                    <w:overflowPunct/>
                    <w:autoSpaceDE/>
                    <w:autoSpaceDN/>
                    <w:bidi w:val="0"/>
                    <w:spacing w:line="240" w:lineRule="auto"/>
                    <w:jc w:val="center"/>
                    <w:rPr>
                      <w:rFonts w:ascii="Times New Roman" w:hAnsi="Times New Roman" w:eastAsia="宋体" w:cs="Times New Roman"/>
                      <w:color w:val="auto"/>
                      <w:kern w:val="0"/>
                      <w:sz w:val="18"/>
                      <w:szCs w:val="18"/>
                      <w:highlight w:val="none"/>
                      <w:lang w:val="en-US" w:eastAsia="zh-CN" w:bidi="ar-SA"/>
                    </w:rPr>
                  </w:pPr>
                  <w:r>
                    <w:rPr>
                      <w:rFonts w:hint="eastAsia"/>
                      <w:color w:val="auto"/>
                      <w:sz w:val="18"/>
                      <w:szCs w:val="18"/>
                      <w:highlight w:val="none"/>
                      <w:lang w:val="en-US" w:eastAsia="zh-CN"/>
                    </w:rPr>
                    <w:t>900-218-08</w:t>
                  </w:r>
                </w:p>
              </w:tc>
              <w:tc>
                <w:tcPr>
                  <w:tcW w:w="631" w:type="pct"/>
                  <w:shd w:val="clear" w:color="auto" w:fill="auto"/>
                  <w:noWrap w:val="0"/>
                  <w:vAlign w:val="center"/>
                </w:tcPr>
                <w:p w14:paraId="5AC61AD2">
                  <w:pPr>
                    <w:keepNext w:val="0"/>
                    <w:keepLines w:val="0"/>
                    <w:pageBreakBefore w:val="0"/>
                    <w:widowControl/>
                    <w:kinsoku/>
                    <w:wordWrap/>
                    <w:overflowPunct/>
                    <w:autoSpaceDE/>
                    <w:autoSpaceDN/>
                    <w:bidi w:val="0"/>
                    <w:spacing w:line="240" w:lineRule="auto"/>
                    <w:jc w:val="center"/>
                    <w:rPr>
                      <w:rFonts w:hint="default" w:ascii="Times New Roman" w:hAnsi="Times New Roman" w:eastAsia="宋体" w:cs="Times New Roman"/>
                      <w:color w:val="auto"/>
                      <w:kern w:val="0"/>
                      <w:sz w:val="18"/>
                      <w:szCs w:val="18"/>
                      <w:highlight w:val="none"/>
                      <w:lang w:val="en-US" w:eastAsia="zh-CN" w:bidi="ar-SA"/>
                    </w:rPr>
                  </w:pPr>
                  <w:r>
                    <w:rPr>
                      <w:rFonts w:hint="eastAsia"/>
                      <w:color w:val="auto"/>
                      <w:kern w:val="0"/>
                      <w:sz w:val="18"/>
                      <w:szCs w:val="18"/>
                      <w:highlight w:val="none"/>
                      <w:lang w:val="en-US" w:eastAsia="zh-CN"/>
                    </w:rPr>
                    <w:t>20</w:t>
                  </w:r>
                </w:p>
              </w:tc>
              <w:tc>
                <w:tcPr>
                  <w:tcW w:w="316" w:type="pct"/>
                  <w:vMerge w:val="restart"/>
                  <w:shd w:val="clear" w:color="auto" w:fill="auto"/>
                  <w:noWrap w:val="0"/>
                  <w:vAlign w:val="center"/>
                </w:tcPr>
                <w:p w14:paraId="1C3F27F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sz w:val="18"/>
                      <w:szCs w:val="18"/>
                      <w:highlight w:val="none"/>
                      <w:vertAlign w:val="baseline"/>
                      <w:lang w:val="en-US" w:eastAsia="zh-CN"/>
                    </w:rPr>
                    <w:t>设备维护检修</w:t>
                  </w:r>
                </w:p>
              </w:tc>
              <w:tc>
                <w:tcPr>
                  <w:tcW w:w="290" w:type="pct"/>
                  <w:shd w:val="clear" w:color="auto" w:fill="auto"/>
                  <w:noWrap w:val="0"/>
                  <w:vAlign w:val="center"/>
                </w:tcPr>
                <w:p w14:paraId="645899C7">
                  <w:pPr>
                    <w:keepNext w:val="0"/>
                    <w:keepLines w:val="0"/>
                    <w:pageBreakBefore w:val="0"/>
                    <w:kinsoku/>
                    <w:wordWrap/>
                    <w:overflowPunct/>
                    <w:autoSpaceDE/>
                    <w:autoSpaceDN/>
                    <w:bidi w:val="0"/>
                    <w:spacing w:line="240" w:lineRule="auto"/>
                    <w:jc w:val="center"/>
                    <w:rPr>
                      <w:rFonts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液态</w:t>
                  </w:r>
                </w:p>
              </w:tc>
              <w:tc>
                <w:tcPr>
                  <w:tcW w:w="441" w:type="pct"/>
                  <w:noWrap w:val="0"/>
                  <w:vAlign w:val="center"/>
                </w:tcPr>
                <w:p w14:paraId="3F33236A">
                  <w:pPr>
                    <w:keepNext w:val="0"/>
                    <w:keepLines w:val="0"/>
                    <w:pageBreakBefore w:val="0"/>
                    <w:kinsoku/>
                    <w:wordWrap/>
                    <w:overflowPunct/>
                    <w:topLinePunct/>
                    <w:autoSpaceDE/>
                    <w:autoSpaceDN/>
                    <w:bidi w:val="0"/>
                    <w:adjustRightInd w:val="0"/>
                    <w:snapToGrid w:val="0"/>
                    <w:spacing w:line="240" w:lineRule="auto"/>
                    <w:jc w:val="center"/>
                    <w:rPr>
                      <w:rFonts w:hint="eastAsia" w:ascii="Times New Roman" w:hAnsi="Times New Roman" w:eastAsia="宋体"/>
                      <w:bCs/>
                      <w:color w:val="auto"/>
                      <w:kern w:val="0"/>
                      <w:sz w:val="18"/>
                      <w:szCs w:val="18"/>
                      <w:highlight w:val="none"/>
                      <w:lang w:val="en-US" w:eastAsia="zh-CN"/>
                    </w:rPr>
                  </w:pPr>
                  <w:r>
                    <w:rPr>
                      <w:rFonts w:hint="eastAsia"/>
                      <w:bCs/>
                      <w:color w:val="auto"/>
                      <w:kern w:val="0"/>
                      <w:sz w:val="18"/>
                      <w:szCs w:val="18"/>
                      <w:highlight w:val="none"/>
                      <w:lang w:val="en-US" w:eastAsia="zh-CN"/>
                    </w:rPr>
                    <w:t>废矿物油</w:t>
                  </w:r>
                </w:p>
              </w:tc>
              <w:tc>
                <w:tcPr>
                  <w:tcW w:w="441" w:type="pct"/>
                  <w:noWrap w:val="0"/>
                  <w:vAlign w:val="center"/>
                </w:tcPr>
                <w:p w14:paraId="0960E2F0">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hint="eastAsia"/>
                      <w:bCs/>
                      <w:color w:val="auto"/>
                      <w:kern w:val="0"/>
                      <w:sz w:val="18"/>
                      <w:szCs w:val="18"/>
                      <w:highlight w:val="none"/>
                      <w:lang w:val="en-US" w:eastAsia="zh-CN"/>
                    </w:rPr>
                    <w:t>废矿物油</w:t>
                  </w:r>
                </w:p>
              </w:tc>
              <w:tc>
                <w:tcPr>
                  <w:tcW w:w="390" w:type="pct"/>
                  <w:noWrap w:val="0"/>
                  <w:vAlign w:val="center"/>
                </w:tcPr>
                <w:p w14:paraId="50591602">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hint="eastAsia"/>
                      <w:bCs/>
                      <w:color w:val="auto"/>
                      <w:kern w:val="0"/>
                      <w:sz w:val="18"/>
                      <w:szCs w:val="18"/>
                      <w:highlight w:val="none"/>
                      <w:lang w:val="en-US" w:eastAsia="zh-CN"/>
                    </w:rPr>
                    <w:t>每年</w:t>
                  </w:r>
                </w:p>
              </w:tc>
              <w:tc>
                <w:tcPr>
                  <w:tcW w:w="476" w:type="pct"/>
                  <w:noWrap w:val="0"/>
                  <w:vAlign w:val="center"/>
                </w:tcPr>
                <w:p w14:paraId="6D65A21F">
                  <w:pPr>
                    <w:keepNext w:val="0"/>
                    <w:keepLines w:val="0"/>
                    <w:pageBreakBefore w:val="0"/>
                    <w:kinsoku/>
                    <w:wordWrap/>
                    <w:overflowPunct/>
                    <w:autoSpaceDE/>
                    <w:autoSpaceDN/>
                    <w:bidi w:val="0"/>
                    <w:adjustRightInd w:val="0"/>
                    <w:spacing w:line="240" w:lineRule="auto"/>
                    <w:jc w:val="center"/>
                    <w:textAlignment w:val="center"/>
                    <w:rPr>
                      <w:rFonts w:ascii="Times New Roman" w:hAnsi="Times New Roman"/>
                      <w:color w:val="auto"/>
                      <w:kern w:val="0"/>
                      <w:sz w:val="18"/>
                      <w:szCs w:val="18"/>
                      <w:highlight w:val="none"/>
                    </w:rPr>
                  </w:pPr>
                  <w:r>
                    <w:rPr>
                      <w:rFonts w:hint="eastAsia" w:cs="Times New Roman"/>
                      <w:color w:val="auto"/>
                      <w:kern w:val="0"/>
                      <w:sz w:val="18"/>
                      <w:szCs w:val="18"/>
                      <w:highlight w:val="none"/>
                      <w:lang w:val="en-US" w:eastAsia="zh-CN" w:bidi="ar-SA"/>
                    </w:rPr>
                    <w:t>T,I</w:t>
                  </w:r>
                </w:p>
              </w:tc>
              <w:tc>
                <w:tcPr>
                  <w:tcW w:w="531" w:type="pct"/>
                  <w:vMerge w:val="continue"/>
                  <w:noWrap w:val="0"/>
                  <w:vAlign w:val="center"/>
                </w:tcPr>
                <w:p w14:paraId="630C4960">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p>
              </w:tc>
            </w:tr>
            <w:tr w14:paraId="103C18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88" w:type="pct"/>
                  <w:shd w:val="clear" w:color="auto" w:fill="auto"/>
                  <w:noWrap w:val="0"/>
                  <w:vAlign w:val="center"/>
                </w:tcPr>
                <w:p w14:paraId="1956AD1E">
                  <w:pPr>
                    <w:keepNext w:val="0"/>
                    <w:keepLines w:val="0"/>
                    <w:pageBreakBefore w:val="0"/>
                    <w:kinsoku/>
                    <w:wordWrap/>
                    <w:overflowPunct/>
                    <w:topLinePunct/>
                    <w:autoSpaceDE/>
                    <w:autoSpaceDN/>
                    <w:bidi w:val="0"/>
                    <w:adjustRightInd w:val="0"/>
                    <w:snapToGrid w:val="0"/>
                    <w:spacing w:line="240" w:lineRule="auto"/>
                    <w:jc w:val="center"/>
                    <w:rPr>
                      <w:rFonts w:hint="default" w:ascii="Times New Roman" w:hAnsi="Times New Roman" w:eastAsia="宋体" w:cs="Times New Roman"/>
                      <w:bCs/>
                      <w:color w:val="auto"/>
                      <w:kern w:val="0"/>
                      <w:sz w:val="18"/>
                      <w:szCs w:val="18"/>
                      <w:highlight w:val="none"/>
                      <w:lang w:val="en-US" w:eastAsia="zh-CN" w:bidi="ar-SA"/>
                    </w:rPr>
                  </w:pPr>
                  <w:r>
                    <w:rPr>
                      <w:rFonts w:hint="eastAsia"/>
                      <w:bCs/>
                      <w:color w:val="auto"/>
                      <w:kern w:val="0"/>
                      <w:sz w:val="18"/>
                      <w:szCs w:val="18"/>
                      <w:highlight w:val="none"/>
                      <w:lang w:val="en-US" w:eastAsia="zh-CN"/>
                    </w:rPr>
                    <w:t>10</w:t>
                  </w:r>
                </w:p>
              </w:tc>
              <w:tc>
                <w:tcPr>
                  <w:tcW w:w="440" w:type="pct"/>
                  <w:shd w:val="clear" w:color="auto" w:fill="auto"/>
                  <w:noWrap w:val="0"/>
                  <w:vAlign w:val="center"/>
                </w:tcPr>
                <w:p w14:paraId="677DBD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废齿轮油</w:t>
                  </w:r>
                </w:p>
              </w:tc>
              <w:tc>
                <w:tcPr>
                  <w:tcW w:w="751" w:type="pct"/>
                  <w:shd w:val="clear" w:color="auto" w:fill="auto"/>
                  <w:noWrap w:val="0"/>
                  <w:vAlign w:val="center"/>
                </w:tcPr>
                <w:p w14:paraId="57E28C1C">
                  <w:pPr>
                    <w:keepNext w:val="0"/>
                    <w:keepLines w:val="0"/>
                    <w:pageBreakBefore w:val="0"/>
                    <w:widowControl/>
                    <w:kinsoku/>
                    <w:wordWrap/>
                    <w:overflowPunct/>
                    <w:autoSpaceDE/>
                    <w:autoSpaceDN/>
                    <w:bidi w:val="0"/>
                    <w:spacing w:line="240" w:lineRule="auto"/>
                    <w:jc w:val="center"/>
                    <w:rPr>
                      <w:rFonts w:hint="eastAsia"/>
                      <w:color w:val="auto"/>
                      <w:sz w:val="18"/>
                      <w:szCs w:val="18"/>
                      <w:highlight w:val="none"/>
                      <w:lang w:val="en-US" w:eastAsia="zh-CN"/>
                    </w:rPr>
                  </w:pPr>
                  <w:r>
                    <w:rPr>
                      <w:rFonts w:hint="eastAsia"/>
                      <w:color w:val="auto"/>
                      <w:sz w:val="18"/>
                      <w:szCs w:val="18"/>
                      <w:highlight w:val="none"/>
                      <w:lang w:val="en-US" w:eastAsia="zh-CN"/>
                    </w:rPr>
                    <w:t>HW08</w:t>
                  </w:r>
                </w:p>
                <w:p w14:paraId="1CB08418">
                  <w:pPr>
                    <w:keepNext w:val="0"/>
                    <w:keepLines w:val="0"/>
                    <w:pageBreakBefore w:val="0"/>
                    <w:widowControl/>
                    <w:kinsoku/>
                    <w:wordWrap/>
                    <w:overflowPunct/>
                    <w:autoSpaceDE/>
                    <w:autoSpaceDN/>
                    <w:bidi w:val="0"/>
                    <w:spacing w:line="240" w:lineRule="auto"/>
                    <w:jc w:val="center"/>
                    <w:rPr>
                      <w:rFonts w:ascii="Times New Roman" w:hAnsi="Times New Roman" w:eastAsia="宋体" w:cs="Times New Roman"/>
                      <w:color w:val="auto"/>
                      <w:kern w:val="0"/>
                      <w:sz w:val="18"/>
                      <w:szCs w:val="18"/>
                      <w:highlight w:val="none"/>
                      <w:lang w:val="en-US" w:eastAsia="zh-CN" w:bidi="ar-SA"/>
                    </w:rPr>
                  </w:pPr>
                  <w:r>
                    <w:rPr>
                      <w:rFonts w:hint="eastAsia"/>
                      <w:color w:val="auto"/>
                      <w:sz w:val="18"/>
                      <w:szCs w:val="18"/>
                      <w:highlight w:val="none"/>
                      <w:lang w:val="en-US" w:eastAsia="zh-CN"/>
                    </w:rPr>
                    <w:t>900-217-08</w:t>
                  </w:r>
                </w:p>
              </w:tc>
              <w:tc>
                <w:tcPr>
                  <w:tcW w:w="631" w:type="pct"/>
                  <w:shd w:val="clear" w:color="auto" w:fill="auto"/>
                  <w:noWrap w:val="0"/>
                  <w:vAlign w:val="center"/>
                </w:tcPr>
                <w:p w14:paraId="6FA5850F">
                  <w:pPr>
                    <w:keepNext w:val="0"/>
                    <w:keepLines w:val="0"/>
                    <w:pageBreakBefore w:val="0"/>
                    <w:widowControl/>
                    <w:kinsoku/>
                    <w:wordWrap/>
                    <w:overflowPunct/>
                    <w:autoSpaceDE/>
                    <w:autoSpaceDN/>
                    <w:bidi w:val="0"/>
                    <w:spacing w:line="240" w:lineRule="auto"/>
                    <w:jc w:val="center"/>
                    <w:rPr>
                      <w:rFonts w:hint="default" w:ascii="Times New Roman" w:hAnsi="Times New Roman" w:eastAsia="宋体" w:cs="Times New Roman"/>
                      <w:color w:val="auto"/>
                      <w:kern w:val="0"/>
                      <w:sz w:val="18"/>
                      <w:szCs w:val="18"/>
                      <w:highlight w:val="none"/>
                      <w:lang w:val="en-US" w:eastAsia="zh-CN" w:bidi="ar-SA"/>
                    </w:rPr>
                  </w:pPr>
                  <w:r>
                    <w:rPr>
                      <w:rFonts w:hint="eastAsia"/>
                      <w:color w:val="auto"/>
                      <w:kern w:val="0"/>
                      <w:sz w:val="18"/>
                      <w:szCs w:val="18"/>
                      <w:highlight w:val="none"/>
                      <w:lang w:val="en-US" w:eastAsia="zh-CN"/>
                    </w:rPr>
                    <w:t>2</w:t>
                  </w:r>
                </w:p>
              </w:tc>
              <w:tc>
                <w:tcPr>
                  <w:tcW w:w="316" w:type="pct"/>
                  <w:vMerge w:val="continue"/>
                  <w:noWrap w:val="0"/>
                  <w:vAlign w:val="center"/>
                </w:tcPr>
                <w:p w14:paraId="0E9D35BC">
                  <w:pPr>
                    <w:keepNext w:val="0"/>
                    <w:keepLines w:val="0"/>
                    <w:pageBreakBefore w:val="0"/>
                    <w:widowControl/>
                    <w:kinsoku/>
                    <w:wordWrap/>
                    <w:overflowPunct/>
                    <w:autoSpaceDE/>
                    <w:autoSpaceDN/>
                    <w:bidi w:val="0"/>
                    <w:spacing w:line="240" w:lineRule="auto"/>
                    <w:jc w:val="center"/>
                    <w:rPr>
                      <w:rFonts w:hint="eastAsia" w:ascii="Times New Roman" w:hAnsi="Times New Roman"/>
                      <w:color w:val="auto"/>
                      <w:kern w:val="0"/>
                      <w:sz w:val="18"/>
                      <w:szCs w:val="18"/>
                      <w:highlight w:val="none"/>
                    </w:rPr>
                  </w:pPr>
                </w:p>
              </w:tc>
              <w:tc>
                <w:tcPr>
                  <w:tcW w:w="290" w:type="pct"/>
                  <w:shd w:val="clear" w:color="auto" w:fill="auto"/>
                  <w:noWrap w:val="0"/>
                  <w:vAlign w:val="center"/>
                </w:tcPr>
                <w:p w14:paraId="1D4273C7">
                  <w:pPr>
                    <w:keepNext w:val="0"/>
                    <w:keepLines w:val="0"/>
                    <w:pageBreakBefore w:val="0"/>
                    <w:kinsoku/>
                    <w:wordWrap/>
                    <w:overflowPunct/>
                    <w:autoSpaceDE/>
                    <w:autoSpaceDN/>
                    <w:bidi w:val="0"/>
                    <w:spacing w:line="240" w:lineRule="auto"/>
                    <w:jc w:val="center"/>
                    <w:rPr>
                      <w:rFonts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液态</w:t>
                  </w:r>
                </w:p>
              </w:tc>
              <w:tc>
                <w:tcPr>
                  <w:tcW w:w="441" w:type="pct"/>
                  <w:noWrap w:val="0"/>
                  <w:vAlign w:val="center"/>
                </w:tcPr>
                <w:p w14:paraId="415F094E">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hint="eastAsia"/>
                      <w:bCs/>
                      <w:color w:val="auto"/>
                      <w:kern w:val="0"/>
                      <w:sz w:val="18"/>
                      <w:szCs w:val="18"/>
                      <w:highlight w:val="none"/>
                      <w:lang w:val="en-US" w:eastAsia="zh-CN"/>
                    </w:rPr>
                    <w:t>废矿物油</w:t>
                  </w:r>
                </w:p>
              </w:tc>
              <w:tc>
                <w:tcPr>
                  <w:tcW w:w="441" w:type="pct"/>
                  <w:noWrap w:val="0"/>
                  <w:vAlign w:val="center"/>
                </w:tcPr>
                <w:p w14:paraId="7A273A72">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hint="eastAsia"/>
                      <w:bCs/>
                      <w:color w:val="auto"/>
                      <w:kern w:val="0"/>
                      <w:sz w:val="18"/>
                      <w:szCs w:val="18"/>
                      <w:highlight w:val="none"/>
                      <w:lang w:val="en-US" w:eastAsia="zh-CN"/>
                    </w:rPr>
                    <w:t>废矿物油</w:t>
                  </w:r>
                </w:p>
              </w:tc>
              <w:tc>
                <w:tcPr>
                  <w:tcW w:w="390" w:type="pct"/>
                  <w:noWrap w:val="0"/>
                  <w:vAlign w:val="center"/>
                </w:tcPr>
                <w:p w14:paraId="2DAF231F">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hint="eastAsia"/>
                      <w:bCs/>
                      <w:color w:val="auto"/>
                      <w:kern w:val="0"/>
                      <w:sz w:val="18"/>
                      <w:szCs w:val="18"/>
                      <w:highlight w:val="none"/>
                      <w:lang w:val="en-US" w:eastAsia="zh-CN"/>
                    </w:rPr>
                    <w:t>每年</w:t>
                  </w:r>
                </w:p>
              </w:tc>
              <w:tc>
                <w:tcPr>
                  <w:tcW w:w="476" w:type="pct"/>
                  <w:noWrap w:val="0"/>
                  <w:vAlign w:val="center"/>
                </w:tcPr>
                <w:p w14:paraId="49EAA9D2">
                  <w:pPr>
                    <w:keepNext w:val="0"/>
                    <w:keepLines w:val="0"/>
                    <w:pageBreakBefore w:val="0"/>
                    <w:kinsoku/>
                    <w:wordWrap/>
                    <w:overflowPunct/>
                    <w:autoSpaceDE/>
                    <w:autoSpaceDN/>
                    <w:bidi w:val="0"/>
                    <w:adjustRightInd w:val="0"/>
                    <w:spacing w:line="240" w:lineRule="auto"/>
                    <w:jc w:val="center"/>
                    <w:textAlignment w:val="center"/>
                    <w:rPr>
                      <w:rFonts w:ascii="Times New Roman" w:hAnsi="Times New Roman"/>
                      <w:color w:val="auto"/>
                      <w:kern w:val="0"/>
                      <w:sz w:val="18"/>
                      <w:szCs w:val="18"/>
                      <w:highlight w:val="none"/>
                    </w:rPr>
                  </w:pPr>
                  <w:r>
                    <w:rPr>
                      <w:rFonts w:hint="eastAsia" w:cs="Times New Roman"/>
                      <w:color w:val="auto"/>
                      <w:kern w:val="0"/>
                      <w:sz w:val="18"/>
                      <w:szCs w:val="18"/>
                      <w:highlight w:val="none"/>
                      <w:lang w:val="en-US" w:eastAsia="zh-CN" w:bidi="ar-SA"/>
                    </w:rPr>
                    <w:t>T,I</w:t>
                  </w:r>
                </w:p>
              </w:tc>
              <w:tc>
                <w:tcPr>
                  <w:tcW w:w="531" w:type="pct"/>
                  <w:vMerge w:val="continue"/>
                  <w:noWrap w:val="0"/>
                  <w:vAlign w:val="center"/>
                </w:tcPr>
                <w:p w14:paraId="2BF37F2C">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p>
              </w:tc>
            </w:tr>
            <w:tr w14:paraId="2DE683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88" w:type="pct"/>
                  <w:noWrap w:val="0"/>
                  <w:vAlign w:val="center"/>
                </w:tcPr>
                <w:p w14:paraId="5160BA4E">
                  <w:pPr>
                    <w:keepNext w:val="0"/>
                    <w:keepLines w:val="0"/>
                    <w:pageBreakBefore w:val="0"/>
                    <w:kinsoku/>
                    <w:wordWrap/>
                    <w:overflowPunct/>
                    <w:topLinePunct/>
                    <w:autoSpaceDE/>
                    <w:autoSpaceDN/>
                    <w:bidi w:val="0"/>
                    <w:adjustRightInd w:val="0"/>
                    <w:snapToGrid w:val="0"/>
                    <w:spacing w:line="240" w:lineRule="auto"/>
                    <w:jc w:val="center"/>
                    <w:rPr>
                      <w:rFonts w:hint="default"/>
                      <w:bCs/>
                      <w:color w:val="auto"/>
                      <w:kern w:val="0"/>
                      <w:sz w:val="18"/>
                      <w:szCs w:val="18"/>
                      <w:highlight w:val="none"/>
                      <w:lang w:val="en-US" w:eastAsia="zh-CN"/>
                    </w:rPr>
                  </w:pPr>
                  <w:r>
                    <w:rPr>
                      <w:rFonts w:hint="eastAsia"/>
                      <w:bCs/>
                      <w:color w:val="auto"/>
                      <w:kern w:val="0"/>
                      <w:sz w:val="18"/>
                      <w:szCs w:val="18"/>
                      <w:highlight w:val="none"/>
                      <w:lang w:val="en-US" w:eastAsia="zh-CN"/>
                    </w:rPr>
                    <w:t>11</w:t>
                  </w:r>
                </w:p>
              </w:tc>
              <w:tc>
                <w:tcPr>
                  <w:tcW w:w="440" w:type="pct"/>
                  <w:shd w:val="clear" w:color="auto" w:fill="auto"/>
                  <w:noWrap w:val="0"/>
                  <w:vAlign w:val="center"/>
                </w:tcPr>
                <w:p w14:paraId="7228EC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废油桶</w:t>
                  </w:r>
                </w:p>
              </w:tc>
              <w:tc>
                <w:tcPr>
                  <w:tcW w:w="751" w:type="pct"/>
                  <w:shd w:val="clear" w:color="auto" w:fill="auto"/>
                  <w:noWrap w:val="0"/>
                  <w:vAlign w:val="center"/>
                </w:tcPr>
                <w:p w14:paraId="3B459891">
                  <w:pPr>
                    <w:keepNext w:val="0"/>
                    <w:keepLines w:val="0"/>
                    <w:pageBreakBefore w:val="0"/>
                    <w:widowControl/>
                    <w:kinsoku/>
                    <w:wordWrap/>
                    <w:overflowPunct/>
                    <w:autoSpaceDE/>
                    <w:autoSpaceDN/>
                    <w:bidi w:val="0"/>
                    <w:spacing w:line="240" w:lineRule="auto"/>
                    <w:jc w:val="center"/>
                    <w:rPr>
                      <w:rFonts w:hint="eastAsia"/>
                      <w:color w:val="auto"/>
                      <w:sz w:val="18"/>
                      <w:szCs w:val="18"/>
                      <w:highlight w:val="none"/>
                      <w:lang w:val="en-US" w:eastAsia="zh-CN"/>
                    </w:rPr>
                  </w:pPr>
                  <w:r>
                    <w:rPr>
                      <w:rFonts w:hint="eastAsia"/>
                      <w:color w:val="auto"/>
                      <w:sz w:val="18"/>
                      <w:szCs w:val="18"/>
                      <w:highlight w:val="none"/>
                      <w:lang w:val="en-US" w:eastAsia="zh-CN"/>
                    </w:rPr>
                    <w:t>HW08</w:t>
                  </w:r>
                </w:p>
                <w:p w14:paraId="6074CA9E">
                  <w:pPr>
                    <w:keepNext w:val="0"/>
                    <w:keepLines w:val="0"/>
                    <w:pageBreakBefore w:val="0"/>
                    <w:widowControl/>
                    <w:kinsoku/>
                    <w:wordWrap/>
                    <w:overflowPunct/>
                    <w:autoSpaceDE/>
                    <w:autoSpaceDN/>
                    <w:bidi w:val="0"/>
                    <w:spacing w:line="240" w:lineRule="auto"/>
                    <w:jc w:val="center"/>
                    <w:rPr>
                      <w:rFonts w:ascii="Times New Roman" w:hAnsi="Times New Roman" w:eastAsia="宋体" w:cs="Times New Roman"/>
                      <w:color w:val="auto"/>
                      <w:kern w:val="0"/>
                      <w:sz w:val="18"/>
                      <w:szCs w:val="18"/>
                      <w:highlight w:val="none"/>
                      <w:lang w:val="en-US" w:eastAsia="zh-CN" w:bidi="ar-SA"/>
                    </w:rPr>
                  </w:pPr>
                  <w:r>
                    <w:rPr>
                      <w:rFonts w:hint="eastAsia"/>
                      <w:color w:val="auto"/>
                      <w:sz w:val="18"/>
                      <w:szCs w:val="18"/>
                      <w:highlight w:val="none"/>
                      <w:lang w:val="en-US" w:eastAsia="zh-CN"/>
                    </w:rPr>
                    <w:t>900-249-08</w:t>
                  </w:r>
                </w:p>
              </w:tc>
              <w:tc>
                <w:tcPr>
                  <w:tcW w:w="631" w:type="pct"/>
                  <w:shd w:val="clear" w:color="auto" w:fill="auto"/>
                  <w:noWrap w:val="0"/>
                  <w:vAlign w:val="center"/>
                </w:tcPr>
                <w:p w14:paraId="250349BB">
                  <w:pPr>
                    <w:keepNext w:val="0"/>
                    <w:keepLines w:val="0"/>
                    <w:pageBreakBefore w:val="0"/>
                    <w:widowControl/>
                    <w:kinsoku/>
                    <w:wordWrap/>
                    <w:overflowPunct/>
                    <w:autoSpaceDE/>
                    <w:autoSpaceDN/>
                    <w:bidi w:val="0"/>
                    <w:spacing w:line="240" w:lineRule="auto"/>
                    <w:jc w:val="center"/>
                    <w:rPr>
                      <w:rFonts w:hint="default" w:ascii="Times New Roman" w:hAnsi="Times New Roman" w:eastAsia="宋体" w:cs="Times New Roman"/>
                      <w:color w:val="auto"/>
                      <w:kern w:val="0"/>
                      <w:sz w:val="18"/>
                      <w:szCs w:val="18"/>
                      <w:highlight w:val="none"/>
                      <w:lang w:val="en-US" w:eastAsia="zh-CN" w:bidi="ar-SA"/>
                    </w:rPr>
                  </w:pPr>
                  <w:r>
                    <w:rPr>
                      <w:rFonts w:hint="eastAsia"/>
                      <w:color w:val="auto"/>
                      <w:kern w:val="0"/>
                      <w:sz w:val="18"/>
                      <w:szCs w:val="18"/>
                      <w:highlight w:val="none"/>
                      <w:lang w:val="en-US" w:eastAsia="zh-CN"/>
                    </w:rPr>
                    <w:t>0.5</w:t>
                  </w:r>
                </w:p>
              </w:tc>
              <w:tc>
                <w:tcPr>
                  <w:tcW w:w="316" w:type="pct"/>
                  <w:vMerge w:val="continue"/>
                  <w:noWrap w:val="0"/>
                  <w:vAlign w:val="center"/>
                </w:tcPr>
                <w:p w14:paraId="684F012F">
                  <w:pPr>
                    <w:keepNext w:val="0"/>
                    <w:keepLines w:val="0"/>
                    <w:pageBreakBefore w:val="0"/>
                    <w:widowControl/>
                    <w:kinsoku/>
                    <w:wordWrap/>
                    <w:overflowPunct/>
                    <w:autoSpaceDE/>
                    <w:autoSpaceDN/>
                    <w:bidi w:val="0"/>
                    <w:spacing w:line="240" w:lineRule="auto"/>
                    <w:jc w:val="center"/>
                    <w:rPr>
                      <w:rFonts w:hint="eastAsia" w:ascii="Times New Roman" w:hAnsi="Times New Roman"/>
                      <w:color w:val="auto"/>
                      <w:kern w:val="0"/>
                      <w:sz w:val="18"/>
                      <w:szCs w:val="18"/>
                      <w:highlight w:val="none"/>
                    </w:rPr>
                  </w:pPr>
                </w:p>
              </w:tc>
              <w:tc>
                <w:tcPr>
                  <w:tcW w:w="290" w:type="pct"/>
                  <w:shd w:val="clear" w:color="auto" w:fill="auto"/>
                  <w:noWrap w:val="0"/>
                  <w:vAlign w:val="center"/>
                </w:tcPr>
                <w:p w14:paraId="3E184028">
                  <w:pPr>
                    <w:keepNext w:val="0"/>
                    <w:keepLines w:val="0"/>
                    <w:pageBreakBefore w:val="0"/>
                    <w:kinsoku/>
                    <w:wordWrap/>
                    <w:overflowPunct/>
                    <w:autoSpaceDE/>
                    <w:autoSpaceDN/>
                    <w:bidi w:val="0"/>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固态</w:t>
                  </w:r>
                </w:p>
              </w:tc>
              <w:tc>
                <w:tcPr>
                  <w:tcW w:w="441" w:type="pct"/>
                  <w:noWrap w:val="0"/>
                  <w:vAlign w:val="center"/>
                </w:tcPr>
                <w:p w14:paraId="49AC841B">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hint="eastAsia"/>
                      <w:bCs/>
                      <w:color w:val="auto"/>
                      <w:kern w:val="0"/>
                      <w:sz w:val="18"/>
                      <w:szCs w:val="18"/>
                      <w:highlight w:val="none"/>
                      <w:lang w:val="en-US" w:eastAsia="zh-CN"/>
                    </w:rPr>
                    <w:t>废矿物油</w:t>
                  </w:r>
                </w:p>
              </w:tc>
              <w:tc>
                <w:tcPr>
                  <w:tcW w:w="441" w:type="pct"/>
                  <w:noWrap w:val="0"/>
                  <w:vAlign w:val="center"/>
                </w:tcPr>
                <w:p w14:paraId="4D25F99F">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hint="eastAsia"/>
                      <w:bCs/>
                      <w:color w:val="auto"/>
                      <w:kern w:val="0"/>
                      <w:sz w:val="18"/>
                      <w:szCs w:val="18"/>
                      <w:highlight w:val="none"/>
                      <w:lang w:val="en-US" w:eastAsia="zh-CN"/>
                    </w:rPr>
                    <w:t>废矿物油</w:t>
                  </w:r>
                </w:p>
              </w:tc>
              <w:tc>
                <w:tcPr>
                  <w:tcW w:w="390" w:type="pct"/>
                  <w:noWrap w:val="0"/>
                  <w:vAlign w:val="center"/>
                </w:tcPr>
                <w:p w14:paraId="18D79EF3">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hint="eastAsia"/>
                      <w:bCs/>
                      <w:color w:val="auto"/>
                      <w:kern w:val="0"/>
                      <w:sz w:val="18"/>
                      <w:szCs w:val="18"/>
                      <w:highlight w:val="none"/>
                      <w:lang w:val="en-US" w:eastAsia="zh-CN"/>
                    </w:rPr>
                    <w:t>每年</w:t>
                  </w:r>
                </w:p>
              </w:tc>
              <w:tc>
                <w:tcPr>
                  <w:tcW w:w="476" w:type="pct"/>
                  <w:noWrap w:val="0"/>
                  <w:vAlign w:val="center"/>
                </w:tcPr>
                <w:p w14:paraId="52F97D72">
                  <w:pPr>
                    <w:keepNext w:val="0"/>
                    <w:keepLines w:val="0"/>
                    <w:pageBreakBefore w:val="0"/>
                    <w:kinsoku/>
                    <w:wordWrap/>
                    <w:overflowPunct/>
                    <w:autoSpaceDE/>
                    <w:autoSpaceDN/>
                    <w:bidi w:val="0"/>
                    <w:adjustRightInd w:val="0"/>
                    <w:spacing w:line="240" w:lineRule="auto"/>
                    <w:jc w:val="center"/>
                    <w:textAlignment w:val="center"/>
                    <w:rPr>
                      <w:rFonts w:ascii="Times New Roman" w:hAnsi="Times New Roman"/>
                      <w:color w:val="auto"/>
                      <w:kern w:val="0"/>
                      <w:sz w:val="18"/>
                      <w:szCs w:val="18"/>
                      <w:highlight w:val="none"/>
                    </w:rPr>
                  </w:pPr>
                  <w:r>
                    <w:rPr>
                      <w:rFonts w:hint="eastAsia" w:cs="Times New Roman"/>
                      <w:color w:val="auto"/>
                      <w:kern w:val="0"/>
                      <w:sz w:val="18"/>
                      <w:szCs w:val="18"/>
                      <w:highlight w:val="none"/>
                      <w:lang w:val="en-US" w:eastAsia="zh-CN" w:bidi="ar-SA"/>
                    </w:rPr>
                    <w:t>T,I</w:t>
                  </w:r>
                </w:p>
              </w:tc>
              <w:tc>
                <w:tcPr>
                  <w:tcW w:w="531" w:type="pct"/>
                  <w:vMerge w:val="continue"/>
                  <w:noWrap w:val="0"/>
                  <w:vAlign w:val="center"/>
                </w:tcPr>
                <w:p w14:paraId="37AE50D7">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p>
              </w:tc>
            </w:tr>
            <w:tr w14:paraId="7F0F2A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88" w:type="pct"/>
                  <w:noWrap w:val="0"/>
                  <w:vAlign w:val="center"/>
                </w:tcPr>
                <w:p w14:paraId="25F80A42">
                  <w:pPr>
                    <w:keepNext w:val="0"/>
                    <w:keepLines w:val="0"/>
                    <w:pageBreakBefore w:val="0"/>
                    <w:kinsoku/>
                    <w:wordWrap/>
                    <w:overflowPunct/>
                    <w:topLinePunct/>
                    <w:autoSpaceDE/>
                    <w:autoSpaceDN/>
                    <w:bidi w:val="0"/>
                    <w:adjustRightInd w:val="0"/>
                    <w:snapToGrid w:val="0"/>
                    <w:spacing w:line="240" w:lineRule="auto"/>
                    <w:jc w:val="center"/>
                    <w:rPr>
                      <w:rFonts w:hint="default"/>
                      <w:bCs/>
                      <w:color w:val="auto"/>
                      <w:kern w:val="0"/>
                      <w:sz w:val="18"/>
                      <w:szCs w:val="18"/>
                      <w:highlight w:val="none"/>
                      <w:lang w:val="en-US" w:eastAsia="zh-CN"/>
                    </w:rPr>
                  </w:pPr>
                  <w:r>
                    <w:rPr>
                      <w:rFonts w:hint="eastAsia"/>
                      <w:bCs/>
                      <w:color w:val="auto"/>
                      <w:kern w:val="0"/>
                      <w:sz w:val="18"/>
                      <w:szCs w:val="18"/>
                      <w:highlight w:val="none"/>
                      <w:lang w:val="en-US" w:eastAsia="zh-CN"/>
                    </w:rPr>
                    <w:t>12</w:t>
                  </w:r>
                </w:p>
              </w:tc>
              <w:tc>
                <w:tcPr>
                  <w:tcW w:w="440" w:type="pct"/>
                  <w:shd w:val="clear" w:color="auto" w:fill="auto"/>
                  <w:noWrap w:val="0"/>
                  <w:vAlign w:val="center"/>
                </w:tcPr>
                <w:p w14:paraId="503C29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废弃的含油抹布和劳保用品</w:t>
                  </w:r>
                </w:p>
              </w:tc>
              <w:tc>
                <w:tcPr>
                  <w:tcW w:w="751" w:type="pct"/>
                  <w:shd w:val="clear" w:color="auto" w:fill="auto"/>
                  <w:noWrap w:val="0"/>
                  <w:vAlign w:val="center"/>
                </w:tcPr>
                <w:p w14:paraId="45FE7378">
                  <w:pPr>
                    <w:keepNext w:val="0"/>
                    <w:keepLines w:val="0"/>
                    <w:pageBreakBefore w:val="0"/>
                    <w:widowControl/>
                    <w:kinsoku/>
                    <w:wordWrap/>
                    <w:overflowPunct/>
                    <w:autoSpaceDE/>
                    <w:autoSpaceDN/>
                    <w:bidi w:val="0"/>
                    <w:spacing w:line="240" w:lineRule="auto"/>
                    <w:jc w:val="center"/>
                    <w:rPr>
                      <w:rFonts w:hint="eastAsia"/>
                      <w:color w:val="auto"/>
                      <w:sz w:val="18"/>
                      <w:szCs w:val="18"/>
                      <w:highlight w:val="none"/>
                      <w:lang w:val="en-US" w:eastAsia="zh-CN"/>
                    </w:rPr>
                  </w:pPr>
                  <w:r>
                    <w:rPr>
                      <w:rFonts w:hint="eastAsia"/>
                      <w:color w:val="auto"/>
                      <w:sz w:val="18"/>
                      <w:szCs w:val="18"/>
                      <w:highlight w:val="none"/>
                      <w:lang w:val="en-US" w:eastAsia="zh-CN"/>
                    </w:rPr>
                    <w:t>HW08</w:t>
                  </w:r>
                </w:p>
                <w:p w14:paraId="372EF51B">
                  <w:pPr>
                    <w:keepNext w:val="0"/>
                    <w:keepLines w:val="0"/>
                    <w:pageBreakBefore w:val="0"/>
                    <w:widowControl/>
                    <w:kinsoku/>
                    <w:wordWrap/>
                    <w:overflowPunct/>
                    <w:autoSpaceDE/>
                    <w:autoSpaceDN/>
                    <w:bidi w:val="0"/>
                    <w:spacing w:line="240" w:lineRule="auto"/>
                    <w:jc w:val="center"/>
                    <w:rPr>
                      <w:rFonts w:hint="default" w:ascii="Times New Roman" w:hAnsi="Times New Roman" w:eastAsia="宋体" w:cs="Times New Roman"/>
                      <w:color w:val="auto"/>
                      <w:kern w:val="0"/>
                      <w:sz w:val="18"/>
                      <w:szCs w:val="18"/>
                      <w:highlight w:val="none"/>
                      <w:lang w:val="en-US" w:eastAsia="zh-CN" w:bidi="ar-SA"/>
                    </w:rPr>
                  </w:pPr>
                  <w:r>
                    <w:rPr>
                      <w:rFonts w:hint="eastAsia"/>
                      <w:color w:val="auto"/>
                      <w:sz w:val="18"/>
                      <w:szCs w:val="18"/>
                      <w:highlight w:val="none"/>
                      <w:lang w:val="en-US" w:eastAsia="zh-CN"/>
                    </w:rPr>
                    <w:t>900-249-08</w:t>
                  </w:r>
                </w:p>
              </w:tc>
              <w:tc>
                <w:tcPr>
                  <w:tcW w:w="631" w:type="pct"/>
                  <w:shd w:val="clear" w:color="auto" w:fill="auto"/>
                  <w:noWrap w:val="0"/>
                  <w:vAlign w:val="center"/>
                </w:tcPr>
                <w:p w14:paraId="015D8EBE">
                  <w:pPr>
                    <w:keepNext w:val="0"/>
                    <w:keepLines w:val="0"/>
                    <w:pageBreakBefore w:val="0"/>
                    <w:widowControl/>
                    <w:kinsoku/>
                    <w:wordWrap/>
                    <w:overflowPunct/>
                    <w:autoSpaceDE/>
                    <w:autoSpaceDN/>
                    <w:bidi w:val="0"/>
                    <w:spacing w:line="240" w:lineRule="auto"/>
                    <w:jc w:val="center"/>
                    <w:rPr>
                      <w:rFonts w:hint="default" w:ascii="Times New Roman" w:hAnsi="Times New Roman" w:eastAsia="宋体" w:cs="Times New Roman"/>
                      <w:color w:val="auto"/>
                      <w:kern w:val="0"/>
                      <w:sz w:val="18"/>
                      <w:szCs w:val="18"/>
                      <w:highlight w:val="none"/>
                      <w:lang w:val="en-US" w:eastAsia="zh-CN" w:bidi="ar-SA"/>
                    </w:rPr>
                  </w:pPr>
                  <w:r>
                    <w:rPr>
                      <w:rFonts w:hint="eastAsia"/>
                      <w:color w:val="auto"/>
                      <w:kern w:val="0"/>
                      <w:sz w:val="18"/>
                      <w:szCs w:val="18"/>
                      <w:highlight w:val="none"/>
                      <w:lang w:val="en-US" w:eastAsia="zh-CN"/>
                    </w:rPr>
                    <w:t>0.3</w:t>
                  </w:r>
                </w:p>
              </w:tc>
              <w:tc>
                <w:tcPr>
                  <w:tcW w:w="316" w:type="pct"/>
                  <w:vMerge w:val="continue"/>
                  <w:noWrap w:val="0"/>
                  <w:vAlign w:val="center"/>
                </w:tcPr>
                <w:p w14:paraId="07144F90">
                  <w:pPr>
                    <w:keepNext w:val="0"/>
                    <w:keepLines w:val="0"/>
                    <w:pageBreakBefore w:val="0"/>
                    <w:widowControl/>
                    <w:kinsoku/>
                    <w:wordWrap/>
                    <w:overflowPunct/>
                    <w:autoSpaceDE/>
                    <w:autoSpaceDN/>
                    <w:bidi w:val="0"/>
                    <w:spacing w:line="240" w:lineRule="auto"/>
                    <w:jc w:val="center"/>
                    <w:rPr>
                      <w:rFonts w:hint="eastAsia" w:ascii="Times New Roman" w:hAnsi="Times New Roman"/>
                      <w:color w:val="auto"/>
                      <w:kern w:val="0"/>
                      <w:sz w:val="18"/>
                      <w:szCs w:val="18"/>
                      <w:highlight w:val="none"/>
                    </w:rPr>
                  </w:pPr>
                </w:p>
              </w:tc>
              <w:tc>
                <w:tcPr>
                  <w:tcW w:w="290" w:type="pct"/>
                  <w:noWrap w:val="0"/>
                  <w:vAlign w:val="center"/>
                </w:tcPr>
                <w:p w14:paraId="4846F845">
                  <w:pPr>
                    <w:keepNext w:val="0"/>
                    <w:keepLines w:val="0"/>
                    <w:pageBreakBefore w:val="0"/>
                    <w:kinsoku/>
                    <w:wordWrap/>
                    <w:overflowPunct/>
                    <w:topLinePunct/>
                    <w:autoSpaceDE/>
                    <w:autoSpaceDN/>
                    <w:bidi w:val="0"/>
                    <w:adjustRightInd w:val="0"/>
                    <w:snapToGrid w:val="0"/>
                    <w:spacing w:line="240" w:lineRule="auto"/>
                    <w:jc w:val="center"/>
                    <w:rPr>
                      <w:rFonts w:hint="eastAsia" w:ascii="Times New Roman" w:hAnsi="Times New Roman" w:eastAsia="宋体"/>
                      <w:bCs/>
                      <w:color w:val="auto"/>
                      <w:kern w:val="0"/>
                      <w:sz w:val="18"/>
                      <w:szCs w:val="18"/>
                      <w:highlight w:val="none"/>
                      <w:lang w:val="en-US" w:eastAsia="zh-CN"/>
                    </w:rPr>
                  </w:pPr>
                  <w:r>
                    <w:rPr>
                      <w:rFonts w:hint="eastAsia"/>
                      <w:bCs/>
                      <w:color w:val="auto"/>
                      <w:kern w:val="0"/>
                      <w:sz w:val="18"/>
                      <w:szCs w:val="18"/>
                      <w:highlight w:val="none"/>
                      <w:lang w:val="en-US" w:eastAsia="zh-CN"/>
                    </w:rPr>
                    <w:t>固态</w:t>
                  </w:r>
                </w:p>
              </w:tc>
              <w:tc>
                <w:tcPr>
                  <w:tcW w:w="441" w:type="pct"/>
                  <w:noWrap w:val="0"/>
                  <w:vAlign w:val="center"/>
                </w:tcPr>
                <w:p w14:paraId="0A965E15">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hint="eastAsia"/>
                      <w:bCs/>
                      <w:color w:val="auto"/>
                      <w:kern w:val="0"/>
                      <w:sz w:val="18"/>
                      <w:szCs w:val="18"/>
                      <w:highlight w:val="none"/>
                      <w:lang w:val="en-US" w:eastAsia="zh-CN"/>
                    </w:rPr>
                    <w:t>废矿物油</w:t>
                  </w:r>
                </w:p>
              </w:tc>
              <w:tc>
                <w:tcPr>
                  <w:tcW w:w="441" w:type="pct"/>
                  <w:noWrap w:val="0"/>
                  <w:vAlign w:val="center"/>
                </w:tcPr>
                <w:p w14:paraId="23F38F92">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r>
                    <w:rPr>
                      <w:rFonts w:hint="eastAsia"/>
                      <w:bCs/>
                      <w:color w:val="auto"/>
                      <w:kern w:val="0"/>
                      <w:sz w:val="18"/>
                      <w:szCs w:val="18"/>
                      <w:highlight w:val="none"/>
                      <w:lang w:val="en-US" w:eastAsia="zh-CN"/>
                    </w:rPr>
                    <w:t>废矿物油</w:t>
                  </w:r>
                </w:p>
              </w:tc>
              <w:tc>
                <w:tcPr>
                  <w:tcW w:w="390" w:type="pct"/>
                  <w:noWrap w:val="0"/>
                  <w:vAlign w:val="center"/>
                </w:tcPr>
                <w:p w14:paraId="45E04321">
                  <w:pPr>
                    <w:keepNext w:val="0"/>
                    <w:keepLines w:val="0"/>
                    <w:pageBreakBefore w:val="0"/>
                    <w:kinsoku/>
                    <w:wordWrap/>
                    <w:overflowPunct/>
                    <w:topLinePunct/>
                    <w:autoSpaceDE/>
                    <w:autoSpaceDN/>
                    <w:bidi w:val="0"/>
                    <w:adjustRightInd w:val="0"/>
                    <w:snapToGrid w:val="0"/>
                    <w:spacing w:line="240" w:lineRule="auto"/>
                    <w:jc w:val="center"/>
                    <w:rPr>
                      <w:rFonts w:hint="eastAsia" w:ascii="Times New Roman" w:hAnsi="Times New Roman" w:eastAsia="宋体"/>
                      <w:bCs/>
                      <w:color w:val="auto"/>
                      <w:kern w:val="0"/>
                      <w:sz w:val="18"/>
                      <w:szCs w:val="18"/>
                      <w:highlight w:val="none"/>
                      <w:lang w:val="en-US" w:eastAsia="zh-CN"/>
                    </w:rPr>
                  </w:pPr>
                  <w:r>
                    <w:rPr>
                      <w:rFonts w:hint="eastAsia"/>
                      <w:bCs/>
                      <w:color w:val="auto"/>
                      <w:kern w:val="0"/>
                      <w:sz w:val="18"/>
                      <w:szCs w:val="18"/>
                      <w:highlight w:val="none"/>
                      <w:lang w:val="en-US" w:eastAsia="zh-CN"/>
                    </w:rPr>
                    <w:t>每年</w:t>
                  </w:r>
                </w:p>
              </w:tc>
              <w:tc>
                <w:tcPr>
                  <w:tcW w:w="476" w:type="pct"/>
                  <w:noWrap w:val="0"/>
                  <w:vAlign w:val="center"/>
                </w:tcPr>
                <w:p w14:paraId="5789665D">
                  <w:pPr>
                    <w:keepNext w:val="0"/>
                    <w:keepLines w:val="0"/>
                    <w:pageBreakBefore w:val="0"/>
                    <w:kinsoku/>
                    <w:wordWrap/>
                    <w:overflowPunct/>
                    <w:autoSpaceDE/>
                    <w:autoSpaceDN/>
                    <w:bidi w:val="0"/>
                    <w:adjustRightInd w:val="0"/>
                    <w:spacing w:line="240" w:lineRule="auto"/>
                    <w:jc w:val="center"/>
                    <w:textAlignment w:val="center"/>
                    <w:rPr>
                      <w:rFonts w:ascii="Times New Roman" w:hAnsi="Times New Roman"/>
                      <w:color w:val="auto"/>
                      <w:kern w:val="0"/>
                      <w:sz w:val="18"/>
                      <w:szCs w:val="18"/>
                      <w:highlight w:val="none"/>
                    </w:rPr>
                  </w:pPr>
                  <w:r>
                    <w:rPr>
                      <w:rFonts w:hint="eastAsia" w:cs="Times New Roman"/>
                      <w:color w:val="auto"/>
                      <w:kern w:val="0"/>
                      <w:sz w:val="18"/>
                      <w:szCs w:val="18"/>
                      <w:highlight w:val="none"/>
                      <w:lang w:val="en-US" w:eastAsia="zh-CN" w:bidi="ar-SA"/>
                    </w:rPr>
                    <w:t>T,I</w:t>
                  </w:r>
                </w:p>
              </w:tc>
              <w:tc>
                <w:tcPr>
                  <w:tcW w:w="531" w:type="pct"/>
                  <w:vMerge w:val="continue"/>
                  <w:noWrap w:val="0"/>
                  <w:vAlign w:val="center"/>
                </w:tcPr>
                <w:p w14:paraId="409A84F9">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p>
              </w:tc>
            </w:tr>
            <w:tr w14:paraId="146124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288" w:type="pct"/>
                  <w:noWrap w:val="0"/>
                  <w:vAlign w:val="center"/>
                </w:tcPr>
                <w:p w14:paraId="4BE2EE84">
                  <w:pPr>
                    <w:keepNext w:val="0"/>
                    <w:keepLines w:val="0"/>
                    <w:pageBreakBefore w:val="0"/>
                    <w:kinsoku/>
                    <w:wordWrap/>
                    <w:overflowPunct/>
                    <w:topLinePunct/>
                    <w:autoSpaceDE/>
                    <w:autoSpaceDN/>
                    <w:bidi w:val="0"/>
                    <w:adjustRightInd w:val="0"/>
                    <w:snapToGrid w:val="0"/>
                    <w:spacing w:line="240" w:lineRule="auto"/>
                    <w:jc w:val="center"/>
                    <w:rPr>
                      <w:rFonts w:hint="default"/>
                      <w:bCs/>
                      <w:color w:val="auto"/>
                      <w:kern w:val="0"/>
                      <w:sz w:val="18"/>
                      <w:szCs w:val="18"/>
                      <w:highlight w:val="none"/>
                      <w:lang w:val="en-US" w:eastAsia="zh-CN"/>
                    </w:rPr>
                  </w:pPr>
                  <w:r>
                    <w:rPr>
                      <w:rFonts w:hint="eastAsia"/>
                      <w:bCs/>
                      <w:color w:val="auto"/>
                      <w:kern w:val="0"/>
                      <w:sz w:val="18"/>
                      <w:szCs w:val="18"/>
                      <w:highlight w:val="none"/>
                      <w:lang w:val="en-US" w:eastAsia="zh-CN"/>
                    </w:rPr>
                    <w:t>13</w:t>
                  </w:r>
                </w:p>
              </w:tc>
              <w:tc>
                <w:tcPr>
                  <w:tcW w:w="440" w:type="pct"/>
                  <w:shd w:val="clear" w:color="auto" w:fill="auto"/>
                  <w:noWrap w:val="0"/>
                  <w:vAlign w:val="center"/>
                </w:tcPr>
                <w:p w14:paraId="266D957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auto"/>
                      <w:kern w:val="2"/>
                      <w:sz w:val="18"/>
                      <w:szCs w:val="18"/>
                      <w:highlight w:val="none"/>
                      <w:vertAlign w:val="baseline"/>
                      <w:lang w:val="en-US" w:eastAsia="zh-CN" w:bidi="ar-SA"/>
                    </w:rPr>
                  </w:pPr>
                  <w:r>
                    <w:rPr>
                      <w:rFonts w:hint="eastAsia" w:cs="Times New Roman"/>
                      <w:snapToGrid w:val="0"/>
                      <w:color w:val="auto"/>
                      <w:kern w:val="2"/>
                      <w:sz w:val="18"/>
                      <w:szCs w:val="18"/>
                      <w:highlight w:val="none"/>
                      <w:vertAlign w:val="baseline"/>
                      <w:lang w:val="en-US" w:eastAsia="zh-CN" w:bidi="ar-SA"/>
                    </w:rPr>
                    <w:t>废透平油</w:t>
                  </w:r>
                </w:p>
              </w:tc>
              <w:tc>
                <w:tcPr>
                  <w:tcW w:w="751" w:type="pct"/>
                  <w:shd w:val="clear" w:color="auto" w:fill="auto"/>
                  <w:noWrap w:val="0"/>
                  <w:vAlign w:val="center"/>
                </w:tcPr>
                <w:p w14:paraId="6E0E68D4">
                  <w:pPr>
                    <w:keepNext w:val="0"/>
                    <w:keepLines w:val="0"/>
                    <w:pageBreakBefore w:val="0"/>
                    <w:widowControl/>
                    <w:kinsoku/>
                    <w:wordWrap/>
                    <w:overflowPunct/>
                    <w:autoSpaceDE/>
                    <w:autoSpaceDN/>
                    <w:bidi w:val="0"/>
                    <w:spacing w:line="240" w:lineRule="auto"/>
                    <w:jc w:val="center"/>
                    <w:rPr>
                      <w:rFonts w:hint="eastAsia"/>
                      <w:color w:val="auto"/>
                      <w:sz w:val="18"/>
                      <w:szCs w:val="18"/>
                      <w:highlight w:val="none"/>
                      <w:lang w:val="en-US" w:eastAsia="zh-CN"/>
                    </w:rPr>
                  </w:pPr>
                  <w:r>
                    <w:rPr>
                      <w:rFonts w:hint="eastAsia"/>
                      <w:color w:val="auto"/>
                      <w:sz w:val="18"/>
                      <w:szCs w:val="18"/>
                      <w:highlight w:val="none"/>
                      <w:lang w:val="en-US" w:eastAsia="zh-CN"/>
                    </w:rPr>
                    <w:t>HW08</w:t>
                  </w:r>
                </w:p>
                <w:p w14:paraId="170AF8FE">
                  <w:pPr>
                    <w:keepNext w:val="0"/>
                    <w:keepLines w:val="0"/>
                    <w:pageBreakBefore w:val="0"/>
                    <w:widowControl/>
                    <w:kinsoku/>
                    <w:wordWrap/>
                    <w:overflowPunct/>
                    <w:autoSpaceDE/>
                    <w:autoSpaceDN/>
                    <w:bidi w:val="0"/>
                    <w:spacing w:line="240" w:lineRule="auto"/>
                    <w:jc w:val="center"/>
                    <w:rPr>
                      <w:rFonts w:hint="eastAsia"/>
                      <w:color w:val="auto"/>
                      <w:sz w:val="18"/>
                      <w:szCs w:val="18"/>
                      <w:highlight w:val="none"/>
                      <w:lang w:val="en-US" w:eastAsia="zh-CN"/>
                    </w:rPr>
                  </w:pPr>
                  <w:r>
                    <w:rPr>
                      <w:rFonts w:hint="eastAsia"/>
                      <w:color w:val="auto"/>
                      <w:sz w:val="18"/>
                      <w:szCs w:val="18"/>
                      <w:highlight w:val="none"/>
                      <w:lang w:val="en-US" w:eastAsia="zh-CN"/>
                    </w:rPr>
                    <w:t>900-249-08</w:t>
                  </w:r>
                </w:p>
              </w:tc>
              <w:tc>
                <w:tcPr>
                  <w:tcW w:w="631" w:type="pct"/>
                  <w:shd w:val="clear" w:color="auto" w:fill="auto"/>
                  <w:noWrap w:val="0"/>
                  <w:vAlign w:val="center"/>
                </w:tcPr>
                <w:p w14:paraId="17479999">
                  <w:pPr>
                    <w:keepNext w:val="0"/>
                    <w:keepLines w:val="0"/>
                    <w:pageBreakBefore w:val="0"/>
                    <w:widowControl/>
                    <w:kinsoku/>
                    <w:wordWrap/>
                    <w:overflowPunct/>
                    <w:autoSpaceDE/>
                    <w:autoSpaceDN/>
                    <w:bidi w:val="0"/>
                    <w:spacing w:line="240" w:lineRule="auto"/>
                    <w:jc w:val="center"/>
                    <w:rPr>
                      <w:rFonts w:hint="default"/>
                      <w:color w:val="auto"/>
                      <w:kern w:val="0"/>
                      <w:sz w:val="18"/>
                      <w:szCs w:val="18"/>
                      <w:highlight w:val="none"/>
                      <w:lang w:val="en-US" w:eastAsia="zh-CN"/>
                    </w:rPr>
                  </w:pPr>
                  <w:r>
                    <w:rPr>
                      <w:rFonts w:hint="eastAsia"/>
                      <w:color w:val="auto"/>
                      <w:kern w:val="0"/>
                      <w:sz w:val="18"/>
                      <w:szCs w:val="18"/>
                      <w:highlight w:val="none"/>
                      <w:lang w:val="en-US" w:eastAsia="zh-CN"/>
                    </w:rPr>
                    <w:t>1</w:t>
                  </w:r>
                </w:p>
              </w:tc>
              <w:tc>
                <w:tcPr>
                  <w:tcW w:w="316" w:type="pct"/>
                  <w:noWrap w:val="0"/>
                  <w:vAlign w:val="center"/>
                </w:tcPr>
                <w:p w14:paraId="5F6FD28F">
                  <w:pPr>
                    <w:keepNext w:val="0"/>
                    <w:keepLines w:val="0"/>
                    <w:pageBreakBefore w:val="0"/>
                    <w:widowControl/>
                    <w:kinsoku/>
                    <w:wordWrap/>
                    <w:overflowPunct/>
                    <w:autoSpaceDE/>
                    <w:autoSpaceDN/>
                    <w:bidi w:val="0"/>
                    <w:spacing w:line="240" w:lineRule="auto"/>
                    <w:jc w:val="center"/>
                    <w:rPr>
                      <w:rFonts w:hint="eastAsia" w:ascii="Times New Roman" w:hAnsi="Times New Roman" w:eastAsia="宋体"/>
                      <w:color w:val="auto"/>
                      <w:kern w:val="0"/>
                      <w:sz w:val="18"/>
                      <w:szCs w:val="18"/>
                      <w:highlight w:val="none"/>
                      <w:lang w:val="en-US" w:eastAsia="zh-CN"/>
                    </w:rPr>
                  </w:pPr>
                  <w:r>
                    <w:rPr>
                      <w:rFonts w:hint="eastAsia"/>
                      <w:color w:val="auto"/>
                      <w:kern w:val="0"/>
                      <w:sz w:val="18"/>
                      <w:szCs w:val="18"/>
                      <w:highlight w:val="none"/>
                      <w:lang w:val="en-US" w:eastAsia="zh-CN"/>
                    </w:rPr>
                    <w:t>制氮系统</w:t>
                  </w:r>
                </w:p>
              </w:tc>
              <w:tc>
                <w:tcPr>
                  <w:tcW w:w="290" w:type="pct"/>
                  <w:noWrap w:val="0"/>
                  <w:vAlign w:val="center"/>
                </w:tcPr>
                <w:p w14:paraId="7C30CEB7">
                  <w:pPr>
                    <w:keepNext w:val="0"/>
                    <w:keepLines w:val="0"/>
                    <w:pageBreakBefore w:val="0"/>
                    <w:kinsoku/>
                    <w:wordWrap/>
                    <w:overflowPunct/>
                    <w:topLinePunct/>
                    <w:autoSpaceDE/>
                    <w:autoSpaceDN/>
                    <w:bidi w:val="0"/>
                    <w:adjustRightInd w:val="0"/>
                    <w:snapToGrid w:val="0"/>
                    <w:spacing w:line="240" w:lineRule="auto"/>
                    <w:jc w:val="center"/>
                    <w:rPr>
                      <w:rFonts w:hint="default"/>
                      <w:bCs/>
                      <w:color w:val="auto"/>
                      <w:kern w:val="0"/>
                      <w:sz w:val="18"/>
                      <w:szCs w:val="18"/>
                      <w:highlight w:val="none"/>
                      <w:lang w:val="en-US" w:eastAsia="zh-CN"/>
                    </w:rPr>
                  </w:pPr>
                  <w:r>
                    <w:rPr>
                      <w:rFonts w:hint="eastAsia"/>
                      <w:bCs/>
                      <w:color w:val="auto"/>
                      <w:kern w:val="0"/>
                      <w:sz w:val="18"/>
                      <w:szCs w:val="18"/>
                      <w:highlight w:val="none"/>
                      <w:lang w:val="en-US" w:eastAsia="zh-CN"/>
                    </w:rPr>
                    <w:t>液态</w:t>
                  </w:r>
                </w:p>
              </w:tc>
              <w:tc>
                <w:tcPr>
                  <w:tcW w:w="441" w:type="pct"/>
                  <w:noWrap w:val="0"/>
                  <w:vAlign w:val="center"/>
                </w:tcPr>
                <w:p w14:paraId="0743F45C">
                  <w:pPr>
                    <w:keepNext w:val="0"/>
                    <w:keepLines w:val="0"/>
                    <w:pageBreakBefore w:val="0"/>
                    <w:kinsoku/>
                    <w:wordWrap/>
                    <w:overflowPunct/>
                    <w:topLinePunct/>
                    <w:autoSpaceDE/>
                    <w:autoSpaceDN/>
                    <w:bidi w:val="0"/>
                    <w:adjustRightInd w:val="0"/>
                    <w:snapToGrid w:val="0"/>
                    <w:spacing w:line="240" w:lineRule="auto"/>
                    <w:jc w:val="center"/>
                    <w:rPr>
                      <w:rFonts w:hint="default"/>
                      <w:bCs/>
                      <w:color w:val="auto"/>
                      <w:kern w:val="0"/>
                      <w:sz w:val="18"/>
                      <w:szCs w:val="18"/>
                      <w:highlight w:val="none"/>
                      <w:lang w:val="en-US" w:eastAsia="zh-CN"/>
                    </w:rPr>
                  </w:pPr>
                  <w:r>
                    <w:rPr>
                      <w:rFonts w:hint="eastAsia"/>
                      <w:bCs/>
                      <w:color w:val="auto"/>
                      <w:kern w:val="0"/>
                      <w:sz w:val="18"/>
                      <w:szCs w:val="18"/>
                      <w:highlight w:val="none"/>
                      <w:lang w:val="en-US" w:eastAsia="zh-CN"/>
                    </w:rPr>
                    <w:t>废矿物油</w:t>
                  </w:r>
                </w:p>
              </w:tc>
              <w:tc>
                <w:tcPr>
                  <w:tcW w:w="441" w:type="pct"/>
                  <w:noWrap w:val="0"/>
                  <w:vAlign w:val="center"/>
                </w:tcPr>
                <w:p w14:paraId="01208C2F">
                  <w:pPr>
                    <w:keepNext w:val="0"/>
                    <w:keepLines w:val="0"/>
                    <w:pageBreakBefore w:val="0"/>
                    <w:kinsoku/>
                    <w:wordWrap/>
                    <w:overflowPunct/>
                    <w:topLinePunct/>
                    <w:autoSpaceDE/>
                    <w:autoSpaceDN/>
                    <w:bidi w:val="0"/>
                    <w:adjustRightInd w:val="0"/>
                    <w:snapToGrid w:val="0"/>
                    <w:spacing w:line="240" w:lineRule="auto"/>
                    <w:jc w:val="center"/>
                    <w:rPr>
                      <w:rFonts w:hint="eastAsia"/>
                      <w:bCs/>
                      <w:color w:val="auto"/>
                      <w:kern w:val="0"/>
                      <w:sz w:val="18"/>
                      <w:szCs w:val="18"/>
                      <w:highlight w:val="none"/>
                      <w:lang w:val="en-US" w:eastAsia="zh-CN"/>
                    </w:rPr>
                  </w:pPr>
                  <w:r>
                    <w:rPr>
                      <w:rFonts w:hint="eastAsia"/>
                      <w:bCs/>
                      <w:color w:val="auto"/>
                      <w:kern w:val="0"/>
                      <w:sz w:val="18"/>
                      <w:szCs w:val="18"/>
                      <w:highlight w:val="none"/>
                      <w:lang w:val="en-US" w:eastAsia="zh-CN"/>
                    </w:rPr>
                    <w:t>废矿物油</w:t>
                  </w:r>
                </w:p>
              </w:tc>
              <w:tc>
                <w:tcPr>
                  <w:tcW w:w="390" w:type="pct"/>
                  <w:noWrap w:val="0"/>
                  <w:vAlign w:val="center"/>
                </w:tcPr>
                <w:p w14:paraId="65F643AF">
                  <w:pPr>
                    <w:keepNext w:val="0"/>
                    <w:keepLines w:val="0"/>
                    <w:pageBreakBefore w:val="0"/>
                    <w:kinsoku/>
                    <w:wordWrap/>
                    <w:overflowPunct/>
                    <w:topLinePunct/>
                    <w:autoSpaceDE/>
                    <w:autoSpaceDN/>
                    <w:bidi w:val="0"/>
                    <w:adjustRightInd w:val="0"/>
                    <w:snapToGrid w:val="0"/>
                    <w:spacing w:line="240" w:lineRule="auto"/>
                    <w:jc w:val="center"/>
                    <w:rPr>
                      <w:rFonts w:hint="default"/>
                      <w:bCs/>
                      <w:color w:val="auto"/>
                      <w:kern w:val="0"/>
                      <w:sz w:val="18"/>
                      <w:szCs w:val="18"/>
                      <w:highlight w:val="none"/>
                      <w:lang w:val="en-US" w:eastAsia="zh-CN"/>
                    </w:rPr>
                  </w:pPr>
                  <w:r>
                    <w:rPr>
                      <w:rFonts w:hint="eastAsia"/>
                      <w:bCs/>
                      <w:color w:val="auto"/>
                      <w:kern w:val="0"/>
                      <w:sz w:val="18"/>
                      <w:szCs w:val="18"/>
                      <w:highlight w:val="none"/>
                      <w:lang w:val="en-US" w:eastAsia="zh-CN"/>
                    </w:rPr>
                    <w:t>每年</w:t>
                  </w:r>
                </w:p>
              </w:tc>
              <w:tc>
                <w:tcPr>
                  <w:tcW w:w="476" w:type="pct"/>
                  <w:noWrap w:val="0"/>
                  <w:vAlign w:val="center"/>
                </w:tcPr>
                <w:p w14:paraId="1393CD60">
                  <w:pPr>
                    <w:keepNext w:val="0"/>
                    <w:keepLines w:val="0"/>
                    <w:pageBreakBefore w:val="0"/>
                    <w:kinsoku/>
                    <w:wordWrap/>
                    <w:overflowPunct/>
                    <w:autoSpaceDE/>
                    <w:autoSpaceDN/>
                    <w:bidi w:val="0"/>
                    <w:adjustRightInd w:val="0"/>
                    <w:spacing w:line="240" w:lineRule="auto"/>
                    <w:jc w:val="center"/>
                    <w:textAlignment w:val="center"/>
                    <w:rPr>
                      <w:rFonts w:hint="eastAsia"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T,I</w:t>
                  </w:r>
                </w:p>
              </w:tc>
              <w:tc>
                <w:tcPr>
                  <w:tcW w:w="531" w:type="pct"/>
                  <w:vMerge w:val="continue"/>
                  <w:noWrap w:val="0"/>
                  <w:vAlign w:val="center"/>
                </w:tcPr>
                <w:p w14:paraId="0E6EA480">
                  <w:pPr>
                    <w:keepNext w:val="0"/>
                    <w:keepLines w:val="0"/>
                    <w:pageBreakBefore w:val="0"/>
                    <w:kinsoku/>
                    <w:wordWrap/>
                    <w:overflowPunct/>
                    <w:topLinePunct/>
                    <w:autoSpaceDE/>
                    <w:autoSpaceDN/>
                    <w:bidi w:val="0"/>
                    <w:adjustRightInd w:val="0"/>
                    <w:snapToGrid w:val="0"/>
                    <w:spacing w:line="240" w:lineRule="auto"/>
                    <w:jc w:val="center"/>
                    <w:rPr>
                      <w:rFonts w:ascii="Times New Roman" w:hAnsi="Times New Roman"/>
                      <w:bCs/>
                      <w:color w:val="auto"/>
                      <w:kern w:val="0"/>
                      <w:sz w:val="18"/>
                      <w:szCs w:val="18"/>
                      <w:highlight w:val="none"/>
                    </w:rPr>
                  </w:pPr>
                </w:p>
              </w:tc>
            </w:tr>
          </w:tbl>
          <w:p w14:paraId="5A9A5E1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eastAsia="宋体"/>
                <w:color w:val="auto"/>
                <w:sz w:val="21"/>
                <w:szCs w:val="21"/>
                <w:highlight w:val="none"/>
                <w:lang w:val="en-US" w:eastAsia="zh-CN" w:bidi="ar"/>
              </w:rPr>
            </w:pPr>
            <w:r>
              <w:rPr>
                <w:rFonts w:hint="eastAsia" w:ascii="Times New Roman" w:hAnsi="Times New Roman" w:eastAsia="宋体"/>
                <w:color w:val="auto"/>
                <w:sz w:val="21"/>
                <w:szCs w:val="21"/>
                <w:highlight w:val="none"/>
              </w:rPr>
              <w:t>厂区</w:t>
            </w:r>
            <w:r>
              <w:rPr>
                <w:rFonts w:ascii="Times New Roman" w:hAnsi="Times New Roman" w:eastAsia="宋体"/>
                <w:color w:val="auto"/>
                <w:sz w:val="21"/>
                <w:szCs w:val="21"/>
                <w:highlight w:val="none"/>
              </w:rPr>
              <w:t>设置</w:t>
            </w:r>
            <w:r>
              <w:rPr>
                <w:rFonts w:hint="eastAsia" w:ascii="Times New Roman" w:hAnsi="Times New Roman" w:eastAsia="宋体"/>
                <w:color w:val="auto"/>
                <w:sz w:val="21"/>
                <w:szCs w:val="21"/>
                <w:highlight w:val="none"/>
              </w:rPr>
              <w:t>1座</w:t>
            </w:r>
            <w:r>
              <w:rPr>
                <w:rFonts w:hint="eastAsia" w:ascii="Times New Roman" w:hAnsi="Times New Roman" w:eastAsia="宋体"/>
                <w:color w:val="auto"/>
                <w:sz w:val="21"/>
                <w:szCs w:val="21"/>
                <w:highlight w:val="none"/>
                <w:lang w:eastAsia="zh-CN"/>
              </w:rPr>
              <w:t>危废暂存库</w:t>
            </w:r>
            <w:r>
              <w:rPr>
                <w:rFonts w:hint="eastAsia" w:ascii="Times New Roman" w:hAnsi="Times New Roman" w:eastAsia="宋体"/>
                <w:color w:val="auto"/>
                <w:sz w:val="21"/>
                <w:szCs w:val="21"/>
                <w:highlight w:val="none"/>
              </w:rPr>
              <w:t>，占地</w:t>
            </w:r>
            <w:r>
              <w:rPr>
                <w:rFonts w:ascii="Times New Roman" w:hAnsi="Times New Roman" w:eastAsia="宋体"/>
                <w:color w:val="auto"/>
                <w:sz w:val="21"/>
                <w:szCs w:val="21"/>
                <w:highlight w:val="none"/>
              </w:rPr>
              <w:t>面积</w:t>
            </w:r>
            <w:r>
              <w:rPr>
                <w:rFonts w:hint="eastAsia" w:ascii="Times New Roman" w:hAnsi="Times New Roman" w:eastAsia="宋体"/>
                <w:color w:val="auto"/>
                <w:sz w:val="21"/>
                <w:szCs w:val="21"/>
                <w:highlight w:val="none"/>
                <w:lang w:val="en-US" w:eastAsia="zh-CN"/>
              </w:rPr>
              <w:t>175</w:t>
            </w:r>
            <w:r>
              <w:rPr>
                <w:rFonts w:ascii="Times New Roman" w:hAnsi="Times New Roman" w:eastAsia="宋体"/>
                <w:color w:val="auto"/>
                <w:sz w:val="21"/>
                <w:szCs w:val="21"/>
                <w:highlight w:val="none"/>
              </w:rPr>
              <w:t>m</w:t>
            </w:r>
            <w:r>
              <w:rPr>
                <w:rFonts w:ascii="Times New Roman" w:hAnsi="Times New Roman" w:eastAsia="宋体"/>
                <w:color w:val="auto"/>
                <w:sz w:val="21"/>
                <w:szCs w:val="21"/>
                <w:highlight w:val="none"/>
                <w:vertAlign w:val="superscript"/>
              </w:rPr>
              <w:t>2</w:t>
            </w:r>
            <w:r>
              <w:rPr>
                <w:rFonts w:hint="eastAsia" w:ascii="Times New Roman" w:hAnsi="Times New Roman" w:eastAsia="宋体"/>
                <w:color w:val="auto"/>
                <w:sz w:val="21"/>
                <w:szCs w:val="21"/>
                <w:highlight w:val="none"/>
              </w:rPr>
              <w:t>。</w:t>
            </w:r>
            <w:r>
              <w:rPr>
                <w:rFonts w:ascii="Times New Roman" w:hAnsi="Times New Roman" w:eastAsia="宋体"/>
                <w:color w:val="auto"/>
                <w:sz w:val="21"/>
                <w:szCs w:val="21"/>
                <w:highlight w:val="none"/>
              </w:rPr>
              <w:t>本</w:t>
            </w:r>
            <w:r>
              <w:rPr>
                <w:rFonts w:hint="eastAsia" w:ascii="Times New Roman" w:hAnsi="Times New Roman" w:eastAsia="宋体"/>
                <w:color w:val="auto"/>
                <w:sz w:val="21"/>
                <w:szCs w:val="21"/>
                <w:highlight w:val="none"/>
              </w:rPr>
              <w:t>厂区</w:t>
            </w:r>
            <w:r>
              <w:rPr>
                <w:rFonts w:ascii="Times New Roman" w:hAnsi="Times New Roman" w:eastAsia="宋体"/>
                <w:color w:val="auto"/>
                <w:sz w:val="21"/>
                <w:szCs w:val="21"/>
                <w:highlight w:val="none"/>
              </w:rPr>
              <w:t>产生的危险废物由相应的危废专用包装包装后分类暂存于</w:t>
            </w:r>
            <w:r>
              <w:rPr>
                <w:rFonts w:hint="eastAsia" w:ascii="Times New Roman" w:hAnsi="Times New Roman" w:eastAsia="宋体"/>
                <w:color w:val="auto"/>
                <w:sz w:val="21"/>
                <w:szCs w:val="21"/>
                <w:highlight w:val="none"/>
                <w:lang w:eastAsia="zh-CN"/>
              </w:rPr>
              <w:t>危废暂存库</w:t>
            </w:r>
            <w:r>
              <w:rPr>
                <w:rFonts w:ascii="Times New Roman" w:hAnsi="Times New Roman" w:eastAsia="宋体"/>
                <w:color w:val="auto"/>
                <w:sz w:val="21"/>
                <w:szCs w:val="21"/>
                <w:highlight w:val="none"/>
              </w:rPr>
              <w:t>内，然后定期委托资质单位处理；</w:t>
            </w:r>
            <w:r>
              <w:rPr>
                <w:rFonts w:hint="eastAsia" w:ascii="Times New Roman" w:hAnsi="Times New Roman" w:eastAsia="宋体"/>
                <w:color w:val="auto"/>
                <w:sz w:val="21"/>
                <w:szCs w:val="21"/>
                <w:highlight w:val="none"/>
                <w:lang w:val="en-US" w:eastAsia="zh-CN"/>
              </w:rPr>
              <w:t>本项目</w:t>
            </w:r>
            <w:r>
              <w:rPr>
                <w:rFonts w:hint="eastAsia" w:ascii="Times New Roman" w:hAnsi="Times New Roman" w:eastAsia="宋体"/>
                <w:snapToGrid w:val="0"/>
                <w:color w:val="auto"/>
                <w:kern w:val="0"/>
                <w:sz w:val="21"/>
                <w:szCs w:val="21"/>
                <w:highlight w:val="none"/>
                <w:lang w:eastAsia="zh-CN"/>
              </w:rPr>
              <w:t>危废暂存库</w:t>
            </w:r>
            <w:r>
              <w:rPr>
                <w:rFonts w:ascii="Times New Roman" w:hAnsi="Times New Roman"/>
                <w:snapToGrid w:val="0"/>
                <w:color w:val="auto"/>
                <w:kern w:val="0"/>
                <w:sz w:val="21"/>
                <w:szCs w:val="21"/>
                <w:highlight w:val="none"/>
              </w:rPr>
              <w:t>建设</w:t>
            </w:r>
            <w:r>
              <w:rPr>
                <w:rFonts w:hint="eastAsia" w:ascii="Times New Roman" w:hAnsi="Times New Roman"/>
                <w:snapToGrid w:val="0"/>
                <w:color w:val="auto"/>
                <w:kern w:val="0"/>
                <w:sz w:val="21"/>
                <w:szCs w:val="21"/>
                <w:highlight w:val="none"/>
                <w:lang w:val="en-US" w:eastAsia="zh-CN"/>
              </w:rPr>
              <w:t>满足</w:t>
            </w:r>
            <w:r>
              <w:rPr>
                <w:rFonts w:ascii="Times New Roman" w:hAnsi="Times New Roman"/>
                <w:snapToGrid w:val="0"/>
                <w:color w:val="auto"/>
                <w:kern w:val="0"/>
                <w:sz w:val="21"/>
                <w:szCs w:val="21"/>
                <w:highlight w:val="none"/>
              </w:rPr>
              <w:t>《危险废物贮存污染控制标准》（GB18597-2023）和《危险废物收集 贮存 运输技术规范》（HJ2025-2012）中的相关要求。</w:t>
            </w:r>
            <w:r>
              <w:rPr>
                <w:rFonts w:hint="eastAsia" w:ascii="Times New Roman" w:hAnsi="Times New Roman"/>
                <w:snapToGrid w:val="0"/>
                <w:color w:val="auto"/>
                <w:kern w:val="0"/>
                <w:sz w:val="21"/>
                <w:szCs w:val="21"/>
                <w:highlight w:val="none"/>
                <w:lang w:val="en-US" w:eastAsia="zh-CN"/>
              </w:rPr>
              <w:t>危废暂存库按照重点防渗区进行防渗，</w:t>
            </w:r>
            <w:r>
              <w:rPr>
                <w:rFonts w:hint="eastAsia" w:ascii="Times New Roman" w:hAnsi="Times New Roman" w:eastAsia="宋体" w:cs="Times New Roman"/>
                <w:snapToGrid w:val="0"/>
                <w:color w:val="auto"/>
                <w:kern w:val="0"/>
                <w:sz w:val="21"/>
                <w:szCs w:val="21"/>
                <w:highlight w:val="none"/>
                <w:lang w:val="en-US" w:eastAsia="zh-CN"/>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w:t>
            </w:r>
            <w:r>
              <w:rPr>
                <w:rFonts w:hint="default" w:ascii="Times New Roman" w:hAnsi="Times New Roman" w:eastAsia="宋体" w:cs="Times New Roman"/>
                <w:snapToGrid w:val="0"/>
                <w:color w:val="auto"/>
                <w:kern w:val="0"/>
                <w:sz w:val="21"/>
                <w:szCs w:val="21"/>
                <w:highlight w:val="none"/>
                <w:lang w:val="en-US" w:eastAsia="zh-CN"/>
              </w:rPr>
              <w:t>1m</w:t>
            </w:r>
            <w:r>
              <w:rPr>
                <w:rFonts w:hint="eastAsia" w:ascii="Times New Roman" w:hAnsi="Times New Roman" w:eastAsia="宋体" w:cs="Times New Roman"/>
                <w:snapToGrid w:val="0"/>
                <w:color w:val="auto"/>
                <w:kern w:val="0"/>
                <w:sz w:val="21"/>
                <w:szCs w:val="21"/>
                <w:highlight w:val="none"/>
                <w:lang w:val="en-US" w:eastAsia="zh-CN"/>
              </w:rPr>
              <w:t>厚黏土层（渗透系数不大于</w:t>
            </w:r>
            <w:r>
              <w:rPr>
                <w:rFonts w:hint="default" w:ascii="Times New Roman" w:hAnsi="Times New Roman" w:eastAsia="宋体" w:cs="Times New Roman"/>
                <w:snapToGrid w:val="0"/>
                <w:color w:val="auto"/>
                <w:kern w:val="0"/>
                <w:sz w:val="21"/>
                <w:szCs w:val="21"/>
                <w:highlight w:val="none"/>
                <w:lang w:val="en-US" w:eastAsia="zh-CN"/>
              </w:rPr>
              <w:t>10</w:t>
            </w:r>
            <w:r>
              <w:rPr>
                <w:rFonts w:hint="default" w:ascii="Times New Roman" w:hAnsi="Times New Roman" w:eastAsia="宋体" w:cs="Times New Roman"/>
                <w:snapToGrid w:val="0"/>
                <w:color w:val="auto"/>
                <w:kern w:val="0"/>
                <w:sz w:val="21"/>
                <w:szCs w:val="21"/>
                <w:highlight w:val="none"/>
                <w:vertAlign w:val="superscript"/>
                <w:lang w:val="en-US" w:eastAsia="zh-CN"/>
              </w:rPr>
              <w:t>-7</w:t>
            </w:r>
            <w:r>
              <w:rPr>
                <w:rFonts w:hint="default" w:ascii="Times New Roman" w:hAnsi="Times New Roman" w:eastAsia="宋体" w:cs="Times New Roman"/>
                <w:snapToGrid w:val="0"/>
                <w:color w:val="auto"/>
                <w:kern w:val="0"/>
                <w:sz w:val="21"/>
                <w:szCs w:val="21"/>
                <w:highlight w:val="none"/>
                <w:lang w:val="en-US" w:eastAsia="zh-CN"/>
              </w:rPr>
              <w:t>cm/s</w:t>
            </w:r>
            <w:r>
              <w:rPr>
                <w:rFonts w:hint="eastAsia" w:ascii="Times New Roman" w:hAnsi="Times New Roman" w:eastAsia="宋体" w:cs="Times New Roman"/>
                <w:snapToGrid w:val="0"/>
                <w:color w:val="auto"/>
                <w:kern w:val="0"/>
                <w:sz w:val="21"/>
                <w:szCs w:val="21"/>
                <w:highlight w:val="none"/>
                <w:lang w:val="en-US" w:eastAsia="zh-CN"/>
              </w:rPr>
              <w:t>），或至少</w:t>
            </w:r>
            <w:r>
              <w:rPr>
                <w:rFonts w:hint="default" w:ascii="Times New Roman" w:hAnsi="Times New Roman" w:eastAsia="宋体" w:cs="Times New Roman"/>
                <w:snapToGrid w:val="0"/>
                <w:color w:val="auto"/>
                <w:kern w:val="0"/>
                <w:sz w:val="21"/>
                <w:szCs w:val="21"/>
                <w:highlight w:val="none"/>
                <w:lang w:val="en-US" w:eastAsia="zh-CN"/>
              </w:rPr>
              <w:t>2mm</w:t>
            </w:r>
            <w:r>
              <w:rPr>
                <w:rFonts w:hint="eastAsia" w:ascii="Times New Roman" w:hAnsi="Times New Roman" w:eastAsia="宋体" w:cs="Times New Roman"/>
                <w:snapToGrid w:val="0"/>
                <w:color w:val="auto"/>
                <w:kern w:val="0"/>
                <w:sz w:val="21"/>
                <w:szCs w:val="21"/>
                <w:highlight w:val="none"/>
                <w:lang w:val="en-US" w:eastAsia="zh-CN"/>
              </w:rPr>
              <w:t>厚高密度聚乙烯膜等人工防渗材料（渗透系数不大于</w:t>
            </w:r>
            <w:r>
              <w:rPr>
                <w:rFonts w:hint="default" w:ascii="Times New Roman" w:hAnsi="Times New Roman" w:eastAsia="宋体" w:cs="Times New Roman"/>
                <w:snapToGrid w:val="0"/>
                <w:color w:val="auto"/>
                <w:kern w:val="0"/>
                <w:sz w:val="21"/>
                <w:szCs w:val="21"/>
                <w:highlight w:val="none"/>
                <w:lang w:val="en-US" w:eastAsia="zh-CN"/>
              </w:rPr>
              <w:t>10</w:t>
            </w:r>
            <w:r>
              <w:rPr>
                <w:rFonts w:hint="default" w:ascii="Times New Roman" w:hAnsi="Times New Roman" w:eastAsia="宋体" w:cs="Times New Roman"/>
                <w:snapToGrid w:val="0"/>
                <w:color w:val="auto"/>
                <w:kern w:val="0"/>
                <w:sz w:val="21"/>
                <w:szCs w:val="21"/>
                <w:highlight w:val="none"/>
                <w:vertAlign w:val="superscript"/>
                <w:lang w:val="en-US" w:eastAsia="zh-CN"/>
              </w:rPr>
              <w:t>-10</w:t>
            </w:r>
            <w:r>
              <w:rPr>
                <w:rFonts w:hint="default" w:ascii="Times New Roman" w:hAnsi="Times New Roman" w:eastAsia="宋体" w:cs="Times New Roman"/>
                <w:snapToGrid w:val="0"/>
                <w:color w:val="auto"/>
                <w:kern w:val="0"/>
                <w:sz w:val="21"/>
                <w:szCs w:val="21"/>
                <w:highlight w:val="none"/>
                <w:lang w:val="en-US" w:eastAsia="zh-CN"/>
              </w:rPr>
              <w:t>cm/s</w:t>
            </w:r>
            <w:r>
              <w:rPr>
                <w:rFonts w:hint="eastAsia" w:ascii="Times New Roman" w:hAnsi="Times New Roman" w:eastAsia="宋体" w:cs="Times New Roman"/>
                <w:snapToGrid w:val="0"/>
                <w:color w:val="auto"/>
                <w:kern w:val="0"/>
                <w:sz w:val="21"/>
                <w:szCs w:val="21"/>
                <w:highlight w:val="none"/>
                <w:lang w:val="en-US" w:eastAsia="zh-CN"/>
              </w:rPr>
              <w:t>），或其他防渗性能等效的材料。</w:t>
            </w:r>
            <w:r>
              <w:rPr>
                <w:rFonts w:hint="eastAsia" w:ascii="Times New Roman" w:hAnsi="Times New Roman"/>
                <w:snapToGrid w:val="0"/>
                <w:color w:val="auto"/>
                <w:kern w:val="0"/>
                <w:sz w:val="21"/>
                <w:szCs w:val="21"/>
                <w:highlight w:val="none"/>
                <w:lang w:val="en-US" w:eastAsia="zh-CN"/>
              </w:rPr>
              <w:t>库</w:t>
            </w:r>
            <w:r>
              <w:rPr>
                <w:rFonts w:hint="eastAsia" w:ascii="Times New Roman" w:hAnsi="Times New Roman"/>
                <w:snapToGrid w:val="0"/>
                <w:color w:val="auto"/>
                <w:kern w:val="0"/>
                <w:sz w:val="21"/>
                <w:szCs w:val="21"/>
                <w:highlight w:val="none"/>
              </w:rPr>
              <w:t>内设置有收集沟和收集池（约</w:t>
            </w:r>
            <w:r>
              <w:rPr>
                <w:rFonts w:hint="eastAsia" w:ascii="Times New Roman" w:hAnsi="Times New Roman"/>
                <w:snapToGrid w:val="0"/>
                <w:color w:val="auto"/>
                <w:kern w:val="0"/>
                <w:sz w:val="21"/>
                <w:szCs w:val="21"/>
                <w:highlight w:val="none"/>
                <w:lang w:val="en-US" w:eastAsia="zh-CN"/>
              </w:rPr>
              <w:t>2</w:t>
            </w:r>
            <w:r>
              <w:rPr>
                <w:rFonts w:hint="eastAsia" w:ascii="Times New Roman" w:hAnsi="Times New Roman"/>
                <w:snapToGrid w:val="0"/>
                <w:color w:val="auto"/>
                <w:kern w:val="0"/>
                <w:sz w:val="21"/>
                <w:szCs w:val="21"/>
                <w:highlight w:val="none"/>
              </w:rPr>
              <w:t>m</w:t>
            </w:r>
            <w:r>
              <w:rPr>
                <w:rFonts w:hint="eastAsia" w:ascii="Times New Roman" w:hAnsi="Times New Roman"/>
                <w:snapToGrid w:val="0"/>
                <w:color w:val="auto"/>
                <w:kern w:val="0"/>
                <w:sz w:val="21"/>
                <w:szCs w:val="21"/>
                <w:highlight w:val="none"/>
                <w:vertAlign w:val="superscript"/>
              </w:rPr>
              <w:t>3</w:t>
            </w:r>
            <w:r>
              <w:rPr>
                <w:rFonts w:hint="eastAsia" w:ascii="Times New Roman" w:hAnsi="Times New Roman"/>
                <w:snapToGrid w:val="0"/>
                <w:color w:val="auto"/>
                <w:kern w:val="0"/>
                <w:sz w:val="21"/>
                <w:szCs w:val="21"/>
                <w:highlight w:val="none"/>
              </w:rPr>
              <w:t>），可对渗滤液或泄漏的液体进行收集，并将其抽入废水处理站进行处理，切实做到了防风、防渗漏、防淋溶、防流失，降低了危险废物进入外界环境的风险</w:t>
            </w:r>
            <w:r>
              <w:rPr>
                <w:rFonts w:hint="eastAsia" w:ascii="Times New Roman" w:hAnsi="Times New Roman"/>
                <w:snapToGrid w:val="0"/>
                <w:color w:val="auto"/>
                <w:kern w:val="0"/>
                <w:sz w:val="21"/>
                <w:szCs w:val="21"/>
                <w:highlight w:val="none"/>
                <w:lang w:eastAsia="zh-CN"/>
              </w:rPr>
              <w:t>。</w:t>
            </w:r>
          </w:p>
          <w:p w14:paraId="08C5C393">
            <w:pPr>
              <w:spacing w:line="360" w:lineRule="auto"/>
              <w:ind w:firstLine="482"/>
              <w:contextualSpacing/>
              <w:rPr>
                <w:color w:val="auto"/>
                <w:sz w:val="21"/>
                <w:szCs w:val="21"/>
                <w:highlight w:val="none"/>
              </w:rPr>
            </w:pPr>
            <w:r>
              <w:rPr>
                <w:rFonts w:hint="eastAsia"/>
                <w:color w:val="auto"/>
                <w:sz w:val="21"/>
                <w:szCs w:val="21"/>
                <w:highlight w:val="none"/>
                <w:lang w:eastAsia="zh-CN"/>
              </w:rPr>
              <w:t>（</w:t>
            </w:r>
            <w:r>
              <w:rPr>
                <w:rFonts w:hint="eastAsia"/>
                <w:color w:val="auto"/>
                <w:sz w:val="21"/>
                <w:szCs w:val="21"/>
                <w:highlight w:val="none"/>
                <w:lang w:val="en-US" w:eastAsia="zh-CN"/>
              </w:rPr>
              <w:t>1</w:t>
            </w:r>
            <w:r>
              <w:rPr>
                <w:rFonts w:hint="eastAsia"/>
                <w:color w:val="auto"/>
                <w:sz w:val="21"/>
                <w:szCs w:val="21"/>
                <w:highlight w:val="none"/>
                <w:lang w:eastAsia="zh-CN"/>
              </w:rPr>
              <w:t>）</w:t>
            </w:r>
            <w:r>
              <w:rPr>
                <w:color w:val="auto"/>
                <w:sz w:val="21"/>
                <w:szCs w:val="21"/>
                <w:highlight w:val="none"/>
              </w:rPr>
              <w:t>危险废物</w:t>
            </w:r>
            <w:r>
              <w:rPr>
                <w:rFonts w:hint="eastAsia"/>
                <w:color w:val="auto"/>
                <w:sz w:val="21"/>
                <w:szCs w:val="21"/>
                <w:highlight w:val="none"/>
                <w:lang w:val="en-US" w:eastAsia="zh-CN"/>
              </w:rPr>
              <w:t>收集与</w:t>
            </w:r>
            <w:r>
              <w:rPr>
                <w:color w:val="auto"/>
                <w:sz w:val="21"/>
                <w:szCs w:val="21"/>
                <w:highlight w:val="none"/>
              </w:rPr>
              <w:t>贮存设施环境影响分析</w:t>
            </w:r>
          </w:p>
          <w:p w14:paraId="6E819DD2">
            <w:pPr>
              <w:spacing w:line="360" w:lineRule="auto"/>
              <w:ind w:firstLine="482"/>
              <w:rPr>
                <w:rFonts w:ascii="Times New Roman" w:hAnsi="Times New Roman"/>
                <w:color w:val="auto"/>
                <w:sz w:val="21"/>
                <w:szCs w:val="21"/>
                <w:highlight w:val="none"/>
              </w:rPr>
            </w:pPr>
            <w:r>
              <w:rPr>
                <w:rFonts w:ascii="Times New Roman" w:hAnsi="Times New Roman"/>
                <w:color w:val="auto"/>
                <w:sz w:val="21"/>
                <w:szCs w:val="21"/>
                <w:highlight w:val="none"/>
              </w:rPr>
              <w:t>本项目危险废物的收集包括两个方面：一是在危险废物产生节点将危险废物集中到适当的包装容器中或车辆上的活动；二是将已包装或装到运输车辆上的危险废物集中到危险废物暂存仓库的内部转运。</w:t>
            </w:r>
          </w:p>
          <w:p w14:paraId="58C71EB2">
            <w:pPr>
              <w:spacing w:line="360" w:lineRule="auto"/>
              <w:ind w:firstLine="482"/>
              <w:rPr>
                <w:rFonts w:ascii="Times New Roman" w:hAnsi="Times New Roman"/>
                <w:color w:val="auto"/>
                <w:sz w:val="21"/>
                <w:szCs w:val="21"/>
                <w:highlight w:val="none"/>
              </w:rPr>
            </w:pPr>
            <w:r>
              <w:rPr>
                <w:rFonts w:ascii="Times New Roman" w:hAnsi="Times New Roman"/>
                <w:color w:val="auto"/>
                <w:sz w:val="21"/>
                <w:szCs w:val="21"/>
                <w:highlight w:val="none"/>
              </w:rPr>
              <w:t>拟建项目危险废物的收集应满足《危险废物收集、贮存、运输技术规范》(HJ2025-2012)的要求：</w:t>
            </w:r>
          </w:p>
          <w:p w14:paraId="4ED9DDAC">
            <w:pPr>
              <w:spacing w:line="360" w:lineRule="auto"/>
              <w:ind w:firstLine="482"/>
              <w:rPr>
                <w:rFonts w:ascii="Times New Roman" w:hAnsi="Times New Roman"/>
                <w:color w:val="auto"/>
                <w:sz w:val="21"/>
                <w:szCs w:val="21"/>
                <w:highlight w:val="none"/>
              </w:rPr>
            </w:pPr>
            <w:r>
              <w:rPr>
                <w:rFonts w:hint="eastAsia" w:ascii="宋体" w:hAnsi="宋体" w:cs="宋体"/>
                <w:color w:val="auto"/>
                <w:sz w:val="21"/>
                <w:szCs w:val="21"/>
                <w:highlight w:val="none"/>
              </w:rPr>
              <w:t>·</w:t>
            </w:r>
            <w:r>
              <w:rPr>
                <w:rFonts w:ascii="Times New Roman" w:hAnsi="Times New Roman"/>
                <w:color w:val="auto"/>
                <w:sz w:val="21"/>
                <w:szCs w:val="21"/>
                <w:highlight w:val="none"/>
              </w:rPr>
              <w:t>根据危险废物产生的工艺特征、排放周期、特性、管理计划等因素制定详细的收集计划。收集计划包括收集任务概述、收集目标及原则、危险废物特性评估、危险废物收集量估算、收集作业范围和方法、收集设备与包装容器、安全生产与个人防护、工程防护与事故应急、进度安排与组织管理等。</w:t>
            </w:r>
          </w:p>
          <w:p w14:paraId="07145898">
            <w:pPr>
              <w:spacing w:line="360" w:lineRule="auto"/>
              <w:ind w:firstLine="482"/>
              <w:rPr>
                <w:rFonts w:ascii="Times New Roman" w:hAnsi="Times New Roman"/>
                <w:color w:val="auto"/>
                <w:sz w:val="21"/>
                <w:szCs w:val="21"/>
                <w:highlight w:val="none"/>
              </w:rPr>
            </w:pPr>
            <w:r>
              <w:rPr>
                <w:rFonts w:hint="eastAsia" w:ascii="宋体" w:hAnsi="宋体" w:cs="宋体"/>
                <w:color w:val="auto"/>
                <w:sz w:val="21"/>
                <w:szCs w:val="21"/>
                <w:highlight w:val="none"/>
              </w:rPr>
              <w:t>·</w:t>
            </w:r>
            <w:r>
              <w:rPr>
                <w:rFonts w:ascii="Times New Roman" w:hAnsi="Times New Roman"/>
                <w:color w:val="auto"/>
                <w:sz w:val="21"/>
                <w:szCs w:val="21"/>
                <w:highlight w:val="none"/>
              </w:rPr>
              <w:t>制定危险废物收集操作规程，内容包括适用范围、操作程序和方法、专用设备和工具、转移和交接、安全保障和应急防护等。</w:t>
            </w:r>
          </w:p>
          <w:p w14:paraId="22127D5C">
            <w:pPr>
              <w:spacing w:line="360" w:lineRule="auto"/>
              <w:ind w:firstLine="482"/>
              <w:rPr>
                <w:rFonts w:ascii="Times New Roman" w:hAnsi="Times New Roman"/>
                <w:color w:val="auto"/>
                <w:sz w:val="21"/>
                <w:szCs w:val="21"/>
                <w:highlight w:val="none"/>
              </w:rPr>
            </w:pPr>
            <w:r>
              <w:rPr>
                <w:rFonts w:hint="eastAsia" w:ascii="宋体" w:hAnsi="宋体" w:cs="宋体"/>
                <w:color w:val="auto"/>
                <w:sz w:val="21"/>
                <w:szCs w:val="21"/>
                <w:highlight w:val="none"/>
              </w:rPr>
              <w:t>·</w:t>
            </w:r>
            <w:r>
              <w:rPr>
                <w:rFonts w:ascii="Times New Roman" w:hAnsi="Times New Roman"/>
                <w:color w:val="auto"/>
                <w:sz w:val="21"/>
                <w:szCs w:val="21"/>
                <w:highlight w:val="none"/>
              </w:rPr>
              <w:t>危险废物收集和转运作业人员根据工作需要配备必要的个人防护装备，如手套、防护镜、防护服、防毒面具或口罩等。</w:t>
            </w:r>
          </w:p>
          <w:p w14:paraId="440410C0">
            <w:pPr>
              <w:spacing w:line="360" w:lineRule="auto"/>
              <w:ind w:firstLine="482"/>
              <w:rPr>
                <w:rFonts w:ascii="Times New Roman" w:hAnsi="Times New Roman"/>
                <w:color w:val="auto"/>
                <w:sz w:val="21"/>
                <w:szCs w:val="21"/>
                <w:highlight w:val="none"/>
              </w:rPr>
            </w:pPr>
            <w:r>
              <w:rPr>
                <w:rFonts w:hint="eastAsia" w:ascii="宋体" w:hAnsi="宋体" w:cs="宋体"/>
                <w:color w:val="auto"/>
                <w:sz w:val="21"/>
                <w:szCs w:val="21"/>
                <w:highlight w:val="none"/>
              </w:rPr>
              <w:t>·</w:t>
            </w:r>
            <w:r>
              <w:rPr>
                <w:rFonts w:ascii="Times New Roman" w:hAnsi="Times New Roman"/>
                <w:color w:val="auto"/>
                <w:sz w:val="21"/>
                <w:szCs w:val="21"/>
                <w:highlight w:val="none"/>
              </w:rPr>
              <w:t>在危险废物收集和转运过程中，采取相应的安全防护和污染防治措施，包括防爆、防火、防泄漏、防飞扬、防雨或其他防治污染环境的措施。</w:t>
            </w:r>
          </w:p>
          <w:p w14:paraId="25D7A156">
            <w:pPr>
              <w:spacing w:line="360" w:lineRule="auto"/>
              <w:ind w:firstLine="482"/>
              <w:rPr>
                <w:rFonts w:ascii="Times New Roman" w:hAnsi="Times New Roman"/>
                <w:color w:val="auto"/>
                <w:sz w:val="21"/>
                <w:szCs w:val="21"/>
                <w:highlight w:val="none"/>
              </w:rPr>
            </w:pPr>
            <w:r>
              <w:rPr>
                <w:rFonts w:hint="eastAsia" w:ascii="宋体" w:hAnsi="宋体" w:cs="宋体"/>
                <w:color w:val="auto"/>
                <w:sz w:val="21"/>
                <w:szCs w:val="21"/>
                <w:highlight w:val="none"/>
              </w:rPr>
              <w:t>·</w:t>
            </w:r>
            <w:r>
              <w:rPr>
                <w:rFonts w:ascii="Times New Roman" w:hAnsi="Times New Roman"/>
                <w:color w:val="auto"/>
                <w:sz w:val="21"/>
                <w:szCs w:val="21"/>
                <w:highlight w:val="none"/>
              </w:rPr>
              <w:t>危险废物收集时应根据危险废物的种类、数量、危险特性、物理形态、运输要求等因素选择合适的包装形式。</w:t>
            </w:r>
          </w:p>
          <w:p w14:paraId="042FF161">
            <w:pPr>
              <w:spacing w:line="360" w:lineRule="auto"/>
              <w:ind w:firstLine="482"/>
              <w:rPr>
                <w:rFonts w:hint="default" w:ascii="Times New Roman" w:hAnsi="Times New Roman" w:eastAsia="宋体"/>
                <w:color w:val="auto"/>
                <w:sz w:val="21"/>
                <w:szCs w:val="21"/>
                <w:highlight w:val="none"/>
                <w:lang w:val="en-US" w:eastAsia="zh-CN"/>
              </w:rPr>
            </w:pPr>
            <w:r>
              <w:rPr>
                <w:rFonts w:hint="eastAsia"/>
                <w:color w:val="auto"/>
                <w:sz w:val="21"/>
                <w:szCs w:val="21"/>
                <w:highlight w:val="none"/>
                <w:lang w:val="en-US" w:eastAsia="zh-CN"/>
              </w:rPr>
              <w:t>同时企业应按照《危险废物管理计划和管理台账制定技术导则》（HJ1259-2022）相关要求，制定危险废物管理计划，内容应当包括减少危险废物产生量和降低危险废物危害性的措施以及危险废物贮存、利用、处置措施；建立危险废物管理台账，如实记录危险废物的种类、产生量、流向、贮存、利用、处置等有关信息；通过国家危险废物信息管理系统向所在地生态环境主管部门备案危险废物管理计划，申报危险废物有关资料。企业应当按照实际情况填写记录有关内容，并对内容的真实性、准确性和完整性负责。</w:t>
            </w:r>
          </w:p>
          <w:p w14:paraId="7B459DF3">
            <w:pPr>
              <w:spacing w:line="360" w:lineRule="auto"/>
              <w:ind w:firstLine="420" w:firstLineChars="200"/>
              <w:rPr>
                <w:color w:val="auto"/>
                <w:sz w:val="21"/>
                <w:szCs w:val="21"/>
                <w:highlight w:val="none"/>
              </w:rPr>
            </w:pPr>
            <w:r>
              <w:rPr>
                <w:rFonts w:hint="eastAsia"/>
                <w:color w:val="auto"/>
                <w:sz w:val="21"/>
                <w:szCs w:val="21"/>
                <w:highlight w:val="none"/>
                <w:lang w:eastAsia="zh-CN"/>
              </w:rPr>
              <w:t>（</w:t>
            </w:r>
            <w:r>
              <w:rPr>
                <w:rFonts w:hint="eastAsia"/>
                <w:color w:val="auto"/>
                <w:sz w:val="21"/>
                <w:szCs w:val="21"/>
                <w:highlight w:val="none"/>
                <w:lang w:val="en-US" w:eastAsia="zh-CN"/>
              </w:rPr>
              <w:t>2</w:t>
            </w:r>
            <w:r>
              <w:rPr>
                <w:rFonts w:hint="eastAsia"/>
                <w:color w:val="auto"/>
                <w:sz w:val="21"/>
                <w:szCs w:val="21"/>
                <w:highlight w:val="none"/>
                <w:lang w:eastAsia="zh-CN"/>
              </w:rPr>
              <w:t>）</w:t>
            </w:r>
            <w:r>
              <w:rPr>
                <w:color w:val="auto"/>
                <w:sz w:val="21"/>
                <w:szCs w:val="21"/>
                <w:highlight w:val="none"/>
              </w:rPr>
              <w:t>危废运输过程的环境影响分析</w:t>
            </w:r>
          </w:p>
          <w:p w14:paraId="0665846C">
            <w:pPr>
              <w:spacing w:line="360" w:lineRule="auto"/>
              <w:ind w:firstLine="420" w:firstLineChars="200"/>
              <w:rPr>
                <w:color w:val="auto"/>
                <w:sz w:val="21"/>
                <w:szCs w:val="21"/>
                <w:highlight w:val="none"/>
              </w:rPr>
            </w:pPr>
            <w:r>
              <w:rPr>
                <w:color w:val="auto"/>
                <w:sz w:val="21"/>
                <w:szCs w:val="21"/>
                <w:highlight w:val="none"/>
              </w:rPr>
              <w:t>危险废物从厂区内产生工艺环节运输到贮存场所或处置设施可能产生散落、泄漏所引起的环境影响。危险废物的储运均应根据《危险废物贮存污染控制标准》（GB18597-20</w:t>
            </w:r>
            <w:r>
              <w:rPr>
                <w:rFonts w:hint="eastAsia"/>
                <w:color w:val="auto"/>
                <w:sz w:val="21"/>
                <w:szCs w:val="21"/>
                <w:highlight w:val="none"/>
              </w:rPr>
              <w:t>23</w:t>
            </w:r>
            <w:r>
              <w:rPr>
                <w:color w:val="auto"/>
                <w:sz w:val="21"/>
                <w:szCs w:val="21"/>
                <w:highlight w:val="none"/>
              </w:rPr>
              <w:t>）的要求进行贮存和运输，并委托有运输资质的车队负责运输，确保运输过程的可靠和安全性。</w:t>
            </w:r>
          </w:p>
          <w:p w14:paraId="6B0C41B2">
            <w:pPr>
              <w:spacing w:line="360" w:lineRule="auto"/>
              <w:ind w:firstLine="420" w:firstLineChars="200"/>
              <w:rPr>
                <w:color w:val="auto"/>
                <w:sz w:val="21"/>
                <w:szCs w:val="21"/>
                <w:highlight w:val="none"/>
              </w:rPr>
            </w:pPr>
            <w:r>
              <w:rPr>
                <w:color w:val="auto"/>
                <w:sz w:val="21"/>
                <w:szCs w:val="21"/>
                <w:highlight w:val="none"/>
              </w:rPr>
              <w:t>按照中华人民共和国国务院令第344号《危险化学品安全管理条例》的有关规定，在危险废弃物外运至处置单位时做到以下要求：</w:t>
            </w:r>
          </w:p>
          <w:p w14:paraId="19908D6F">
            <w:pPr>
              <w:spacing w:line="360" w:lineRule="auto"/>
              <w:ind w:firstLine="420" w:firstLineChars="200"/>
              <w:rPr>
                <w:color w:val="auto"/>
                <w:sz w:val="21"/>
                <w:szCs w:val="21"/>
                <w:highlight w:val="none"/>
              </w:rPr>
            </w:pPr>
            <w:r>
              <w:rPr>
                <w:rFonts w:hint="eastAsia"/>
                <w:color w:val="auto"/>
                <w:sz w:val="21"/>
                <w:szCs w:val="21"/>
                <w:highlight w:val="none"/>
                <w:lang w:val="en-US" w:eastAsia="zh-CN"/>
              </w:rPr>
              <w:t>①</w:t>
            </w:r>
            <w:r>
              <w:rPr>
                <w:color w:val="auto"/>
                <w:sz w:val="21"/>
                <w:szCs w:val="21"/>
                <w:highlight w:val="none"/>
              </w:rPr>
              <w:t>建立运输登记制。每次外运处置废弃物进行运输登记，认真填写危险废物转移联单（每种废物填写一份联单），并加盖公司公章，经运输单位核实验收签字后，将联单第一联副联自留存档，将联单第二联交移当地环境保护行政主管部门，第三联及其余各联交付运输单位，随危险废物转移运行。</w:t>
            </w:r>
          </w:p>
          <w:p w14:paraId="6FC1AA5F">
            <w:pPr>
              <w:spacing w:line="360" w:lineRule="auto"/>
              <w:ind w:firstLine="420" w:firstLineChars="200"/>
              <w:rPr>
                <w:color w:val="auto"/>
                <w:sz w:val="21"/>
                <w:szCs w:val="21"/>
                <w:highlight w:val="none"/>
              </w:rPr>
            </w:pPr>
            <w:r>
              <w:rPr>
                <w:rFonts w:hint="eastAsia"/>
                <w:color w:val="auto"/>
                <w:sz w:val="21"/>
                <w:szCs w:val="21"/>
                <w:highlight w:val="none"/>
                <w:lang w:val="en-US" w:eastAsia="zh-CN"/>
              </w:rPr>
              <w:t>②</w:t>
            </w:r>
            <w:r>
              <w:rPr>
                <w:color w:val="auto"/>
                <w:sz w:val="21"/>
                <w:szCs w:val="21"/>
                <w:highlight w:val="none"/>
              </w:rPr>
              <w:t>使用专业人员。废弃物处置单位的运输人员具备了危险化学品运输的安全知识，了解所运载的危险化学品的性质、危害特性、包装容器的使用特性和发生意外时的应急措施。运输车辆具有危险货物运输许可证。驾驶人员取得驾驶执照。</w:t>
            </w:r>
          </w:p>
          <w:p w14:paraId="02931FD2">
            <w:pPr>
              <w:spacing w:line="360" w:lineRule="auto"/>
              <w:ind w:firstLine="420" w:firstLineChars="200"/>
              <w:rPr>
                <w:color w:val="auto"/>
                <w:sz w:val="21"/>
                <w:szCs w:val="21"/>
                <w:highlight w:val="none"/>
              </w:rPr>
            </w:pPr>
            <w:r>
              <w:rPr>
                <w:rFonts w:hint="eastAsia"/>
                <w:color w:val="auto"/>
                <w:sz w:val="21"/>
                <w:szCs w:val="21"/>
                <w:highlight w:val="none"/>
                <w:lang w:val="en-US" w:eastAsia="zh-CN"/>
              </w:rPr>
              <w:t>③</w:t>
            </w:r>
            <w:r>
              <w:rPr>
                <w:color w:val="auto"/>
                <w:sz w:val="21"/>
                <w:szCs w:val="21"/>
                <w:highlight w:val="none"/>
              </w:rPr>
              <w:t>配备押运人员。处置单位在运输危险废弃物时配备押运人员，并随时处于押运人员的监管之下，不超装、超载，严格按照所在城市规定的行车时间和行车路线行驶，不进入危险化学品运输车辆禁止通行的区域，严禁在雨天进行危废的运输和转运工作。</w:t>
            </w:r>
          </w:p>
          <w:p w14:paraId="59C155EF">
            <w:pPr>
              <w:spacing w:line="360" w:lineRule="auto"/>
              <w:ind w:firstLine="420" w:firstLineChars="200"/>
              <w:rPr>
                <w:color w:val="auto"/>
                <w:sz w:val="21"/>
                <w:szCs w:val="21"/>
                <w:highlight w:val="none"/>
              </w:rPr>
            </w:pPr>
            <w:r>
              <w:rPr>
                <w:rFonts w:hint="eastAsia"/>
                <w:color w:val="auto"/>
                <w:sz w:val="21"/>
                <w:szCs w:val="21"/>
                <w:highlight w:val="none"/>
                <w:lang w:val="en-US" w:eastAsia="zh-CN"/>
              </w:rPr>
              <w:t>④</w:t>
            </w:r>
            <w:r>
              <w:rPr>
                <w:color w:val="auto"/>
                <w:sz w:val="21"/>
                <w:szCs w:val="21"/>
                <w:highlight w:val="none"/>
              </w:rPr>
              <w:t>对装危险废物的容器和包装物以及收集、储存、运输、处置危险废物的设施、场所必须设置危险废物识别标志，并且危险废物的储存地应远离生产区，注意通风、防火以免引起火灾，运输过程中必须采取密闭运输等防止污染环境的措施，遵守国家有关危险货物运输管理的规定。</w:t>
            </w:r>
          </w:p>
          <w:p w14:paraId="201433B0">
            <w:pPr>
              <w:spacing w:line="360" w:lineRule="auto"/>
              <w:ind w:firstLine="420" w:firstLineChars="200"/>
              <w:rPr>
                <w:color w:val="auto"/>
                <w:sz w:val="21"/>
                <w:szCs w:val="21"/>
                <w:highlight w:val="none"/>
              </w:rPr>
            </w:pPr>
            <w:r>
              <w:rPr>
                <w:rFonts w:hint="eastAsia"/>
                <w:color w:val="auto"/>
                <w:sz w:val="21"/>
                <w:szCs w:val="21"/>
                <w:highlight w:val="none"/>
                <w:lang w:val="en-US" w:eastAsia="zh-CN"/>
              </w:rPr>
              <w:t>⑤</w:t>
            </w:r>
            <w:r>
              <w:rPr>
                <w:color w:val="auto"/>
                <w:sz w:val="21"/>
                <w:szCs w:val="21"/>
                <w:highlight w:val="none"/>
              </w:rPr>
              <w:t>建立应急机制。危险废弃物在运输途中若发生被盗、丢失、流散、泄漏等情况时，由公司及押运人员立即向当地公安部门报告，并采取一切可能的警示措施；一旦发生废弃物泄漏事故，公司和废弃物处置单位积极协助有关部门采取必要的安全措施，减少事故损失，防止事故蔓延、扩大；针对事故对人体、动植物、土壤、水源、空气造成的现实危害和潜在危害，迅速采取封闭、隔离等措施，并对事故造成的危害进行监测、处置，直至符合国家环境保护标准。</w:t>
            </w:r>
          </w:p>
          <w:p w14:paraId="74AE3BF2">
            <w:pPr>
              <w:spacing w:line="360" w:lineRule="auto"/>
              <w:ind w:firstLine="420" w:firstLineChars="200"/>
              <w:rPr>
                <w:color w:val="auto"/>
                <w:sz w:val="21"/>
                <w:szCs w:val="21"/>
                <w:highlight w:val="none"/>
              </w:rPr>
            </w:pPr>
            <w:r>
              <w:rPr>
                <w:color w:val="auto"/>
                <w:sz w:val="21"/>
                <w:szCs w:val="21"/>
                <w:highlight w:val="none"/>
              </w:rPr>
              <w:t>做到以上措施后，项目危险废物在转运过程中对运输沿途的敏感目标影响不大。</w:t>
            </w:r>
          </w:p>
          <w:p w14:paraId="1CA75878">
            <w:pPr>
              <w:autoSpaceDE w:val="0"/>
              <w:autoSpaceDN w:val="0"/>
              <w:spacing w:line="360" w:lineRule="auto"/>
              <w:ind w:firstLine="420" w:firstLineChars="200"/>
              <w:rPr>
                <w:rFonts w:ascii="Times New Roman" w:hAnsi="Times New Roman"/>
                <w:color w:val="auto"/>
                <w:sz w:val="21"/>
                <w:szCs w:val="21"/>
                <w:highlight w:val="none"/>
              </w:rPr>
            </w:pPr>
            <w:r>
              <w:rPr>
                <w:rFonts w:hint="eastAsia" w:ascii="Times New Roman" w:hAnsi="Times New Roman"/>
                <w:color w:val="auto"/>
                <w:sz w:val="21"/>
                <w:szCs w:val="21"/>
                <w:highlight w:val="none"/>
                <w:lang w:val="en-US" w:eastAsia="zh-CN"/>
              </w:rPr>
              <w:t>（3）</w:t>
            </w:r>
            <w:r>
              <w:rPr>
                <w:rFonts w:ascii="Times New Roman" w:hAnsi="Times New Roman"/>
                <w:color w:val="auto"/>
                <w:sz w:val="21"/>
                <w:szCs w:val="21"/>
                <w:highlight w:val="none"/>
              </w:rPr>
              <w:t>委托利用或者处置的环境影响分析</w:t>
            </w:r>
          </w:p>
          <w:p w14:paraId="325E0D8C">
            <w:pPr>
              <w:autoSpaceDE w:val="0"/>
              <w:autoSpaceDN w:val="0"/>
              <w:spacing w:line="360" w:lineRule="auto"/>
              <w:ind w:firstLine="420" w:firstLineChars="200"/>
              <w:rPr>
                <w:rFonts w:ascii="Times New Roman" w:hAnsi="Times New Roman"/>
                <w:color w:val="auto"/>
                <w:sz w:val="21"/>
                <w:szCs w:val="21"/>
                <w:highlight w:val="none"/>
              </w:rPr>
            </w:pPr>
            <w:r>
              <w:rPr>
                <w:rFonts w:ascii="Times New Roman" w:hAnsi="Times New Roman"/>
                <w:color w:val="auto"/>
                <w:sz w:val="21"/>
                <w:szCs w:val="21"/>
                <w:highlight w:val="none"/>
              </w:rPr>
              <w:t>企业</w:t>
            </w:r>
            <w:r>
              <w:rPr>
                <w:rFonts w:hint="eastAsia" w:ascii="Times New Roman" w:hAnsi="Times New Roman"/>
                <w:color w:val="auto"/>
                <w:sz w:val="21"/>
                <w:szCs w:val="21"/>
                <w:highlight w:val="none"/>
                <w:lang w:val="en-US" w:eastAsia="zh-CN"/>
              </w:rPr>
              <w:t>应与</w:t>
            </w:r>
            <w:r>
              <w:rPr>
                <w:rFonts w:ascii="Times New Roman" w:hAnsi="Times New Roman"/>
                <w:color w:val="auto"/>
                <w:sz w:val="21"/>
                <w:szCs w:val="21"/>
                <w:highlight w:val="none"/>
              </w:rPr>
              <w:t>有资质单位签订危废委托处置的协议，各危废处置单位均具备有效的相关危废处置资质及处置能力，因此项目产生的危废可以按照相关标准要求进行处理处置。</w:t>
            </w:r>
          </w:p>
          <w:p w14:paraId="1AA7400A">
            <w:pPr>
              <w:autoSpaceDE w:val="0"/>
              <w:autoSpaceDN w:val="0"/>
              <w:spacing w:line="360" w:lineRule="auto"/>
              <w:ind w:firstLine="420" w:firstLineChars="200"/>
              <w:rPr>
                <w:rFonts w:ascii="Times New Roman" w:hAnsi="Times New Roman"/>
                <w:color w:val="auto"/>
                <w:sz w:val="21"/>
                <w:szCs w:val="21"/>
                <w:highlight w:val="none"/>
              </w:rPr>
            </w:pPr>
            <w:r>
              <w:rPr>
                <w:rFonts w:ascii="Times New Roman" w:hAnsi="Times New Roman"/>
                <w:color w:val="auto"/>
                <w:sz w:val="21"/>
                <w:szCs w:val="21"/>
                <w:highlight w:val="none"/>
              </w:rPr>
              <w:t>危险废物暂存间已做好地面防渗和废物的保存，且通过加强对固体废物的临时存储场所的管理，减轻对环境的影响。</w:t>
            </w:r>
          </w:p>
          <w:p w14:paraId="3034B452">
            <w:pPr>
              <w:adjustRightInd w:val="0"/>
              <w:spacing w:line="360" w:lineRule="auto"/>
              <w:ind w:right="34" w:firstLine="420" w:firstLineChars="200"/>
              <w:jc w:val="both"/>
              <w:rPr>
                <w:rFonts w:ascii="Times New Roman" w:hAnsi="Times New Roman"/>
                <w:color w:val="auto"/>
                <w:kern w:val="0"/>
                <w:sz w:val="21"/>
                <w:szCs w:val="21"/>
                <w:highlight w:val="none"/>
              </w:rPr>
            </w:pPr>
            <w:r>
              <w:rPr>
                <w:rFonts w:ascii="Times New Roman" w:hAnsi="Times New Roman"/>
                <w:color w:val="auto"/>
                <w:sz w:val="21"/>
                <w:szCs w:val="21"/>
                <w:highlight w:val="none"/>
              </w:rPr>
              <w:t>综上所述，在加强管理，并落实好各项污染防治措施安全处置措施的前提下，项目产生的固体废物对周围环境的影响较小。</w:t>
            </w:r>
          </w:p>
          <w:p w14:paraId="707DBF76">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right="0" w:firstLine="422" w:firstLineChars="200"/>
              <w:jc w:val="both"/>
              <w:textAlignment w:val="auto"/>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五、</w:t>
            </w:r>
            <w:r>
              <w:rPr>
                <w:rFonts w:hint="default" w:ascii="Times New Roman" w:hAnsi="Times New Roman" w:cs="Times New Roman"/>
                <w:b/>
                <w:bCs/>
                <w:color w:val="auto"/>
                <w:sz w:val="21"/>
                <w:szCs w:val="21"/>
                <w:highlight w:val="none"/>
                <w:lang w:val="en-US" w:eastAsia="zh-CN"/>
              </w:rPr>
              <w:t>地下水、土壤环境影响分析</w:t>
            </w:r>
          </w:p>
          <w:p w14:paraId="62A3AE91">
            <w:pPr>
              <w:pStyle w:val="17"/>
              <w:spacing w:line="360" w:lineRule="auto"/>
              <w:ind w:firstLine="422" w:firstLineChars="200"/>
              <w:jc w:val="left"/>
              <w:rPr>
                <w:rFonts w:ascii="Times New Roman" w:hAnsi="Times New Roman"/>
                <w:b/>
                <w:color w:val="auto"/>
                <w:sz w:val="21"/>
                <w:szCs w:val="21"/>
                <w:highlight w:val="none"/>
              </w:rPr>
            </w:pPr>
            <w:r>
              <w:rPr>
                <w:rFonts w:ascii="Times New Roman" w:hAnsi="Times New Roman"/>
                <w:b/>
                <w:color w:val="auto"/>
                <w:sz w:val="21"/>
                <w:szCs w:val="21"/>
                <w:highlight w:val="none"/>
              </w:rPr>
              <w:t>1、污染源分析</w:t>
            </w:r>
          </w:p>
          <w:p w14:paraId="49BF5BD8">
            <w:pPr>
              <w:pStyle w:val="20"/>
              <w:adjustRightInd w:val="0"/>
              <w:spacing w:after="0" w:line="353" w:lineRule="auto"/>
              <w:ind w:left="0" w:leftChars="0" w:firstLine="420" w:firstLineChars="200"/>
              <w:jc w:val="both"/>
              <w:rPr>
                <w:rFonts w:hint="eastAsia" w:ascii="Times New Roman" w:hAnsi="Times New Roman" w:eastAsia="宋体"/>
                <w:color w:val="auto"/>
                <w:sz w:val="21"/>
                <w:szCs w:val="21"/>
                <w:highlight w:val="none"/>
                <w:lang w:val="en-US" w:eastAsia="zh-CN"/>
              </w:rPr>
            </w:pPr>
            <w:r>
              <w:rPr>
                <w:rFonts w:ascii="Times New Roman" w:hAnsi="Times New Roman" w:eastAsia="宋体"/>
                <w:color w:val="auto"/>
                <w:sz w:val="21"/>
                <w:szCs w:val="21"/>
                <w:highlight w:val="none"/>
              </w:rPr>
              <w:t>本项目对地下水产生影响的可能区域是</w:t>
            </w:r>
            <w:r>
              <w:rPr>
                <w:rFonts w:hint="eastAsia"/>
                <w:color w:val="auto"/>
                <w:sz w:val="21"/>
                <w:szCs w:val="21"/>
                <w:highlight w:val="none"/>
                <w:lang w:val="en-US" w:eastAsia="zh-CN"/>
              </w:rPr>
              <w:t>酸洗、碱洗、罐区、危废暂存库、污水处理站</w:t>
            </w:r>
            <w:r>
              <w:rPr>
                <w:rFonts w:ascii="Times New Roman" w:hAnsi="Times New Roman" w:eastAsia="宋体"/>
                <w:color w:val="auto"/>
                <w:sz w:val="21"/>
                <w:szCs w:val="21"/>
                <w:highlight w:val="none"/>
              </w:rPr>
              <w:t>等区域。项目建成后，可能对土壤产生环境影响的主要为物料渗入土壤和固体废物的任意堆存。</w:t>
            </w:r>
            <w:r>
              <w:rPr>
                <w:rFonts w:hint="eastAsia" w:ascii="Times New Roman" w:hAnsi="Times New Roman" w:eastAsia="宋体"/>
                <w:color w:val="auto"/>
                <w:sz w:val="21"/>
                <w:szCs w:val="21"/>
                <w:highlight w:val="none"/>
                <w:lang w:val="en-US" w:eastAsia="zh-CN"/>
              </w:rPr>
              <w:t>如果不采取合理的防治措施，污染物有可能渗入地下水，从而影响地下水环境。因此，必须制定相应的地下水环境保护措施，进行综合环境管理。本项目地下水污染防治措施按照“源头控制、分区防控、污染监控、应急响应”相结合的原则，从污染物的产生、入渗、扩散、应急响应进行控制。</w:t>
            </w:r>
          </w:p>
          <w:p w14:paraId="2CD151AF">
            <w:pPr>
              <w:pStyle w:val="20"/>
              <w:adjustRightInd w:val="0"/>
              <w:spacing w:after="0" w:line="353" w:lineRule="auto"/>
              <w:ind w:left="0" w:leftChars="0" w:firstLine="420" w:firstLineChars="200"/>
              <w:jc w:val="left"/>
              <w:rPr>
                <w:rFonts w:ascii="Times New Roman" w:hAnsi="Times New Roman" w:eastAsia="宋体"/>
                <w:color w:val="auto"/>
                <w:sz w:val="21"/>
                <w:szCs w:val="21"/>
                <w:highlight w:val="none"/>
              </w:rPr>
            </w:pPr>
            <w:r>
              <w:rPr>
                <w:rFonts w:hint="eastAsia" w:ascii="Times New Roman" w:hAnsi="Times New Roman" w:eastAsia="宋体"/>
                <w:color w:val="auto"/>
                <w:sz w:val="21"/>
                <w:szCs w:val="21"/>
                <w:highlight w:val="none"/>
                <w:lang w:val="en-US" w:eastAsia="zh-CN"/>
              </w:rPr>
              <w:t>工程生产运行过程中要建立健全地下水保护与污染防治的措施与方法；必须采取必要监测制度，一旦发现地下水遭受污染，就应及时采取措施，防微杜渐；尽量减少污染物进入地下含水层的机会和数量。</w:t>
            </w:r>
          </w:p>
          <w:p w14:paraId="7097DF4E">
            <w:pPr>
              <w:pStyle w:val="20"/>
              <w:adjustRightInd w:val="0"/>
              <w:spacing w:after="0" w:line="353" w:lineRule="auto"/>
              <w:ind w:left="0" w:leftChars="0" w:firstLine="422" w:firstLineChars="200"/>
              <w:jc w:val="left"/>
              <w:rPr>
                <w:rFonts w:ascii="Times New Roman" w:hAnsi="Times New Roman"/>
                <w:b/>
                <w:color w:val="auto"/>
                <w:sz w:val="21"/>
                <w:szCs w:val="21"/>
                <w:highlight w:val="none"/>
              </w:rPr>
            </w:pPr>
            <w:r>
              <w:rPr>
                <w:rFonts w:ascii="Times New Roman" w:hAnsi="Times New Roman"/>
                <w:b/>
                <w:color w:val="auto"/>
                <w:sz w:val="21"/>
                <w:szCs w:val="21"/>
                <w:highlight w:val="none"/>
              </w:rPr>
              <w:t>2、保护措施</w:t>
            </w:r>
          </w:p>
          <w:p w14:paraId="70C182F9">
            <w:pPr>
              <w:pStyle w:val="20"/>
              <w:adjustRightInd w:val="0"/>
              <w:spacing w:after="0" w:line="360" w:lineRule="auto"/>
              <w:ind w:left="0" w:leftChars="0" w:firstLine="420" w:firstLineChars="200"/>
              <w:jc w:val="both"/>
              <w:rPr>
                <w:rFonts w:ascii="Times New Roman" w:hAnsi="Times New Roman" w:eastAsia="宋体"/>
                <w:color w:val="auto"/>
                <w:sz w:val="21"/>
                <w:szCs w:val="21"/>
                <w:highlight w:val="none"/>
              </w:rPr>
            </w:pPr>
            <w:r>
              <w:rPr>
                <w:rFonts w:hint="eastAsia" w:ascii="Times New Roman" w:hAnsi="Times New Roman" w:eastAsia="宋体"/>
                <w:color w:val="auto"/>
                <w:sz w:val="21"/>
                <w:szCs w:val="21"/>
                <w:highlight w:val="none"/>
                <w:lang w:val="en-US" w:eastAsia="zh-CN"/>
              </w:rPr>
              <w:t>对于地下水污染防治首先进行源头控制，主要包括提出实施清洁生产及各类废物循环利用的具体方案，减少污染物的产生量；提出工艺、管道、设备、污水储存及处理构筑物应采取的控制措施或防渗措施，防止污染物的跑、冒、滴、漏，将污染物泄漏导致的环境风险事故降到最低限度。本项目应对可能造成地下水污染的装置或设施所在位置及周边进行防渗。管线敷设尽量采用“可视化”原则，即管道尽可</w:t>
            </w:r>
            <w:r>
              <w:rPr>
                <w:rFonts w:hint="eastAsia"/>
                <w:color w:val="auto"/>
                <w:sz w:val="21"/>
                <w:szCs w:val="21"/>
                <w:highlight w:val="none"/>
                <w:lang w:val="en-US" w:eastAsia="zh-CN"/>
              </w:rPr>
              <w:t>能在</w:t>
            </w:r>
            <w:r>
              <w:rPr>
                <w:rFonts w:hint="eastAsia" w:ascii="Times New Roman" w:hAnsi="Times New Roman" w:eastAsia="宋体"/>
                <w:color w:val="auto"/>
                <w:sz w:val="21"/>
                <w:szCs w:val="21"/>
                <w:highlight w:val="none"/>
                <w:lang w:val="en-US" w:eastAsia="zh-CN"/>
              </w:rPr>
              <w:t>地上敷设或布置在可视化的管沟内，做到污染物“早发现、早处理”，减少由于埋地管道泄漏而造成的地下水污染。</w:t>
            </w:r>
          </w:p>
          <w:p w14:paraId="1AF8FE30">
            <w:pPr>
              <w:pStyle w:val="20"/>
              <w:adjustRightInd w:val="0"/>
              <w:spacing w:after="0" w:line="360" w:lineRule="auto"/>
              <w:ind w:left="0" w:leftChars="0" w:firstLine="420" w:firstLineChars="200"/>
              <w:jc w:val="both"/>
              <w:rPr>
                <w:rFonts w:ascii="Times New Roman" w:hAnsi="Times New Roman"/>
                <w:color w:val="auto"/>
                <w:sz w:val="21"/>
                <w:szCs w:val="21"/>
                <w:highlight w:val="none"/>
              </w:rPr>
            </w:pPr>
            <w:r>
              <w:rPr>
                <w:rFonts w:ascii="Times New Roman" w:hAnsi="Times New Roman" w:eastAsia="宋体"/>
                <w:color w:val="auto"/>
                <w:sz w:val="21"/>
                <w:szCs w:val="21"/>
                <w:highlight w:val="none"/>
              </w:rPr>
              <w:t>为防止项目建成运营后对周围土壤环境造成污染，企业应定期维护、检修废气处理设施；加强环境保护工作，制定环境管理制度，同时强化风险防范意识，如遇生产设施不能正常运转，企业应立即停产检修。</w:t>
            </w:r>
          </w:p>
          <w:p w14:paraId="65B1855E">
            <w:pPr>
              <w:pStyle w:val="20"/>
              <w:adjustRightInd w:val="0"/>
              <w:spacing w:after="0" w:line="353" w:lineRule="auto"/>
              <w:ind w:left="0" w:leftChars="0" w:firstLine="422" w:firstLineChars="200"/>
              <w:jc w:val="left"/>
              <w:rPr>
                <w:rFonts w:ascii="Times New Roman" w:hAnsi="Times New Roman"/>
                <w:b/>
                <w:color w:val="auto"/>
                <w:sz w:val="21"/>
                <w:szCs w:val="21"/>
                <w:highlight w:val="none"/>
              </w:rPr>
            </w:pPr>
            <w:r>
              <w:rPr>
                <w:rFonts w:ascii="Times New Roman" w:hAnsi="Times New Roman"/>
                <w:b/>
                <w:color w:val="auto"/>
                <w:sz w:val="21"/>
                <w:szCs w:val="21"/>
                <w:highlight w:val="none"/>
              </w:rPr>
              <w:t>3、分区防渗</w:t>
            </w:r>
          </w:p>
          <w:p w14:paraId="131699AE">
            <w:pPr>
              <w:pStyle w:val="20"/>
              <w:adjustRightInd w:val="0"/>
              <w:spacing w:after="0" w:line="360" w:lineRule="auto"/>
              <w:ind w:left="0" w:leftChars="0" w:firstLine="420" w:firstLineChars="200"/>
              <w:jc w:val="both"/>
              <w:rPr>
                <w:rFonts w:hint="default" w:ascii="Times New Roman" w:hAnsi="Times New Roman"/>
                <w:color w:val="auto"/>
                <w:sz w:val="21"/>
                <w:szCs w:val="21"/>
                <w:highlight w:val="none"/>
                <w:lang w:val="en-US" w:eastAsia="zh-CN"/>
              </w:rPr>
            </w:pPr>
            <w:r>
              <w:rPr>
                <w:rFonts w:ascii="Times New Roman" w:hAnsi="Times New Roman"/>
                <w:color w:val="auto"/>
                <w:sz w:val="21"/>
                <w:szCs w:val="21"/>
                <w:highlight w:val="none"/>
              </w:rPr>
              <w:t>根据《环境影响评价技术导则地下水环境》（HJ610-2016）中污染防治区分的规定，根据装置、单元的特点和所处的区域及部位，可将建设场地划分为简单防渗区、一般防渗区和重点防渗区。</w:t>
            </w:r>
            <w:r>
              <w:rPr>
                <w:rFonts w:hint="eastAsia" w:ascii="Times New Roman" w:hAnsi="Times New Roman"/>
                <w:color w:val="auto"/>
                <w:sz w:val="21"/>
                <w:szCs w:val="21"/>
                <w:highlight w:val="none"/>
                <w:lang w:val="en-US" w:eastAsia="zh-CN"/>
              </w:rPr>
              <w:t>本项目采取的防渗措施见下表</w:t>
            </w:r>
            <w:r>
              <w:rPr>
                <w:rFonts w:hint="eastAsia"/>
                <w:color w:val="auto"/>
                <w:sz w:val="21"/>
                <w:szCs w:val="21"/>
                <w:highlight w:val="none"/>
                <w:lang w:val="en-US" w:eastAsia="zh-CN"/>
              </w:rPr>
              <w:t>，项目分区防渗图见附图7。</w:t>
            </w:r>
          </w:p>
          <w:p w14:paraId="1CC53B0E">
            <w:pPr>
              <w:spacing w:line="360" w:lineRule="auto"/>
              <w:jc w:val="center"/>
              <w:rPr>
                <w:rFonts w:ascii="Times New Roman" w:hAnsi="Times New Roman" w:eastAsia="黑体"/>
                <w:bCs/>
                <w:color w:val="auto"/>
                <w:spacing w:val="2"/>
                <w:sz w:val="21"/>
                <w:szCs w:val="21"/>
                <w:highlight w:val="none"/>
              </w:rPr>
            </w:pPr>
            <w:r>
              <w:rPr>
                <w:rFonts w:ascii="Times New Roman" w:hAnsi="Times New Roman" w:eastAsia="黑体"/>
                <w:bCs/>
                <w:color w:val="auto"/>
                <w:spacing w:val="2"/>
                <w:sz w:val="21"/>
                <w:szCs w:val="21"/>
                <w:highlight w:val="none"/>
              </w:rPr>
              <w:t>表4-</w:t>
            </w:r>
            <w:r>
              <w:rPr>
                <w:rFonts w:hint="eastAsia" w:eastAsia="黑体"/>
                <w:bCs/>
                <w:color w:val="auto"/>
                <w:spacing w:val="2"/>
                <w:sz w:val="21"/>
                <w:szCs w:val="21"/>
                <w:highlight w:val="none"/>
                <w:lang w:val="en-US" w:eastAsia="zh-CN"/>
              </w:rPr>
              <w:t>26  拟建项目</w:t>
            </w:r>
            <w:r>
              <w:rPr>
                <w:rFonts w:ascii="Times New Roman" w:hAnsi="Times New Roman" w:eastAsia="黑体"/>
                <w:bCs/>
                <w:color w:val="auto"/>
                <w:spacing w:val="2"/>
                <w:sz w:val="21"/>
                <w:szCs w:val="21"/>
                <w:highlight w:val="none"/>
              </w:rPr>
              <w:t>地下水污染防渗分区表</w:t>
            </w:r>
          </w:p>
          <w:tbl>
            <w:tblPr>
              <w:tblStyle w:val="33"/>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97"/>
              <w:gridCol w:w="2666"/>
              <w:gridCol w:w="4236"/>
            </w:tblGrid>
            <w:tr w14:paraId="56506A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42" w:type="pct"/>
                  <w:noWrap w:val="0"/>
                  <w:vAlign w:val="center"/>
                </w:tcPr>
                <w:p w14:paraId="56C1D327">
                  <w:pPr>
                    <w:jc w:val="center"/>
                    <w:rPr>
                      <w:rFonts w:ascii="Times New Roman" w:hAnsi="Times New Roman"/>
                      <w:color w:val="auto"/>
                      <w:sz w:val="18"/>
                      <w:szCs w:val="18"/>
                      <w:highlight w:val="none"/>
                    </w:rPr>
                  </w:pPr>
                  <w:r>
                    <w:rPr>
                      <w:rFonts w:ascii="Times New Roman" w:hAnsi="Times New Roman"/>
                      <w:color w:val="auto"/>
                      <w:sz w:val="18"/>
                      <w:szCs w:val="18"/>
                      <w:highlight w:val="none"/>
                    </w:rPr>
                    <w:t>分区类别</w:t>
                  </w:r>
                </w:p>
              </w:tc>
              <w:tc>
                <w:tcPr>
                  <w:tcW w:w="1606" w:type="pct"/>
                  <w:noWrap w:val="0"/>
                  <w:vAlign w:val="center"/>
                </w:tcPr>
                <w:p w14:paraId="4BAE6AAA">
                  <w:pPr>
                    <w:jc w:val="center"/>
                    <w:rPr>
                      <w:rFonts w:ascii="Times New Roman" w:hAnsi="Times New Roman"/>
                      <w:color w:val="auto"/>
                      <w:sz w:val="18"/>
                      <w:szCs w:val="18"/>
                      <w:highlight w:val="none"/>
                    </w:rPr>
                  </w:pPr>
                  <w:r>
                    <w:rPr>
                      <w:rFonts w:ascii="Times New Roman" w:hAnsi="Times New Roman"/>
                      <w:color w:val="auto"/>
                      <w:sz w:val="18"/>
                      <w:szCs w:val="18"/>
                      <w:highlight w:val="none"/>
                    </w:rPr>
                    <w:t>污染防治区域及部位</w:t>
                  </w:r>
                </w:p>
              </w:tc>
              <w:tc>
                <w:tcPr>
                  <w:tcW w:w="2550" w:type="pct"/>
                  <w:noWrap w:val="0"/>
                  <w:vAlign w:val="center"/>
                </w:tcPr>
                <w:p w14:paraId="46583E7A">
                  <w:pPr>
                    <w:jc w:val="center"/>
                    <w:rPr>
                      <w:rFonts w:hint="eastAsia" w:ascii="Times New Roman" w:hAnsi="Times New Roman" w:eastAsia="宋体" w:cs="Times New Roman"/>
                      <w:color w:val="auto"/>
                      <w:sz w:val="18"/>
                      <w:szCs w:val="18"/>
                      <w:highlight w:val="none"/>
                      <w:lang w:val="en-US" w:eastAsia="zh-CN"/>
                    </w:rPr>
                  </w:pPr>
                  <w:r>
                    <w:rPr>
                      <w:rFonts w:ascii="Times New Roman" w:hAnsi="Times New Roman" w:eastAsia="宋体" w:cs="Times New Roman"/>
                      <w:color w:val="auto"/>
                      <w:sz w:val="18"/>
                      <w:szCs w:val="18"/>
                      <w:highlight w:val="none"/>
                    </w:rPr>
                    <w:t>防渗</w:t>
                  </w:r>
                  <w:r>
                    <w:rPr>
                      <w:rFonts w:hint="eastAsia" w:ascii="Times New Roman" w:hAnsi="Times New Roman" w:eastAsia="宋体" w:cs="Times New Roman"/>
                      <w:color w:val="auto"/>
                      <w:sz w:val="18"/>
                      <w:szCs w:val="18"/>
                      <w:highlight w:val="none"/>
                      <w:lang w:val="en-US" w:eastAsia="zh-CN"/>
                    </w:rPr>
                    <w:t>要求</w:t>
                  </w:r>
                </w:p>
              </w:tc>
            </w:tr>
            <w:tr w14:paraId="64DA0C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2" w:type="pct"/>
                  <w:vMerge w:val="restart"/>
                  <w:noWrap w:val="0"/>
                  <w:vAlign w:val="center"/>
                </w:tcPr>
                <w:p w14:paraId="4B8949E0">
                  <w:pPr>
                    <w:jc w:val="center"/>
                    <w:rPr>
                      <w:rFonts w:ascii="Times New Roman" w:hAnsi="Times New Roman"/>
                      <w:color w:val="auto"/>
                      <w:sz w:val="18"/>
                      <w:szCs w:val="18"/>
                      <w:highlight w:val="none"/>
                    </w:rPr>
                  </w:pPr>
                  <w:r>
                    <w:rPr>
                      <w:rFonts w:ascii="Times New Roman" w:hAnsi="Times New Roman"/>
                      <w:color w:val="auto"/>
                      <w:sz w:val="18"/>
                      <w:szCs w:val="18"/>
                      <w:highlight w:val="none"/>
                    </w:rPr>
                    <w:t>重点防渗区</w:t>
                  </w:r>
                </w:p>
              </w:tc>
              <w:tc>
                <w:tcPr>
                  <w:tcW w:w="1606" w:type="pct"/>
                  <w:noWrap w:val="0"/>
                  <w:vAlign w:val="center"/>
                </w:tcPr>
                <w:p w14:paraId="0CA10343">
                  <w:pPr>
                    <w:jc w:val="center"/>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危废暂存库</w:t>
                  </w:r>
                </w:p>
              </w:tc>
              <w:tc>
                <w:tcPr>
                  <w:tcW w:w="2550" w:type="pct"/>
                  <w:noWrap w:val="0"/>
                  <w:vAlign w:val="center"/>
                </w:tcPr>
                <w:p w14:paraId="0422B671">
                  <w:pPr>
                    <w:jc w:val="center"/>
                    <w:rPr>
                      <w:rFonts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lang w:val="en-US" w:eastAsia="zh-CN"/>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w:t>
                  </w:r>
                  <w:r>
                    <w:rPr>
                      <w:rFonts w:hint="default" w:ascii="Times New Roman" w:hAnsi="Times New Roman" w:eastAsia="宋体" w:cs="Times New Roman"/>
                      <w:color w:val="auto"/>
                      <w:sz w:val="18"/>
                      <w:szCs w:val="18"/>
                      <w:highlight w:val="none"/>
                      <w:lang w:val="en-US" w:eastAsia="zh-CN"/>
                    </w:rPr>
                    <w:t>1m</w:t>
                  </w:r>
                  <w:r>
                    <w:rPr>
                      <w:rFonts w:hint="eastAsia" w:ascii="Times New Roman" w:hAnsi="Times New Roman" w:eastAsia="宋体" w:cs="Times New Roman"/>
                      <w:color w:val="auto"/>
                      <w:sz w:val="18"/>
                      <w:szCs w:val="18"/>
                      <w:highlight w:val="none"/>
                      <w:lang w:val="en-US" w:eastAsia="zh-CN"/>
                    </w:rPr>
                    <w:t>厚黏土层（渗透系数不大于</w:t>
                  </w:r>
                  <w:r>
                    <w:rPr>
                      <w:rFonts w:hint="default" w:ascii="Times New Roman" w:hAnsi="Times New Roman" w:eastAsia="宋体" w:cs="Times New Roman"/>
                      <w:color w:val="auto"/>
                      <w:sz w:val="18"/>
                      <w:szCs w:val="18"/>
                      <w:highlight w:val="none"/>
                      <w:lang w:val="en-US" w:eastAsia="zh-CN"/>
                    </w:rPr>
                    <w:t>10</w:t>
                  </w:r>
                  <w:r>
                    <w:rPr>
                      <w:rFonts w:hint="default" w:ascii="Times New Roman" w:hAnsi="Times New Roman" w:eastAsia="宋体" w:cs="Times New Roman"/>
                      <w:color w:val="auto"/>
                      <w:sz w:val="18"/>
                      <w:szCs w:val="18"/>
                      <w:highlight w:val="none"/>
                      <w:vertAlign w:val="superscript"/>
                      <w:lang w:val="en-US" w:eastAsia="zh-CN"/>
                    </w:rPr>
                    <w:t>-7</w:t>
                  </w:r>
                  <w:r>
                    <w:rPr>
                      <w:rFonts w:hint="default" w:ascii="Times New Roman" w:hAnsi="Times New Roman" w:eastAsia="宋体" w:cs="Times New Roman"/>
                      <w:color w:val="auto"/>
                      <w:sz w:val="18"/>
                      <w:szCs w:val="18"/>
                      <w:highlight w:val="none"/>
                      <w:lang w:val="en-US" w:eastAsia="zh-CN"/>
                    </w:rPr>
                    <w:t>cm/s</w:t>
                  </w:r>
                  <w:r>
                    <w:rPr>
                      <w:rFonts w:hint="eastAsia" w:ascii="Times New Roman" w:hAnsi="Times New Roman" w:eastAsia="宋体" w:cs="Times New Roman"/>
                      <w:color w:val="auto"/>
                      <w:sz w:val="18"/>
                      <w:szCs w:val="18"/>
                      <w:highlight w:val="none"/>
                      <w:lang w:val="en-US" w:eastAsia="zh-CN"/>
                    </w:rPr>
                    <w:t>），或至少</w:t>
                  </w:r>
                  <w:r>
                    <w:rPr>
                      <w:rFonts w:hint="default" w:ascii="Times New Roman" w:hAnsi="Times New Roman" w:eastAsia="宋体" w:cs="Times New Roman"/>
                      <w:color w:val="auto"/>
                      <w:sz w:val="18"/>
                      <w:szCs w:val="18"/>
                      <w:highlight w:val="none"/>
                      <w:lang w:val="en-US" w:eastAsia="zh-CN"/>
                    </w:rPr>
                    <w:t>2mm</w:t>
                  </w:r>
                  <w:r>
                    <w:rPr>
                      <w:rFonts w:hint="eastAsia" w:ascii="Times New Roman" w:hAnsi="Times New Roman" w:eastAsia="宋体" w:cs="Times New Roman"/>
                      <w:color w:val="auto"/>
                      <w:sz w:val="18"/>
                      <w:szCs w:val="18"/>
                      <w:highlight w:val="none"/>
                      <w:lang w:val="en-US" w:eastAsia="zh-CN"/>
                    </w:rPr>
                    <w:t>厚高密度聚乙烯膜等人工防渗材料（渗透系数不大于</w:t>
                  </w:r>
                  <w:r>
                    <w:rPr>
                      <w:rFonts w:hint="default" w:ascii="Times New Roman" w:hAnsi="Times New Roman" w:eastAsia="宋体" w:cs="Times New Roman"/>
                      <w:color w:val="auto"/>
                      <w:sz w:val="18"/>
                      <w:szCs w:val="18"/>
                      <w:highlight w:val="none"/>
                      <w:lang w:val="en-US" w:eastAsia="zh-CN"/>
                    </w:rPr>
                    <w:t>10</w:t>
                  </w:r>
                  <w:r>
                    <w:rPr>
                      <w:rFonts w:hint="default" w:ascii="Times New Roman" w:hAnsi="Times New Roman" w:eastAsia="宋体" w:cs="Times New Roman"/>
                      <w:color w:val="auto"/>
                      <w:sz w:val="18"/>
                      <w:szCs w:val="18"/>
                      <w:highlight w:val="none"/>
                      <w:vertAlign w:val="superscript"/>
                      <w:lang w:val="en-US" w:eastAsia="zh-CN"/>
                    </w:rPr>
                    <w:t>-10</w:t>
                  </w:r>
                  <w:r>
                    <w:rPr>
                      <w:rFonts w:hint="default" w:ascii="Times New Roman" w:hAnsi="Times New Roman" w:eastAsia="宋体" w:cs="Times New Roman"/>
                      <w:color w:val="auto"/>
                      <w:sz w:val="18"/>
                      <w:szCs w:val="18"/>
                      <w:highlight w:val="none"/>
                      <w:lang w:val="en-US" w:eastAsia="zh-CN"/>
                    </w:rPr>
                    <w:t>cm/s</w:t>
                  </w:r>
                  <w:r>
                    <w:rPr>
                      <w:rFonts w:hint="eastAsia" w:ascii="Times New Roman" w:hAnsi="Times New Roman" w:eastAsia="宋体" w:cs="Times New Roman"/>
                      <w:color w:val="auto"/>
                      <w:sz w:val="18"/>
                      <w:szCs w:val="18"/>
                      <w:highlight w:val="none"/>
                      <w:lang w:val="en-US" w:eastAsia="zh-CN"/>
                    </w:rPr>
                    <w:t>），或其他防渗性能等效的材料</w:t>
                  </w:r>
                </w:p>
              </w:tc>
            </w:tr>
            <w:tr w14:paraId="63BF64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2" w:type="pct"/>
                  <w:vMerge w:val="continue"/>
                  <w:noWrap w:val="0"/>
                  <w:vAlign w:val="center"/>
                </w:tcPr>
                <w:p w14:paraId="4FCD90B8">
                  <w:pPr>
                    <w:jc w:val="center"/>
                    <w:rPr>
                      <w:rFonts w:ascii="Times New Roman" w:hAnsi="Times New Roman"/>
                      <w:color w:val="auto"/>
                      <w:sz w:val="18"/>
                      <w:szCs w:val="18"/>
                      <w:highlight w:val="none"/>
                    </w:rPr>
                  </w:pPr>
                </w:p>
              </w:tc>
              <w:tc>
                <w:tcPr>
                  <w:tcW w:w="2667" w:type="dxa"/>
                  <w:noWrap w:val="0"/>
                  <w:vAlign w:val="center"/>
                </w:tcPr>
                <w:p w14:paraId="21991E31">
                  <w:pPr>
                    <w:pStyle w:val="230"/>
                    <w:spacing w:before="0" w:beforeLines="0" w:line="280" w:lineRule="exact"/>
                    <w:rPr>
                      <w:rFonts w:hint="default"/>
                      <w:color w:val="auto"/>
                      <w:lang w:val="en-US"/>
                    </w:rPr>
                  </w:pPr>
                  <w:r>
                    <w:rPr>
                      <w:rFonts w:hint="default" w:ascii="Times New Roman" w:hAnsi="Times New Roman" w:eastAsia="宋体" w:cs="Times New Roman"/>
                      <w:color w:val="auto"/>
                      <w:sz w:val="18"/>
                      <w:szCs w:val="18"/>
                      <w:highlight w:val="none"/>
                      <w:lang w:val="en-US" w:eastAsia="zh-CN"/>
                    </w:rPr>
                    <w:t>污水处理站</w:t>
                  </w:r>
                  <w:r>
                    <w:rPr>
                      <w:rFonts w:hint="eastAsia" w:ascii="Times New Roman" w:hAnsi="Times New Roman" w:eastAsia="宋体" w:cs="Times New Roman"/>
                      <w:color w:val="auto"/>
                      <w:sz w:val="18"/>
                      <w:szCs w:val="18"/>
                      <w:highlight w:val="none"/>
                      <w:lang w:val="en-US" w:eastAsia="zh-CN"/>
                    </w:rPr>
                    <w:t>（含MgO废水处理）</w:t>
                  </w:r>
                  <w:r>
                    <w:rPr>
                      <w:rFonts w:hint="default" w:ascii="Times New Roman" w:hAnsi="Times New Roman" w:eastAsia="宋体" w:cs="Times New Roman"/>
                      <w:color w:val="auto"/>
                      <w:sz w:val="18"/>
                      <w:szCs w:val="18"/>
                      <w:highlight w:val="none"/>
                      <w:lang w:eastAsia="zh-CN"/>
                    </w:rPr>
                    <w:t>、</w:t>
                  </w:r>
                  <w:r>
                    <w:rPr>
                      <w:rFonts w:hint="eastAsia" w:ascii="Times New Roman" w:hAnsi="Times New Roman" w:eastAsia="宋体" w:cs="Times New Roman"/>
                      <w:color w:val="auto"/>
                      <w:sz w:val="18"/>
                      <w:szCs w:val="18"/>
                      <w:highlight w:val="none"/>
                      <w:lang w:val="en-US" w:eastAsia="zh-CN"/>
                    </w:rPr>
                    <w:t>事故水池、罐区、液氨气化站、酸再生区</w:t>
                  </w:r>
                </w:p>
              </w:tc>
              <w:tc>
                <w:tcPr>
                  <w:tcW w:w="2550" w:type="pct"/>
                  <w:noWrap w:val="0"/>
                  <w:vAlign w:val="center"/>
                </w:tcPr>
                <w:p w14:paraId="38637E65">
                  <w:pPr>
                    <w:jc w:val="center"/>
                    <w:rPr>
                      <w:rFonts w:ascii="Times New Roman" w:hAnsi="Times New Roman"/>
                      <w:color w:val="auto"/>
                      <w:sz w:val="18"/>
                      <w:szCs w:val="18"/>
                      <w:highlight w:val="none"/>
                    </w:rPr>
                  </w:pPr>
                  <w:r>
                    <w:rPr>
                      <w:rFonts w:ascii="Times New Roman" w:hAnsi="Times New Roman"/>
                      <w:color w:val="auto"/>
                      <w:sz w:val="18"/>
                      <w:szCs w:val="18"/>
                      <w:highlight w:val="none"/>
                    </w:rPr>
                    <w:t>等效黏土防渗层Mb≥6.0m，K≤10</w:t>
                  </w:r>
                  <w:r>
                    <w:rPr>
                      <w:rFonts w:ascii="Times New Roman" w:hAnsi="Times New Roman"/>
                      <w:color w:val="auto"/>
                      <w:sz w:val="18"/>
                      <w:szCs w:val="18"/>
                      <w:highlight w:val="none"/>
                      <w:vertAlign w:val="superscript"/>
                    </w:rPr>
                    <w:t>-7</w:t>
                  </w:r>
                  <w:r>
                    <w:rPr>
                      <w:rFonts w:ascii="Times New Roman" w:hAnsi="Times New Roman"/>
                      <w:color w:val="auto"/>
                      <w:sz w:val="18"/>
                      <w:szCs w:val="18"/>
                      <w:highlight w:val="none"/>
                    </w:rPr>
                    <w:t>cm/s；或参照GB18598执行</w:t>
                  </w:r>
                </w:p>
              </w:tc>
            </w:tr>
            <w:tr w14:paraId="2459EF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2" w:type="pct"/>
                  <w:noWrap w:val="0"/>
                  <w:vAlign w:val="center"/>
                </w:tcPr>
                <w:p w14:paraId="63B268E4">
                  <w:pPr>
                    <w:jc w:val="center"/>
                    <w:rPr>
                      <w:rFonts w:ascii="Times New Roman" w:hAnsi="Times New Roman"/>
                      <w:color w:val="auto"/>
                      <w:sz w:val="18"/>
                      <w:szCs w:val="18"/>
                      <w:highlight w:val="none"/>
                    </w:rPr>
                  </w:pPr>
                  <w:r>
                    <w:rPr>
                      <w:rFonts w:ascii="Times New Roman" w:hAnsi="Times New Roman"/>
                      <w:color w:val="auto"/>
                      <w:sz w:val="18"/>
                      <w:szCs w:val="18"/>
                      <w:highlight w:val="none"/>
                    </w:rPr>
                    <w:t>一般防渗区</w:t>
                  </w:r>
                </w:p>
              </w:tc>
              <w:tc>
                <w:tcPr>
                  <w:tcW w:w="2667" w:type="dxa"/>
                  <w:noWrap w:val="0"/>
                  <w:vAlign w:val="center"/>
                </w:tcPr>
                <w:p w14:paraId="139D4FDE">
                  <w:pPr>
                    <w:jc w:val="center"/>
                    <w:rPr>
                      <w:rFonts w:hint="default" w:ascii="Times New Roman" w:hAnsi="Times New Roman" w:eastAsia="宋体"/>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硅钢车间其他区域、铁芯车间</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val="en-US" w:eastAsia="zh-CN"/>
                    </w:rPr>
                    <w:t>气体区、锅炉房</w:t>
                  </w:r>
                  <w:r>
                    <w:rPr>
                      <w:rFonts w:hint="eastAsia" w:ascii="Times New Roman" w:hAnsi="Times New Roman" w:eastAsia="宋体" w:cs="Times New Roman"/>
                      <w:color w:val="auto"/>
                      <w:sz w:val="18"/>
                      <w:szCs w:val="18"/>
                      <w:highlight w:val="none"/>
                      <w:lang w:val="en-US" w:eastAsia="zh-CN"/>
                    </w:rPr>
                    <w:t>等</w:t>
                  </w:r>
                </w:p>
              </w:tc>
              <w:tc>
                <w:tcPr>
                  <w:tcW w:w="2550" w:type="pct"/>
                  <w:noWrap w:val="0"/>
                  <w:vAlign w:val="center"/>
                </w:tcPr>
                <w:p w14:paraId="27E8B19F">
                  <w:pPr>
                    <w:jc w:val="center"/>
                    <w:rPr>
                      <w:rFonts w:ascii="Times New Roman" w:hAnsi="Times New Roman"/>
                      <w:color w:val="auto"/>
                      <w:sz w:val="18"/>
                      <w:szCs w:val="18"/>
                      <w:highlight w:val="none"/>
                    </w:rPr>
                  </w:pPr>
                  <w:r>
                    <w:rPr>
                      <w:rFonts w:ascii="Times New Roman" w:hAnsi="Times New Roman"/>
                      <w:color w:val="auto"/>
                      <w:sz w:val="18"/>
                      <w:szCs w:val="18"/>
                      <w:highlight w:val="none"/>
                    </w:rPr>
                    <w:t>等效黏土防渗层Mb≥1.5m，K≤10</w:t>
                  </w:r>
                  <w:r>
                    <w:rPr>
                      <w:rFonts w:ascii="Times New Roman" w:hAnsi="Times New Roman"/>
                      <w:color w:val="auto"/>
                      <w:sz w:val="18"/>
                      <w:szCs w:val="18"/>
                      <w:highlight w:val="none"/>
                      <w:vertAlign w:val="superscript"/>
                    </w:rPr>
                    <w:t>-7</w:t>
                  </w:r>
                  <w:r>
                    <w:rPr>
                      <w:rFonts w:ascii="Times New Roman" w:hAnsi="Times New Roman"/>
                      <w:color w:val="auto"/>
                      <w:sz w:val="18"/>
                      <w:szCs w:val="18"/>
                      <w:highlight w:val="none"/>
                    </w:rPr>
                    <w:t>cm/s；或参照GB16889执行</w:t>
                  </w:r>
                </w:p>
              </w:tc>
            </w:tr>
            <w:tr w14:paraId="6E9EB5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2" w:type="pct"/>
                  <w:noWrap w:val="0"/>
                  <w:vAlign w:val="center"/>
                </w:tcPr>
                <w:p w14:paraId="3511FF89">
                  <w:pPr>
                    <w:jc w:val="center"/>
                    <w:rPr>
                      <w:rFonts w:ascii="Times New Roman" w:hAnsi="Times New Roman"/>
                      <w:color w:val="auto"/>
                      <w:sz w:val="18"/>
                      <w:szCs w:val="18"/>
                      <w:highlight w:val="none"/>
                    </w:rPr>
                  </w:pPr>
                  <w:r>
                    <w:rPr>
                      <w:rFonts w:ascii="Times New Roman" w:hAnsi="Times New Roman"/>
                      <w:color w:val="auto"/>
                      <w:sz w:val="18"/>
                      <w:szCs w:val="18"/>
                      <w:highlight w:val="none"/>
                    </w:rPr>
                    <w:t>简单防渗区</w:t>
                  </w:r>
                </w:p>
              </w:tc>
              <w:tc>
                <w:tcPr>
                  <w:tcW w:w="2667" w:type="dxa"/>
                  <w:noWrap w:val="0"/>
                  <w:vAlign w:val="center"/>
                </w:tcPr>
                <w:p w14:paraId="46F8ADA3">
                  <w:pPr>
                    <w:jc w:val="center"/>
                    <w:rPr>
                      <w:rFonts w:ascii="Times New Roman" w:hAnsi="Times New Roman"/>
                      <w:color w:val="auto"/>
                      <w:sz w:val="18"/>
                      <w:szCs w:val="18"/>
                      <w:highlight w:val="none"/>
                    </w:rPr>
                  </w:pPr>
                  <w:r>
                    <w:rPr>
                      <w:rFonts w:hint="default" w:ascii="Times New Roman" w:hAnsi="Times New Roman" w:eastAsia="宋体" w:cs="Times New Roman"/>
                      <w:color w:val="auto"/>
                      <w:sz w:val="18"/>
                      <w:szCs w:val="18"/>
                      <w:highlight w:val="none"/>
                    </w:rPr>
                    <w:t>办公区、</w:t>
                  </w:r>
                  <w:r>
                    <w:rPr>
                      <w:rFonts w:hint="default" w:ascii="Times New Roman" w:hAnsi="Times New Roman" w:eastAsia="宋体" w:cs="Times New Roman"/>
                      <w:color w:val="auto"/>
                      <w:sz w:val="18"/>
                      <w:szCs w:val="18"/>
                      <w:highlight w:val="none"/>
                      <w:lang w:val="en-US" w:eastAsia="zh-CN"/>
                    </w:rPr>
                    <w:t>研发中心、</w:t>
                  </w:r>
                  <w:r>
                    <w:rPr>
                      <w:rFonts w:hint="eastAsia" w:ascii="Times New Roman" w:hAnsi="Times New Roman" w:eastAsia="宋体" w:cs="Times New Roman"/>
                      <w:color w:val="auto"/>
                      <w:sz w:val="18"/>
                      <w:szCs w:val="18"/>
                      <w:highlight w:val="none"/>
                      <w:lang w:val="en-US" w:eastAsia="zh-CN"/>
                    </w:rPr>
                    <w:t>空压站、</w:t>
                  </w:r>
                  <w:r>
                    <w:rPr>
                      <w:rFonts w:hint="default" w:ascii="Times New Roman" w:hAnsi="Times New Roman" w:eastAsia="宋体" w:cs="Times New Roman"/>
                      <w:color w:val="auto"/>
                      <w:sz w:val="18"/>
                      <w:szCs w:val="18"/>
                      <w:highlight w:val="none"/>
                    </w:rPr>
                    <w:t>厂区道路</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val="en-US" w:eastAsia="zh-CN"/>
                    </w:rPr>
                    <w:t>变电站</w:t>
                  </w:r>
                  <w:r>
                    <w:rPr>
                      <w:rFonts w:hint="default" w:ascii="Times New Roman" w:hAnsi="Times New Roman" w:eastAsia="宋体" w:cs="Times New Roman"/>
                      <w:color w:val="auto"/>
                      <w:sz w:val="18"/>
                      <w:szCs w:val="18"/>
                      <w:highlight w:val="none"/>
                    </w:rPr>
                    <w:t>等</w:t>
                  </w:r>
                </w:p>
              </w:tc>
              <w:tc>
                <w:tcPr>
                  <w:tcW w:w="2550" w:type="pct"/>
                  <w:noWrap w:val="0"/>
                  <w:vAlign w:val="center"/>
                </w:tcPr>
                <w:p w14:paraId="19D39014">
                  <w:pPr>
                    <w:jc w:val="center"/>
                    <w:rPr>
                      <w:rFonts w:ascii="Times New Roman" w:hAnsi="Times New Roman"/>
                      <w:color w:val="auto"/>
                      <w:sz w:val="18"/>
                      <w:szCs w:val="18"/>
                      <w:highlight w:val="none"/>
                    </w:rPr>
                  </w:pPr>
                  <w:r>
                    <w:rPr>
                      <w:rFonts w:ascii="Times New Roman" w:hAnsi="Times New Roman"/>
                      <w:color w:val="auto"/>
                      <w:sz w:val="18"/>
                      <w:szCs w:val="18"/>
                      <w:highlight w:val="none"/>
                    </w:rPr>
                    <w:t>一般地面硬化</w:t>
                  </w:r>
                </w:p>
              </w:tc>
            </w:tr>
            <w:tr w14:paraId="1BA028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00" w:type="pct"/>
                  <w:gridSpan w:val="3"/>
                  <w:noWrap w:val="0"/>
                  <w:vAlign w:val="center"/>
                </w:tcPr>
                <w:p w14:paraId="0BCBAF18">
                  <w:pPr>
                    <w:jc w:val="both"/>
                    <w:rPr>
                      <w:rFonts w:hint="default" w:ascii="Times New Roman" w:hAnsi="Times New Roman" w:eastAsia="宋体"/>
                      <w:color w:val="auto"/>
                      <w:sz w:val="18"/>
                      <w:szCs w:val="18"/>
                      <w:highlight w:val="none"/>
                      <w:lang w:val="en-US" w:eastAsia="zh-CN"/>
                    </w:rPr>
                  </w:pPr>
                  <w:r>
                    <w:rPr>
                      <w:rFonts w:hint="eastAsia"/>
                      <w:color w:val="auto"/>
                      <w:sz w:val="18"/>
                      <w:szCs w:val="18"/>
                      <w:highlight w:val="none"/>
                      <w:lang w:val="en-US" w:eastAsia="zh-CN"/>
                    </w:rPr>
                    <w:t>本项目不设置地下酸洗、碱洗槽，轧制油、齿轮油等液态物质均在设备自带的储存设置中暂存，不在地面上直接放置</w:t>
                  </w:r>
                </w:p>
              </w:tc>
            </w:tr>
          </w:tbl>
          <w:p w14:paraId="28F0DE16">
            <w:pPr>
              <w:pStyle w:val="20"/>
              <w:adjustRightInd w:val="0"/>
              <w:spacing w:after="0" w:line="360" w:lineRule="auto"/>
              <w:ind w:left="0" w:leftChars="0" w:firstLine="420" w:firstLineChars="200"/>
              <w:jc w:val="both"/>
              <w:rPr>
                <w:rFonts w:ascii="Times New Roman" w:hAnsi="Times New Roman"/>
                <w:color w:val="auto"/>
                <w:sz w:val="21"/>
                <w:szCs w:val="21"/>
                <w:highlight w:val="none"/>
              </w:rPr>
            </w:pPr>
            <w:r>
              <w:rPr>
                <w:rFonts w:ascii="Times New Roman" w:hAnsi="Times New Roman"/>
                <w:color w:val="auto"/>
                <w:sz w:val="21"/>
                <w:szCs w:val="21"/>
                <w:highlight w:val="none"/>
              </w:rPr>
              <w:t>经上述分析，工程建设、运营期间各种污染物均得到妥善处理处置，土壤环境不会发生较大变化，对土壤环境的影响处于可接受的范围内。</w:t>
            </w:r>
          </w:p>
          <w:p w14:paraId="385A430D">
            <w:pPr>
              <w:pStyle w:val="20"/>
              <w:adjustRightInd w:val="0"/>
              <w:spacing w:after="0" w:line="353" w:lineRule="auto"/>
              <w:ind w:left="0" w:leftChars="0" w:firstLine="422" w:firstLineChars="200"/>
              <w:jc w:val="left"/>
              <w:rPr>
                <w:rFonts w:ascii="Times New Roman" w:hAnsi="Times New Roman"/>
                <w:b/>
                <w:color w:val="auto"/>
                <w:sz w:val="21"/>
                <w:szCs w:val="21"/>
                <w:highlight w:val="none"/>
              </w:rPr>
            </w:pPr>
            <w:r>
              <w:rPr>
                <w:rFonts w:ascii="Times New Roman" w:hAnsi="Times New Roman"/>
                <w:b/>
                <w:color w:val="auto"/>
                <w:sz w:val="21"/>
                <w:szCs w:val="21"/>
                <w:highlight w:val="none"/>
              </w:rPr>
              <w:t>4、监测要求</w:t>
            </w:r>
          </w:p>
          <w:p w14:paraId="1665B61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rFonts w:hint="eastAsia" w:eastAsia="宋体" w:cs="Times New Roman"/>
                <w:b/>
                <w:bCs/>
                <w:color w:val="auto"/>
                <w:sz w:val="21"/>
                <w:szCs w:val="21"/>
                <w:highlight w:val="none"/>
                <w:lang w:val="en-US" w:eastAsia="zh-CN"/>
              </w:rPr>
            </w:pPr>
            <w:r>
              <w:rPr>
                <w:rFonts w:ascii="Times New Roman" w:hAnsi="Times New Roman"/>
                <w:color w:val="auto"/>
                <w:sz w:val="21"/>
                <w:szCs w:val="21"/>
                <w:highlight w:val="none"/>
              </w:rPr>
              <w:t>根据本项目</w:t>
            </w:r>
            <w:r>
              <w:rPr>
                <w:rFonts w:hint="eastAsia"/>
                <w:color w:val="auto"/>
                <w:sz w:val="21"/>
                <w:szCs w:val="21"/>
                <w:highlight w:val="none"/>
                <w:lang w:val="en-US" w:eastAsia="zh-CN"/>
              </w:rPr>
              <w:t>属于钢压延加工项目，根据</w:t>
            </w:r>
            <w:r>
              <w:rPr>
                <w:rFonts w:ascii="Times New Roman" w:hAnsi="Times New Roman"/>
                <w:color w:val="auto"/>
                <w:sz w:val="21"/>
                <w:szCs w:val="21"/>
                <w:highlight w:val="none"/>
              </w:rPr>
              <w:t>所属行业特点及本项目工程分析内容，建议企业加强管理，减少对土壤、地下水的污染。本项目正常运营过程中产生的污染物基本不会对土壤、地下水造成影响</w:t>
            </w:r>
            <w:r>
              <w:rPr>
                <w:rFonts w:hint="eastAsia" w:eastAsia="宋体"/>
                <w:color w:val="auto"/>
                <w:sz w:val="21"/>
                <w:szCs w:val="21"/>
                <w:highlight w:val="none"/>
                <w:lang w:val="en-US" w:eastAsia="zh-CN"/>
              </w:rPr>
              <w:t>，本次建议企业</w:t>
            </w:r>
            <w:r>
              <w:rPr>
                <w:rFonts w:hint="eastAsia"/>
                <w:color w:val="auto"/>
                <w:sz w:val="21"/>
                <w:szCs w:val="21"/>
                <w:highlight w:val="none"/>
                <w:lang w:val="en-US" w:eastAsia="zh-CN"/>
              </w:rPr>
              <w:t>必要时</w:t>
            </w:r>
            <w:r>
              <w:rPr>
                <w:rFonts w:hint="eastAsia" w:eastAsia="宋体"/>
                <w:color w:val="auto"/>
                <w:sz w:val="21"/>
                <w:szCs w:val="21"/>
                <w:highlight w:val="none"/>
                <w:lang w:val="en-US" w:eastAsia="zh-CN"/>
              </w:rPr>
              <w:t>严格按照相关要求进行地下水和土壤的跟踪监测。</w:t>
            </w:r>
          </w:p>
          <w:p w14:paraId="5DB11238">
            <w:pPr>
              <w:pStyle w:val="166"/>
              <w:keepNext w:val="0"/>
              <w:keepLines w:val="0"/>
              <w:pageBreakBefore w:val="0"/>
              <w:widowControl w:val="0"/>
              <w:kinsoku/>
              <w:wordWrap/>
              <w:overflowPunct/>
              <w:topLinePunct w:val="0"/>
              <w:autoSpaceDE/>
              <w:autoSpaceDN/>
              <w:bidi w:val="0"/>
              <w:adjustRightInd w:val="0"/>
              <w:snapToGrid w:val="0"/>
              <w:ind w:left="0" w:leftChars="0" w:firstLine="422" w:firstLineChars="200"/>
              <w:jc w:val="left"/>
              <w:textAlignment w:val="baseline"/>
              <w:rPr>
                <w:rFonts w:hint="default" w:ascii="Times New Roman" w:hAnsi="Times New Roman" w:cs="Times New Roman"/>
                <w:b/>
                <w:bCs/>
                <w:color w:val="auto"/>
                <w:sz w:val="21"/>
                <w:szCs w:val="21"/>
                <w:highlight w:val="none"/>
              </w:rPr>
            </w:pPr>
            <w:r>
              <w:rPr>
                <w:rFonts w:hint="eastAsia" w:eastAsia="宋体" w:cs="Times New Roman"/>
                <w:b/>
                <w:bCs/>
                <w:color w:val="auto"/>
                <w:sz w:val="21"/>
                <w:szCs w:val="21"/>
                <w:highlight w:val="none"/>
                <w:lang w:val="en-US" w:eastAsia="zh-CN"/>
              </w:rPr>
              <w:t>六、</w:t>
            </w:r>
            <w:r>
              <w:rPr>
                <w:rFonts w:hint="default" w:ascii="Times New Roman" w:hAnsi="Times New Roman" w:cs="Times New Roman"/>
                <w:b/>
                <w:bCs/>
                <w:color w:val="auto"/>
                <w:sz w:val="21"/>
                <w:szCs w:val="21"/>
                <w:highlight w:val="none"/>
              </w:rPr>
              <w:t>环境风险</w:t>
            </w:r>
          </w:p>
          <w:p w14:paraId="2DF7C87A">
            <w:pPr>
              <w:tabs>
                <w:tab w:val="left" w:pos="5292"/>
              </w:tabs>
              <w:spacing w:line="355" w:lineRule="auto"/>
              <w:ind w:firstLine="420" w:firstLineChars="200"/>
              <w:jc w:val="left"/>
              <w:rPr>
                <w:rFonts w:hint="eastAsia"/>
                <w:b w:val="0"/>
                <w:bCs/>
                <w:color w:val="auto"/>
                <w:sz w:val="21"/>
                <w:szCs w:val="21"/>
                <w:highlight w:val="none"/>
                <w:lang w:val="en-US" w:eastAsia="zh-CN"/>
              </w:rPr>
            </w:pPr>
            <w:r>
              <w:rPr>
                <w:rFonts w:hint="eastAsia"/>
                <w:b w:val="0"/>
                <w:bCs/>
                <w:color w:val="auto"/>
                <w:sz w:val="21"/>
                <w:szCs w:val="21"/>
                <w:highlight w:val="none"/>
                <w:lang w:val="en-US" w:eastAsia="zh-CN"/>
              </w:rPr>
              <w:t>根据《建设项目环境影响报告表编制技术指南（污染影响类）（试行）》（环办环评[2020]33 号）规定，项目涉及盐酸、硫酸、氨等风险物质，厂区最大存储量超过了临界量，根据要求设置了环境风险专项评价，企业通过采取一系列风险防控措施及应急措施后，项目环境风险可防控。环境风险评价见环境风险专项评价。</w:t>
            </w:r>
          </w:p>
          <w:p w14:paraId="386F0624">
            <w:pPr>
              <w:spacing w:line="360" w:lineRule="auto"/>
              <w:ind w:firstLine="422" w:firstLineChars="200"/>
              <w:jc w:val="left"/>
              <w:rPr>
                <w:rFonts w:ascii="Times New Roman" w:hAnsi="Times New Roman"/>
                <w:b/>
                <w:color w:val="auto"/>
                <w:sz w:val="21"/>
                <w:szCs w:val="21"/>
                <w:highlight w:val="none"/>
              </w:rPr>
            </w:pPr>
            <w:r>
              <w:rPr>
                <w:rFonts w:hint="eastAsia" w:ascii="Times New Roman" w:hAnsi="Times New Roman"/>
                <w:b/>
                <w:color w:val="auto"/>
                <w:sz w:val="21"/>
                <w:szCs w:val="21"/>
                <w:highlight w:val="none"/>
              </w:rPr>
              <w:t>七</w:t>
            </w:r>
            <w:r>
              <w:rPr>
                <w:rFonts w:ascii="Times New Roman" w:hAnsi="Times New Roman"/>
                <w:b/>
                <w:color w:val="auto"/>
                <w:sz w:val="21"/>
                <w:szCs w:val="21"/>
                <w:highlight w:val="none"/>
              </w:rPr>
              <w:t>、电磁辐射</w:t>
            </w:r>
          </w:p>
          <w:p w14:paraId="2F4BBC2E">
            <w:pPr>
              <w:spacing w:line="360" w:lineRule="auto"/>
              <w:ind w:firstLine="420" w:firstLineChars="200"/>
              <w:jc w:val="both"/>
              <w:rPr>
                <w:rFonts w:ascii="Times New Roman" w:hAnsi="Times New Roman"/>
                <w:color w:val="auto"/>
                <w:sz w:val="21"/>
                <w:szCs w:val="21"/>
                <w:highlight w:val="none"/>
              </w:rPr>
            </w:pPr>
            <w:r>
              <w:rPr>
                <w:rFonts w:ascii="Times New Roman" w:hAnsi="Times New Roman"/>
                <w:color w:val="auto"/>
                <w:sz w:val="21"/>
                <w:szCs w:val="21"/>
                <w:highlight w:val="none"/>
              </w:rPr>
              <w:t>拟建项目不涉及电磁辐射有关内容。</w:t>
            </w:r>
          </w:p>
          <w:p w14:paraId="0259339C">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22" w:firstLineChars="200"/>
              <w:jc w:val="left"/>
              <w:textAlignment w:val="auto"/>
              <w:rPr>
                <w:rFonts w:hint="default" w:ascii="Times New Roman" w:hAnsi="Times New Roman" w:eastAsia="宋体" w:cs="Times New Roman"/>
                <w:b/>
                <w:bCs/>
                <w:color w:val="auto"/>
                <w:kern w:val="0"/>
                <w:sz w:val="21"/>
                <w:szCs w:val="21"/>
                <w:highlight w:val="none"/>
                <w:lang w:val="en-US" w:eastAsia="zh-CN" w:bidi="ar"/>
              </w:rPr>
            </w:pPr>
            <w:r>
              <w:rPr>
                <w:rFonts w:hint="eastAsia" w:cs="Times New Roman"/>
                <w:b/>
                <w:bCs/>
                <w:color w:val="auto"/>
                <w:kern w:val="0"/>
                <w:sz w:val="21"/>
                <w:szCs w:val="21"/>
                <w:highlight w:val="none"/>
                <w:lang w:val="en-US" w:eastAsia="zh-CN" w:bidi="ar"/>
              </w:rPr>
              <w:t>八、</w:t>
            </w:r>
            <w:r>
              <w:rPr>
                <w:rFonts w:hint="default" w:ascii="Times New Roman" w:hAnsi="Times New Roman" w:eastAsia="宋体" w:cs="Times New Roman"/>
                <w:b/>
                <w:bCs/>
                <w:color w:val="auto"/>
                <w:kern w:val="0"/>
                <w:sz w:val="21"/>
                <w:szCs w:val="21"/>
                <w:highlight w:val="none"/>
                <w:lang w:val="en-US" w:eastAsia="zh-CN" w:bidi="ar"/>
              </w:rPr>
              <w:t>环保投资</w:t>
            </w:r>
            <w:r>
              <w:rPr>
                <w:rFonts w:hint="eastAsia" w:cs="Times New Roman"/>
                <w:b/>
                <w:bCs/>
                <w:color w:val="auto"/>
                <w:kern w:val="0"/>
                <w:sz w:val="21"/>
                <w:szCs w:val="21"/>
                <w:highlight w:val="none"/>
                <w:lang w:val="en-US" w:eastAsia="zh-CN" w:bidi="ar"/>
              </w:rPr>
              <w:t>估算</w:t>
            </w:r>
          </w:p>
          <w:p w14:paraId="347DBF16">
            <w:pPr>
              <w:pStyle w:val="166"/>
              <w:bidi w:val="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项目总投资</w:t>
            </w:r>
            <w:r>
              <w:rPr>
                <w:rFonts w:hint="eastAsia" w:cs="Times New Roman"/>
                <w:color w:val="auto"/>
                <w:sz w:val="21"/>
                <w:szCs w:val="21"/>
                <w:highlight w:val="none"/>
                <w:lang w:val="en-US" w:eastAsia="zh-CN"/>
              </w:rPr>
              <w:t>68000</w:t>
            </w:r>
            <w:r>
              <w:rPr>
                <w:rFonts w:hint="default" w:ascii="Times New Roman" w:hAnsi="Times New Roman" w:cs="Times New Roman"/>
                <w:color w:val="auto"/>
                <w:sz w:val="21"/>
                <w:szCs w:val="21"/>
                <w:highlight w:val="none"/>
              </w:rPr>
              <w:t>万元，其中环保投资</w:t>
            </w:r>
            <w:r>
              <w:rPr>
                <w:rFonts w:hint="eastAsia" w:eastAsia="宋体" w:cs="Times New Roman"/>
                <w:color w:val="auto"/>
                <w:sz w:val="21"/>
                <w:szCs w:val="21"/>
                <w:highlight w:val="none"/>
                <w:lang w:val="en-US" w:eastAsia="zh-CN"/>
              </w:rPr>
              <w:t>2490</w:t>
            </w:r>
            <w:r>
              <w:rPr>
                <w:rFonts w:hint="default" w:ascii="Times New Roman" w:hAnsi="Times New Roman" w:cs="Times New Roman"/>
                <w:color w:val="auto"/>
                <w:sz w:val="21"/>
                <w:szCs w:val="21"/>
                <w:highlight w:val="none"/>
              </w:rPr>
              <w:t>元，占总投资的</w:t>
            </w:r>
            <w:r>
              <w:rPr>
                <w:rFonts w:hint="eastAsia" w:eastAsia="宋体" w:cs="Times New Roman"/>
                <w:color w:val="auto"/>
                <w:sz w:val="21"/>
                <w:szCs w:val="21"/>
                <w:highlight w:val="none"/>
                <w:lang w:val="en-US" w:eastAsia="zh-CN"/>
              </w:rPr>
              <w:t>3.96%</w:t>
            </w:r>
            <w:r>
              <w:rPr>
                <w:rFonts w:hint="default" w:ascii="Times New Roman" w:hAnsi="Times New Roman" w:cs="Times New Roman"/>
                <w:color w:val="auto"/>
                <w:sz w:val="21"/>
                <w:szCs w:val="21"/>
                <w:highlight w:val="none"/>
              </w:rPr>
              <w:t>。项目环保投资情况</w:t>
            </w:r>
            <w:r>
              <w:rPr>
                <w:rFonts w:hint="eastAsia" w:ascii="Times New Roman" w:hAnsi="Times New Roman" w:eastAsia="宋体" w:cs="Times New Roman"/>
                <w:color w:val="auto"/>
                <w:kern w:val="2"/>
                <w:sz w:val="21"/>
                <w:szCs w:val="21"/>
                <w:highlight w:val="none"/>
                <w:lang w:val="en-US" w:eastAsia="zh-CN" w:bidi="ar"/>
              </w:rPr>
              <w:t>见下表</w:t>
            </w:r>
            <w:r>
              <w:rPr>
                <w:rFonts w:hint="default" w:ascii="Times New Roman" w:hAnsi="Times New Roman" w:cs="Times New Roman"/>
                <w:color w:val="auto"/>
                <w:sz w:val="21"/>
                <w:szCs w:val="21"/>
                <w:highlight w:val="none"/>
              </w:rPr>
              <w:t>。</w:t>
            </w:r>
          </w:p>
          <w:p w14:paraId="6BDE86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bCs/>
                <w:color w:val="auto"/>
                <w:spacing w:val="2"/>
                <w:sz w:val="21"/>
                <w:szCs w:val="21"/>
                <w:highlight w:val="none"/>
                <w:lang w:val="en-US" w:eastAsia="zh-CN"/>
              </w:rPr>
            </w:pPr>
            <w:r>
              <w:rPr>
                <w:rFonts w:hint="default" w:ascii="Times New Roman" w:hAnsi="Times New Roman" w:eastAsia="黑体"/>
                <w:bCs/>
                <w:color w:val="auto"/>
                <w:spacing w:val="2"/>
                <w:sz w:val="21"/>
                <w:szCs w:val="21"/>
                <w:highlight w:val="none"/>
                <w:lang w:val="en-US" w:eastAsia="zh-CN"/>
              </w:rPr>
              <w:t>表4-</w:t>
            </w:r>
            <w:r>
              <w:rPr>
                <w:rFonts w:hint="eastAsia" w:ascii="Times New Roman" w:hAnsi="Times New Roman" w:eastAsia="黑体"/>
                <w:bCs/>
                <w:color w:val="auto"/>
                <w:spacing w:val="2"/>
                <w:sz w:val="21"/>
                <w:szCs w:val="21"/>
                <w:highlight w:val="none"/>
                <w:lang w:val="en-US" w:eastAsia="zh-CN"/>
              </w:rPr>
              <w:t>2</w:t>
            </w:r>
            <w:r>
              <w:rPr>
                <w:rFonts w:hint="eastAsia" w:eastAsia="黑体"/>
                <w:bCs/>
                <w:color w:val="auto"/>
                <w:spacing w:val="2"/>
                <w:sz w:val="21"/>
                <w:szCs w:val="21"/>
                <w:highlight w:val="none"/>
                <w:lang w:val="en-US" w:eastAsia="zh-CN"/>
              </w:rPr>
              <w:t>7  项目</w:t>
            </w:r>
            <w:r>
              <w:rPr>
                <w:rFonts w:hint="eastAsia" w:ascii="Times New Roman" w:hAnsi="Times New Roman" w:eastAsia="黑体"/>
                <w:bCs/>
                <w:color w:val="auto"/>
                <w:spacing w:val="2"/>
                <w:sz w:val="21"/>
                <w:szCs w:val="21"/>
                <w:highlight w:val="none"/>
                <w:lang w:val="en-US" w:eastAsia="zh-CN"/>
              </w:rPr>
              <w:t>环保投资</w:t>
            </w:r>
            <w:r>
              <w:rPr>
                <w:rFonts w:hint="default" w:ascii="Times New Roman" w:hAnsi="Times New Roman" w:eastAsia="黑体"/>
                <w:bCs/>
                <w:color w:val="auto"/>
                <w:spacing w:val="2"/>
                <w:sz w:val="21"/>
                <w:szCs w:val="21"/>
                <w:highlight w:val="none"/>
                <w:lang w:val="en-US" w:eastAsia="zh-CN"/>
              </w:rPr>
              <w:t>一览表</w:t>
            </w:r>
          </w:p>
          <w:tbl>
            <w:tblPr>
              <w:tblStyle w:val="3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01"/>
              <w:gridCol w:w="1001"/>
              <w:gridCol w:w="4194"/>
              <w:gridCol w:w="2103"/>
            </w:tblGrid>
            <w:tr w14:paraId="0A77B7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603" w:type="pct"/>
                  <w:tcBorders>
                    <w:tl2br w:val="nil"/>
                    <w:tr2bl w:val="nil"/>
                  </w:tcBorders>
                  <w:noWrap w:val="0"/>
                  <w:vAlign w:val="center"/>
                </w:tcPr>
                <w:p w14:paraId="609F3D17">
                  <w:pPr>
                    <w:pStyle w:val="12"/>
                    <w:keepNext w:val="0"/>
                    <w:keepLines w:val="0"/>
                    <w:pageBreakBefore w:val="0"/>
                    <w:widowControl w:val="0"/>
                    <w:suppressLineNumbers w:val="0"/>
                    <w:kinsoku/>
                    <w:wordWrap/>
                    <w:overflowPunct/>
                    <w:topLinePunct w:val="0"/>
                    <w:bidi w:val="0"/>
                    <w:snapToGrid/>
                    <w:spacing w:before="0" w:beforeLines="0" w:beforeAutospacing="0" w:after="0" w:afterAutospacing="0"/>
                    <w:ind w:left="-42" w:right="-42"/>
                    <w:jc w:val="center"/>
                    <w:rPr>
                      <w:rFonts w:hint="default" w:ascii="Times New Roman" w:hAnsi="Times New Roman" w:eastAsia="宋体" w:cs="Times New Roman"/>
                      <w:b w:val="0"/>
                      <w:bCs w:val="0"/>
                      <w:color w:val="auto"/>
                      <w:sz w:val="18"/>
                      <w:szCs w:val="18"/>
                      <w:highlight w:val="none"/>
                    </w:rPr>
                  </w:pPr>
                </w:p>
              </w:tc>
              <w:tc>
                <w:tcPr>
                  <w:tcW w:w="603" w:type="pct"/>
                  <w:tcBorders>
                    <w:tl2br w:val="nil"/>
                    <w:tr2bl w:val="nil"/>
                  </w:tcBorders>
                  <w:noWrap w:val="0"/>
                  <w:vAlign w:val="center"/>
                </w:tcPr>
                <w:p w14:paraId="280ED7AD">
                  <w:pPr>
                    <w:pStyle w:val="12"/>
                    <w:keepNext w:val="0"/>
                    <w:keepLines w:val="0"/>
                    <w:pageBreakBefore w:val="0"/>
                    <w:widowControl w:val="0"/>
                    <w:suppressLineNumbers w:val="0"/>
                    <w:kinsoku/>
                    <w:wordWrap/>
                    <w:overflowPunct/>
                    <w:topLinePunct w:val="0"/>
                    <w:bidi w:val="0"/>
                    <w:snapToGrid/>
                    <w:spacing w:before="0" w:beforeLines="0" w:beforeAutospacing="0" w:after="0" w:afterAutospacing="0"/>
                    <w:ind w:left="-42" w:right="-42"/>
                    <w:jc w:val="center"/>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类别</w:t>
                  </w:r>
                </w:p>
              </w:tc>
              <w:tc>
                <w:tcPr>
                  <w:tcW w:w="2525" w:type="pct"/>
                  <w:tcBorders>
                    <w:tl2br w:val="nil"/>
                    <w:tr2bl w:val="nil"/>
                  </w:tcBorders>
                  <w:noWrap w:val="0"/>
                  <w:vAlign w:val="center"/>
                </w:tcPr>
                <w:p w14:paraId="0837BE35">
                  <w:pPr>
                    <w:pStyle w:val="12"/>
                    <w:keepNext w:val="0"/>
                    <w:keepLines w:val="0"/>
                    <w:pageBreakBefore w:val="0"/>
                    <w:widowControl w:val="0"/>
                    <w:suppressLineNumbers w:val="0"/>
                    <w:kinsoku/>
                    <w:wordWrap/>
                    <w:overflowPunct/>
                    <w:topLinePunct w:val="0"/>
                    <w:bidi w:val="0"/>
                    <w:snapToGrid/>
                    <w:spacing w:before="0" w:beforeLines="0" w:beforeAutospacing="0" w:after="0" w:afterAutospacing="0"/>
                    <w:ind w:left="-42" w:right="-42"/>
                    <w:jc w:val="center"/>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环保设施</w:t>
                  </w:r>
                </w:p>
              </w:tc>
              <w:tc>
                <w:tcPr>
                  <w:tcW w:w="1267" w:type="pct"/>
                  <w:tcBorders>
                    <w:tl2br w:val="nil"/>
                    <w:tr2bl w:val="nil"/>
                  </w:tcBorders>
                  <w:noWrap w:val="0"/>
                  <w:vAlign w:val="center"/>
                </w:tcPr>
                <w:p w14:paraId="0ADD1F1D">
                  <w:pPr>
                    <w:pStyle w:val="12"/>
                    <w:keepNext w:val="0"/>
                    <w:keepLines w:val="0"/>
                    <w:pageBreakBefore w:val="0"/>
                    <w:widowControl w:val="0"/>
                    <w:suppressLineNumbers w:val="0"/>
                    <w:kinsoku/>
                    <w:wordWrap/>
                    <w:overflowPunct/>
                    <w:topLinePunct w:val="0"/>
                    <w:bidi w:val="0"/>
                    <w:snapToGrid/>
                    <w:spacing w:before="0" w:beforeLines="0" w:beforeAutospacing="0" w:after="0" w:afterAutospacing="0"/>
                    <w:ind w:left="-42" w:right="-42"/>
                    <w:jc w:val="center"/>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环保投资（万元）</w:t>
                  </w:r>
                </w:p>
              </w:tc>
            </w:tr>
            <w:tr w14:paraId="2CA523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603" w:type="pct"/>
                  <w:vMerge w:val="restart"/>
                  <w:tcBorders>
                    <w:tl2br w:val="nil"/>
                    <w:tr2bl w:val="nil"/>
                  </w:tcBorders>
                  <w:noWrap w:val="0"/>
                  <w:vAlign w:val="center"/>
                </w:tcPr>
                <w:p w14:paraId="03424E69">
                  <w:pPr>
                    <w:pStyle w:val="12"/>
                    <w:keepNext w:val="0"/>
                    <w:keepLines w:val="0"/>
                    <w:pageBreakBefore w:val="0"/>
                    <w:widowControl w:val="0"/>
                    <w:suppressLineNumbers w:val="0"/>
                    <w:kinsoku/>
                    <w:wordWrap/>
                    <w:overflowPunct/>
                    <w:topLinePunct w:val="0"/>
                    <w:bidi w:val="0"/>
                    <w:snapToGrid/>
                    <w:spacing w:before="0" w:beforeLines="0" w:beforeAutospacing="0" w:after="0" w:afterAutospacing="0"/>
                    <w:ind w:left="-42" w:right="-42"/>
                    <w:jc w:val="center"/>
                    <w:rPr>
                      <w:rFonts w:hint="eastAsia" w:ascii="Times New Roman" w:hAnsi="Times New Roman" w:eastAsia="宋体" w:cs="Times New Roman"/>
                      <w:b w:val="0"/>
                      <w:bCs w:val="0"/>
                      <w:color w:val="auto"/>
                      <w:sz w:val="18"/>
                      <w:szCs w:val="18"/>
                      <w:highlight w:val="none"/>
                      <w:lang w:val="en-US" w:eastAsia="zh-CN"/>
                    </w:rPr>
                  </w:pPr>
                  <w:r>
                    <w:rPr>
                      <w:rFonts w:hint="eastAsia" w:eastAsia="宋体" w:cs="Times New Roman"/>
                      <w:b w:val="0"/>
                      <w:bCs w:val="0"/>
                      <w:color w:val="auto"/>
                      <w:sz w:val="18"/>
                      <w:szCs w:val="18"/>
                      <w:highlight w:val="none"/>
                      <w:lang w:val="en-US" w:eastAsia="zh-CN"/>
                    </w:rPr>
                    <w:t>建设期</w:t>
                  </w:r>
                </w:p>
              </w:tc>
              <w:tc>
                <w:tcPr>
                  <w:tcW w:w="603" w:type="pct"/>
                  <w:tcBorders>
                    <w:tl2br w:val="nil"/>
                    <w:tr2bl w:val="nil"/>
                  </w:tcBorders>
                  <w:noWrap w:val="0"/>
                  <w:vAlign w:val="center"/>
                </w:tcPr>
                <w:p w14:paraId="768887C0">
                  <w:pPr>
                    <w:pStyle w:val="12"/>
                    <w:keepNext w:val="0"/>
                    <w:keepLines w:val="0"/>
                    <w:pageBreakBefore w:val="0"/>
                    <w:widowControl w:val="0"/>
                    <w:suppressLineNumbers w:val="0"/>
                    <w:kinsoku/>
                    <w:wordWrap/>
                    <w:overflowPunct/>
                    <w:topLinePunct w:val="0"/>
                    <w:bidi w:val="0"/>
                    <w:snapToGrid/>
                    <w:spacing w:before="0" w:beforeLines="0" w:beforeAutospacing="0" w:after="0" w:afterAutospacing="0"/>
                    <w:ind w:left="-42" w:right="-42"/>
                    <w:jc w:val="center"/>
                    <w:rPr>
                      <w:rFonts w:hint="eastAsia" w:ascii="Times New Roman" w:hAnsi="Times New Roman" w:eastAsia="宋体" w:cs="Times New Roman"/>
                      <w:b w:val="0"/>
                      <w:bCs w:val="0"/>
                      <w:color w:val="auto"/>
                      <w:sz w:val="18"/>
                      <w:szCs w:val="18"/>
                      <w:highlight w:val="none"/>
                      <w:lang w:val="en-US" w:eastAsia="zh-CN"/>
                    </w:rPr>
                  </w:pPr>
                  <w:r>
                    <w:rPr>
                      <w:rFonts w:hint="eastAsia" w:eastAsia="宋体" w:cs="Times New Roman"/>
                      <w:b w:val="0"/>
                      <w:bCs w:val="0"/>
                      <w:color w:val="auto"/>
                      <w:sz w:val="18"/>
                      <w:szCs w:val="18"/>
                      <w:highlight w:val="none"/>
                      <w:lang w:val="en-US" w:eastAsia="zh-CN"/>
                    </w:rPr>
                    <w:t>废气</w:t>
                  </w:r>
                </w:p>
              </w:tc>
              <w:tc>
                <w:tcPr>
                  <w:tcW w:w="2525" w:type="pct"/>
                  <w:tcBorders>
                    <w:tl2br w:val="nil"/>
                    <w:tr2bl w:val="nil"/>
                  </w:tcBorders>
                  <w:noWrap w:val="0"/>
                  <w:vAlign w:val="center"/>
                </w:tcPr>
                <w:p w14:paraId="06EB23C1">
                  <w:pPr>
                    <w:pStyle w:val="12"/>
                    <w:keepNext w:val="0"/>
                    <w:keepLines w:val="0"/>
                    <w:pageBreakBefore w:val="0"/>
                    <w:widowControl w:val="0"/>
                    <w:suppressLineNumbers w:val="0"/>
                    <w:kinsoku/>
                    <w:wordWrap/>
                    <w:overflowPunct/>
                    <w:topLinePunct w:val="0"/>
                    <w:bidi w:val="0"/>
                    <w:snapToGrid/>
                    <w:spacing w:before="0" w:beforeLines="0" w:beforeAutospacing="0" w:after="0" w:afterAutospacing="0"/>
                    <w:ind w:left="-42" w:right="-42"/>
                    <w:jc w:val="center"/>
                    <w:rPr>
                      <w:rFonts w:hint="default" w:ascii="Times New Roman" w:hAnsi="Times New Roman" w:eastAsia="宋体" w:cs="Times New Roman"/>
                      <w:b w:val="0"/>
                      <w:bCs w:val="0"/>
                      <w:color w:val="auto"/>
                      <w:sz w:val="18"/>
                      <w:szCs w:val="18"/>
                      <w:highlight w:val="none"/>
                      <w:lang w:val="en-US" w:eastAsia="zh-CN"/>
                    </w:rPr>
                  </w:pPr>
                  <w:r>
                    <w:rPr>
                      <w:rFonts w:hint="eastAsia" w:eastAsia="宋体" w:cs="Times New Roman"/>
                      <w:b w:val="0"/>
                      <w:bCs w:val="0"/>
                      <w:color w:val="auto"/>
                      <w:sz w:val="18"/>
                      <w:szCs w:val="18"/>
                      <w:highlight w:val="none"/>
                      <w:lang w:val="en-US" w:eastAsia="zh-CN"/>
                    </w:rPr>
                    <w:t>喷淋、覆盖、围挡等</w:t>
                  </w:r>
                </w:p>
              </w:tc>
              <w:tc>
                <w:tcPr>
                  <w:tcW w:w="1267" w:type="pct"/>
                  <w:tcBorders>
                    <w:tl2br w:val="nil"/>
                    <w:tr2bl w:val="nil"/>
                  </w:tcBorders>
                  <w:noWrap w:val="0"/>
                  <w:vAlign w:val="center"/>
                </w:tcPr>
                <w:p w14:paraId="0B57032F">
                  <w:pPr>
                    <w:pStyle w:val="12"/>
                    <w:keepNext w:val="0"/>
                    <w:keepLines w:val="0"/>
                    <w:pageBreakBefore w:val="0"/>
                    <w:widowControl w:val="0"/>
                    <w:suppressLineNumbers w:val="0"/>
                    <w:kinsoku/>
                    <w:wordWrap/>
                    <w:overflowPunct/>
                    <w:topLinePunct w:val="0"/>
                    <w:bidi w:val="0"/>
                    <w:snapToGrid/>
                    <w:spacing w:before="0" w:beforeLines="0" w:beforeAutospacing="0" w:after="0" w:afterAutospacing="0"/>
                    <w:ind w:left="-42" w:right="-42"/>
                    <w:jc w:val="center"/>
                    <w:rPr>
                      <w:rFonts w:hint="default" w:ascii="Times New Roman" w:hAnsi="Times New Roman" w:eastAsia="宋体" w:cs="Times New Roman"/>
                      <w:b w:val="0"/>
                      <w:bCs w:val="0"/>
                      <w:color w:val="auto"/>
                      <w:sz w:val="18"/>
                      <w:szCs w:val="18"/>
                      <w:highlight w:val="none"/>
                      <w:lang w:val="en-US" w:eastAsia="zh-CN"/>
                    </w:rPr>
                  </w:pPr>
                  <w:r>
                    <w:rPr>
                      <w:rFonts w:hint="eastAsia" w:eastAsia="宋体" w:cs="Times New Roman"/>
                      <w:b w:val="0"/>
                      <w:bCs w:val="0"/>
                      <w:color w:val="auto"/>
                      <w:sz w:val="18"/>
                      <w:szCs w:val="18"/>
                      <w:highlight w:val="none"/>
                      <w:lang w:val="en-US" w:eastAsia="zh-CN"/>
                    </w:rPr>
                    <w:t>5.5</w:t>
                  </w:r>
                </w:p>
              </w:tc>
            </w:tr>
            <w:tr w14:paraId="2907F3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603" w:type="pct"/>
                  <w:vMerge w:val="continue"/>
                  <w:tcBorders>
                    <w:tl2br w:val="nil"/>
                    <w:tr2bl w:val="nil"/>
                  </w:tcBorders>
                  <w:noWrap w:val="0"/>
                  <w:vAlign w:val="center"/>
                </w:tcPr>
                <w:p w14:paraId="3B5AA228">
                  <w:pPr>
                    <w:pStyle w:val="12"/>
                    <w:keepNext w:val="0"/>
                    <w:keepLines w:val="0"/>
                    <w:pageBreakBefore w:val="0"/>
                    <w:widowControl w:val="0"/>
                    <w:suppressLineNumbers w:val="0"/>
                    <w:kinsoku/>
                    <w:wordWrap/>
                    <w:overflowPunct/>
                    <w:topLinePunct w:val="0"/>
                    <w:bidi w:val="0"/>
                    <w:snapToGrid/>
                    <w:spacing w:before="0" w:beforeLines="0" w:beforeAutospacing="0" w:after="0" w:afterAutospacing="0"/>
                    <w:ind w:left="-42" w:right="-42"/>
                    <w:jc w:val="center"/>
                    <w:rPr>
                      <w:rFonts w:hint="default" w:ascii="Times New Roman" w:hAnsi="Times New Roman" w:eastAsia="宋体" w:cs="Times New Roman"/>
                      <w:b w:val="0"/>
                      <w:bCs w:val="0"/>
                      <w:color w:val="auto"/>
                      <w:sz w:val="18"/>
                      <w:szCs w:val="18"/>
                      <w:highlight w:val="none"/>
                    </w:rPr>
                  </w:pPr>
                </w:p>
              </w:tc>
              <w:tc>
                <w:tcPr>
                  <w:tcW w:w="603" w:type="pct"/>
                  <w:tcBorders>
                    <w:tl2br w:val="nil"/>
                    <w:tr2bl w:val="nil"/>
                  </w:tcBorders>
                  <w:noWrap w:val="0"/>
                  <w:vAlign w:val="center"/>
                </w:tcPr>
                <w:p w14:paraId="4A1D1503">
                  <w:pPr>
                    <w:pStyle w:val="12"/>
                    <w:keepNext w:val="0"/>
                    <w:keepLines w:val="0"/>
                    <w:pageBreakBefore w:val="0"/>
                    <w:widowControl w:val="0"/>
                    <w:suppressLineNumbers w:val="0"/>
                    <w:kinsoku/>
                    <w:wordWrap/>
                    <w:overflowPunct/>
                    <w:topLinePunct w:val="0"/>
                    <w:bidi w:val="0"/>
                    <w:snapToGrid/>
                    <w:spacing w:before="0" w:beforeLines="0" w:beforeAutospacing="0" w:after="0" w:afterAutospacing="0"/>
                    <w:ind w:left="-42" w:right="-42"/>
                    <w:jc w:val="center"/>
                    <w:rPr>
                      <w:rFonts w:hint="eastAsia" w:ascii="Times New Roman" w:hAnsi="Times New Roman" w:eastAsia="宋体" w:cs="Times New Roman"/>
                      <w:b w:val="0"/>
                      <w:bCs w:val="0"/>
                      <w:color w:val="auto"/>
                      <w:sz w:val="18"/>
                      <w:szCs w:val="18"/>
                      <w:highlight w:val="none"/>
                      <w:lang w:val="en-US" w:eastAsia="zh-CN"/>
                    </w:rPr>
                  </w:pPr>
                  <w:r>
                    <w:rPr>
                      <w:rFonts w:hint="eastAsia" w:eastAsia="宋体" w:cs="Times New Roman"/>
                      <w:b w:val="0"/>
                      <w:bCs w:val="0"/>
                      <w:color w:val="auto"/>
                      <w:sz w:val="18"/>
                      <w:szCs w:val="18"/>
                      <w:highlight w:val="none"/>
                      <w:lang w:val="en-US" w:eastAsia="zh-CN"/>
                    </w:rPr>
                    <w:t>废水</w:t>
                  </w:r>
                </w:p>
              </w:tc>
              <w:tc>
                <w:tcPr>
                  <w:tcW w:w="2525" w:type="pct"/>
                  <w:tcBorders>
                    <w:tl2br w:val="nil"/>
                    <w:tr2bl w:val="nil"/>
                  </w:tcBorders>
                  <w:noWrap w:val="0"/>
                  <w:vAlign w:val="center"/>
                </w:tcPr>
                <w:p w14:paraId="14B01149">
                  <w:pPr>
                    <w:pStyle w:val="12"/>
                    <w:keepNext w:val="0"/>
                    <w:keepLines w:val="0"/>
                    <w:pageBreakBefore w:val="0"/>
                    <w:widowControl w:val="0"/>
                    <w:suppressLineNumbers w:val="0"/>
                    <w:kinsoku/>
                    <w:wordWrap/>
                    <w:overflowPunct/>
                    <w:topLinePunct w:val="0"/>
                    <w:bidi w:val="0"/>
                    <w:snapToGrid/>
                    <w:spacing w:before="0" w:beforeLines="0" w:beforeAutospacing="0" w:after="0" w:afterAutospacing="0"/>
                    <w:ind w:left="-42" w:right="-42"/>
                    <w:jc w:val="center"/>
                    <w:rPr>
                      <w:rFonts w:hint="default" w:ascii="Times New Roman" w:hAnsi="Times New Roman" w:eastAsia="宋体" w:cs="Times New Roman"/>
                      <w:b w:val="0"/>
                      <w:bCs w:val="0"/>
                      <w:color w:val="auto"/>
                      <w:sz w:val="18"/>
                      <w:szCs w:val="18"/>
                      <w:highlight w:val="none"/>
                      <w:lang w:val="en-US" w:eastAsia="zh-CN"/>
                    </w:rPr>
                  </w:pPr>
                  <w:r>
                    <w:rPr>
                      <w:rFonts w:hint="eastAsia" w:eastAsia="宋体" w:cs="Times New Roman"/>
                      <w:b w:val="0"/>
                      <w:bCs w:val="0"/>
                      <w:color w:val="auto"/>
                      <w:sz w:val="18"/>
                      <w:szCs w:val="18"/>
                      <w:highlight w:val="none"/>
                      <w:lang w:val="en-US" w:eastAsia="zh-CN"/>
                    </w:rPr>
                    <w:t>隔油沉砂池等</w:t>
                  </w:r>
                </w:p>
              </w:tc>
              <w:tc>
                <w:tcPr>
                  <w:tcW w:w="1267" w:type="pct"/>
                  <w:tcBorders>
                    <w:tl2br w:val="nil"/>
                    <w:tr2bl w:val="nil"/>
                  </w:tcBorders>
                  <w:noWrap w:val="0"/>
                  <w:vAlign w:val="center"/>
                </w:tcPr>
                <w:p w14:paraId="6BEC609F">
                  <w:pPr>
                    <w:pStyle w:val="12"/>
                    <w:keepNext w:val="0"/>
                    <w:keepLines w:val="0"/>
                    <w:pageBreakBefore w:val="0"/>
                    <w:widowControl w:val="0"/>
                    <w:suppressLineNumbers w:val="0"/>
                    <w:kinsoku/>
                    <w:wordWrap/>
                    <w:overflowPunct/>
                    <w:topLinePunct w:val="0"/>
                    <w:bidi w:val="0"/>
                    <w:snapToGrid/>
                    <w:spacing w:before="0" w:beforeLines="0" w:beforeAutospacing="0" w:after="0" w:afterAutospacing="0"/>
                    <w:ind w:left="-42" w:right="-42"/>
                    <w:jc w:val="center"/>
                    <w:rPr>
                      <w:rFonts w:hint="default" w:ascii="Times New Roman" w:hAnsi="Times New Roman" w:eastAsia="宋体" w:cs="Times New Roman"/>
                      <w:b w:val="0"/>
                      <w:bCs w:val="0"/>
                      <w:color w:val="auto"/>
                      <w:sz w:val="18"/>
                      <w:szCs w:val="18"/>
                      <w:highlight w:val="none"/>
                      <w:lang w:val="en-US" w:eastAsia="zh-CN"/>
                    </w:rPr>
                  </w:pPr>
                  <w:r>
                    <w:rPr>
                      <w:rFonts w:hint="eastAsia" w:eastAsia="宋体" w:cs="Times New Roman"/>
                      <w:b w:val="0"/>
                      <w:bCs w:val="0"/>
                      <w:color w:val="auto"/>
                      <w:sz w:val="18"/>
                      <w:szCs w:val="18"/>
                      <w:highlight w:val="none"/>
                      <w:lang w:val="en-US" w:eastAsia="zh-CN"/>
                    </w:rPr>
                    <w:t>2.5</w:t>
                  </w:r>
                </w:p>
              </w:tc>
            </w:tr>
            <w:tr w14:paraId="368C12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603" w:type="pct"/>
                  <w:vMerge w:val="continue"/>
                  <w:tcBorders>
                    <w:tl2br w:val="nil"/>
                    <w:tr2bl w:val="nil"/>
                  </w:tcBorders>
                  <w:noWrap w:val="0"/>
                  <w:vAlign w:val="center"/>
                </w:tcPr>
                <w:p w14:paraId="56BB208B">
                  <w:pPr>
                    <w:pStyle w:val="12"/>
                    <w:keepNext w:val="0"/>
                    <w:keepLines w:val="0"/>
                    <w:pageBreakBefore w:val="0"/>
                    <w:widowControl w:val="0"/>
                    <w:suppressLineNumbers w:val="0"/>
                    <w:kinsoku/>
                    <w:wordWrap/>
                    <w:overflowPunct/>
                    <w:topLinePunct w:val="0"/>
                    <w:bidi w:val="0"/>
                    <w:snapToGrid/>
                    <w:spacing w:before="0" w:beforeLines="0" w:beforeAutospacing="0" w:after="0" w:afterAutospacing="0"/>
                    <w:ind w:left="-42" w:right="-42"/>
                    <w:jc w:val="center"/>
                    <w:rPr>
                      <w:rFonts w:hint="default" w:ascii="Times New Roman" w:hAnsi="Times New Roman" w:eastAsia="宋体" w:cs="Times New Roman"/>
                      <w:b w:val="0"/>
                      <w:bCs w:val="0"/>
                      <w:color w:val="auto"/>
                      <w:sz w:val="18"/>
                      <w:szCs w:val="18"/>
                      <w:highlight w:val="none"/>
                    </w:rPr>
                  </w:pPr>
                </w:p>
              </w:tc>
              <w:tc>
                <w:tcPr>
                  <w:tcW w:w="603" w:type="pct"/>
                  <w:tcBorders>
                    <w:tl2br w:val="nil"/>
                    <w:tr2bl w:val="nil"/>
                  </w:tcBorders>
                  <w:noWrap w:val="0"/>
                  <w:vAlign w:val="center"/>
                </w:tcPr>
                <w:p w14:paraId="237F0F58">
                  <w:pPr>
                    <w:pStyle w:val="12"/>
                    <w:keepNext w:val="0"/>
                    <w:keepLines w:val="0"/>
                    <w:pageBreakBefore w:val="0"/>
                    <w:widowControl w:val="0"/>
                    <w:suppressLineNumbers w:val="0"/>
                    <w:kinsoku/>
                    <w:wordWrap/>
                    <w:overflowPunct/>
                    <w:topLinePunct w:val="0"/>
                    <w:bidi w:val="0"/>
                    <w:snapToGrid/>
                    <w:spacing w:before="0" w:beforeLines="0" w:beforeAutospacing="0" w:after="0" w:afterAutospacing="0"/>
                    <w:ind w:left="-42" w:right="-42"/>
                    <w:jc w:val="center"/>
                    <w:rPr>
                      <w:rFonts w:hint="eastAsia" w:ascii="Times New Roman" w:hAnsi="Times New Roman" w:eastAsia="宋体" w:cs="Times New Roman"/>
                      <w:b w:val="0"/>
                      <w:bCs w:val="0"/>
                      <w:color w:val="auto"/>
                      <w:sz w:val="18"/>
                      <w:szCs w:val="18"/>
                      <w:highlight w:val="none"/>
                      <w:lang w:val="en-US" w:eastAsia="zh-CN"/>
                    </w:rPr>
                  </w:pPr>
                  <w:r>
                    <w:rPr>
                      <w:rFonts w:hint="eastAsia" w:eastAsia="宋体" w:cs="Times New Roman"/>
                      <w:b w:val="0"/>
                      <w:bCs w:val="0"/>
                      <w:color w:val="auto"/>
                      <w:sz w:val="18"/>
                      <w:szCs w:val="18"/>
                      <w:highlight w:val="none"/>
                      <w:lang w:val="en-US" w:eastAsia="zh-CN"/>
                    </w:rPr>
                    <w:t>噪声</w:t>
                  </w:r>
                </w:p>
              </w:tc>
              <w:tc>
                <w:tcPr>
                  <w:tcW w:w="2525" w:type="pct"/>
                  <w:tcBorders>
                    <w:tl2br w:val="nil"/>
                    <w:tr2bl w:val="nil"/>
                  </w:tcBorders>
                  <w:noWrap w:val="0"/>
                  <w:vAlign w:val="center"/>
                </w:tcPr>
                <w:p w14:paraId="18E3145C">
                  <w:pPr>
                    <w:pStyle w:val="12"/>
                    <w:keepNext w:val="0"/>
                    <w:keepLines w:val="0"/>
                    <w:pageBreakBefore w:val="0"/>
                    <w:widowControl w:val="0"/>
                    <w:suppressLineNumbers w:val="0"/>
                    <w:kinsoku/>
                    <w:wordWrap/>
                    <w:overflowPunct/>
                    <w:topLinePunct w:val="0"/>
                    <w:bidi w:val="0"/>
                    <w:snapToGrid/>
                    <w:spacing w:before="0" w:beforeLines="0" w:beforeAutospacing="0" w:after="0" w:afterAutospacing="0"/>
                    <w:ind w:left="-42" w:right="-42"/>
                    <w:jc w:val="center"/>
                    <w:rPr>
                      <w:rFonts w:hint="default" w:ascii="Times New Roman" w:hAnsi="Times New Roman" w:eastAsia="宋体" w:cs="Times New Roman"/>
                      <w:b w:val="0"/>
                      <w:bCs w:val="0"/>
                      <w:color w:val="auto"/>
                      <w:sz w:val="18"/>
                      <w:szCs w:val="18"/>
                      <w:highlight w:val="none"/>
                      <w:lang w:val="en-US" w:eastAsia="zh-CN"/>
                    </w:rPr>
                  </w:pPr>
                  <w:r>
                    <w:rPr>
                      <w:rFonts w:hint="eastAsia" w:eastAsia="宋体" w:cs="Times New Roman"/>
                      <w:b w:val="0"/>
                      <w:bCs w:val="0"/>
                      <w:color w:val="auto"/>
                      <w:sz w:val="18"/>
                      <w:szCs w:val="18"/>
                      <w:highlight w:val="none"/>
                      <w:lang w:val="en-US" w:eastAsia="zh-CN"/>
                    </w:rPr>
                    <w:t>低噪设备、隔声、减振等</w:t>
                  </w:r>
                </w:p>
              </w:tc>
              <w:tc>
                <w:tcPr>
                  <w:tcW w:w="1267" w:type="pct"/>
                  <w:tcBorders>
                    <w:tl2br w:val="nil"/>
                    <w:tr2bl w:val="nil"/>
                  </w:tcBorders>
                  <w:noWrap w:val="0"/>
                  <w:vAlign w:val="center"/>
                </w:tcPr>
                <w:p w14:paraId="37B8FCD5">
                  <w:pPr>
                    <w:pStyle w:val="12"/>
                    <w:keepNext w:val="0"/>
                    <w:keepLines w:val="0"/>
                    <w:pageBreakBefore w:val="0"/>
                    <w:widowControl w:val="0"/>
                    <w:suppressLineNumbers w:val="0"/>
                    <w:kinsoku/>
                    <w:wordWrap/>
                    <w:overflowPunct/>
                    <w:topLinePunct w:val="0"/>
                    <w:bidi w:val="0"/>
                    <w:snapToGrid/>
                    <w:spacing w:before="0" w:beforeLines="0" w:beforeAutospacing="0" w:after="0" w:afterAutospacing="0"/>
                    <w:ind w:left="-42" w:right="-42"/>
                    <w:jc w:val="center"/>
                    <w:rPr>
                      <w:rFonts w:hint="eastAsia" w:ascii="Times New Roman" w:hAnsi="Times New Roman" w:eastAsia="宋体" w:cs="Times New Roman"/>
                      <w:b w:val="0"/>
                      <w:bCs w:val="0"/>
                      <w:color w:val="auto"/>
                      <w:sz w:val="18"/>
                      <w:szCs w:val="18"/>
                      <w:highlight w:val="none"/>
                      <w:lang w:val="en-US" w:eastAsia="zh-CN"/>
                    </w:rPr>
                  </w:pPr>
                  <w:r>
                    <w:rPr>
                      <w:rFonts w:hint="eastAsia" w:eastAsia="宋体" w:cs="Times New Roman"/>
                      <w:b w:val="0"/>
                      <w:bCs w:val="0"/>
                      <w:color w:val="auto"/>
                      <w:sz w:val="18"/>
                      <w:szCs w:val="18"/>
                      <w:highlight w:val="none"/>
                      <w:lang w:val="en-US" w:eastAsia="zh-CN"/>
                    </w:rPr>
                    <w:t>2</w:t>
                  </w:r>
                </w:p>
              </w:tc>
            </w:tr>
            <w:tr w14:paraId="330821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603" w:type="pct"/>
                  <w:vMerge w:val="continue"/>
                  <w:tcBorders>
                    <w:tl2br w:val="nil"/>
                    <w:tr2bl w:val="nil"/>
                  </w:tcBorders>
                  <w:noWrap w:val="0"/>
                  <w:vAlign w:val="center"/>
                </w:tcPr>
                <w:p w14:paraId="1DD4E7CC">
                  <w:pPr>
                    <w:pStyle w:val="12"/>
                    <w:keepNext w:val="0"/>
                    <w:keepLines w:val="0"/>
                    <w:pageBreakBefore w:val="0"/>
                    <w:widowControl w:val="0"/>
                    <w:suppressLineNumbers w:val="0"/>
                    <w:kinsoku/>
                    <w:wordWrap/>
                    <w:overflowPunct/>
                    <w:topLinePunct w:val="0"/>
                    <w:bidi w:val="0"/>
                    <w:snapToGrid/>
                    <w:spacing w:before="0" w:beforeLines="0" w:beforeAutospacing="0" w:after="0" w:afterAutospacing="0"/>
                    <w:ind w:left="-42" w:right="-42"/>
                    <w:jc w:val="center"/>
                    <w:rPr>
                      <w:rFonts w:hint="default" w:ascii="Times New Roman" w:hAnsi="Times New Roman" w:eastAsia="宋体" w:cs="Times New Roman"/>
                      <w:b w:val="0"/>
                      <w:bCs w:val="0"/>
                      <w:color w:val="auto"/>
                      <w:sz w:val="18"/>
                      <w:szCs w:val="18"/>
                      <w:highlight w:val="none"/>
                    </w:rPr>
                  </w:pPr>
                </w:p>
              </w:tc>
              <w:tc>
                <w:tcPr>
                  <w:tcW w:w="603" w:type="pct"/>
                  <w:tcBorders>
                    <w:tl2br w:val="nil"/>
                    <w:tr2bl w:val="nil"/>
                  </w:tcBorders>
                  <w:noWrap w:val="0"/>
                  <w:vAlign w:val="center"/>
                </w:tcPr>
                <w:p w14:paraId="6BB651C0">
                  <w:pPr>
                    <w:pStyle w:val="12"/>
                    <w:keepNext w:val="0"/>
                    <w:keepLines w:val="0"/>
                    <w:pageBreakBefore w:val="0"/>
                    <w:widowControl w:val="0"/>
                    <w:suppressLineNumbers w:val="0"/>
                    <w:kinsoku/>
                    <w:wordWrap/>
                    <w:overflowPunct/>
                    <w:topLinePunct w:val="0"/>
                    <w:bidi w:val="0"/>
                    <w:snapToGrid/>
                    <w:spacing w:before="0" w:beforeLines="0" w:beforeAutospacing="0" w:after="0" w:afterAutospacing="0"/>
                    <w:ind w:left="-42" w:right="-42"/>
                    <w:jc w:val="center"/>
                    <w:rPr>
                      <w:rFonts w:hint="default" w:eastAsia="宋体" w:cs="Times New Roman"/>
                      <w:b w:val="0"/>
                      <w:bCs w:val="0"/>
                      <w:color w:val="auto"/>
                      <w:sz w:val="18"/>
                      <w:szCs w:val="18"/>
                      <w:highlight w:val="none"/>
                      <w:lang w:val="en-US" w:eastAsia="zh-CN"/>
                    </w:rPr>
                  </w:pPr>
                  <w:r>
                    <w:rPr>
                      <w:rFonts w:hint="eastAsia" w:eastAsia="宋体" w:cs="Times New Roman"/>
                      <w:b w:val="0"/>
                      <w:bCs w:val="0"/>
                      <w:color w:val="auto"/>
                      <w:sz w:val="18"/>
                      <w:szCs w:val="18"/>
                      <w:highlight w:val="none"/>
                      <w:lang w:val="en-US" w:eastAsia="zh-CN"/>
                    </w:rPr>
                    <w:t>固废</w:t>
                  </w:r>
                </w:p>
              </w:tc>
              <w:tc>
                <w:tcPr>
                  <w:tcW w:w="2525" w:type="pct"/>
                  <w:tcBorders>
                    <w:tl2br w:val="nil"/>
                    <w:tr2bl w:val="nil"/>
                  </w:tcBorders>
                  <w:noWrap w:val="0"/>
                  <w:vAlign w:val="center"/>
                </w:tcPr>
                <w:p w14:paraId="724D5D80">
                  <w:pPr>
                    <w:pStyle w:val="12"/>
                    <w:keepNext w:val="0"/>
                    <w:keepLines w:val="0"/>
                    <w:pageBreakBefore w:val="0"/>
                    <w:widowControl w:val="0"/>
                    <w:suppressLineNumbers w:val="0"/>
                    <w:kinsoku/>
                    <w:wordWrap/>
                    <w:overflowPunct/>
                    <w:topLinePunct w:val="0"/>
                    <w:bidi w:val="0"/>
                    <w:snapToGrid/>
                    <w:spacing w:before="0" w:beforeLines="0" w:beforeAutospacing="0" w:after="0" w:afterAutospacing="0"/>
                    <w:ind w:left="-42" w:right="-42"/>
                    <w:jc w:val="center"/>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定点收集，及时清运</w:t>
                  </w:r>
                </w:p>
              </w:tc>
              <w:tc>
                <w:tcPr>
                  <w:tcW w:w="1267" w:type="pct"/>
                  <w:tcBorders>
                    <w:tl2br w:val="nil"/>
                    <w:tr2bl w:val="nil"/>
                  </w:tcBorders>
                  <w:noWrap w:val="0"/>
                  <w:vAlign w:val="center"/>
                </w:tcPr>
                <w:p w14:paraId="37BE1F08">
                  <w:pPr>
                    <w:pStyle w:val="12"/>
                    <w:keepNext w:val="0"/>
                    <w:keepLines w:val="0"/>
                    <w:pageBreakBefore w:val="0"/>
                    <w:widowControl w:val="0"/>
                    <w:suppressLineNumbers w:val="0"/>
                    <w:kinsoku/>
                    <w:wordWrap/>
                    <w:overflowPunct/>
                    <w:topLinePunct w:val="0"/>
                    <w:bidi w:val="0"/>
                    <w:snapToGrid/>
                    <w:spacing w:before="0" w:beforeLines="0" w:beforeAutospacing="0" w:after="0" w:afterAutospacing="0"/>
                    <w:ind w:left="-42" w:right="-42"/>
                    <w:jc w:val="center"/>
                    <w:rPr>
                      <w:rFonts w:hint="default" w:ascii="Times New Roman" w:hAnsi="Times New Roman" w:eastAsia="宋体" w:cs="Times New Roman"/>
                      <w:b w:val="0"/>
                      <w:bCs w:val="0"/>
                      <w:color w:val="auto"/>
                      <w:sz w:val="18"/>
                      <w:szCs w:val="18"/>
                      <w:highlight w:val="none"/>
                      <w:lang w:val="en-US" w:eastAsia="zh-CN"/>
                    </w:rPr>
                  </w:pPr>
                  <w:r>
                    <w:rPr>
                      <w:rFonts w:hint="eastAsia" w:eastAsia="宋体" w:cs="Times New Roman"/>
                      <w:b w:val="0"/>
                      <w:bCs w:val="0"/>
                      <w:color w:val="auto"/>
                      <w:sz w:val="18"/>
                      <w:szCs w:val="18"/>
                      <w:highlight w:val="none"/>
                      <w:lang w:val="en-US" w:eastAsia="zh-CN"/>
                    </w:rPr>
                    <w:t>30</w:t>
                  </w:r>
                </w:p>
              </w:tc>
            </w:tr>
            <w:tr w14:paraId="1C37FD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03" w:type="pct"/>
                  <w:vMerge w:val="restart"/>
                  <w:tcBorders>
                    <w:tl2br w:val="nil"/>
                    <w:tr2bl w:val="nil"/>
                  </w:tcBorders>
                  <w:noWrap w:val="0"/>
                  <w:vAlign w:val="center"/>
                </w:tcPr>
                <w:p w14:paraId="025A1590">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eastAsia" w:ascii="Times New Roman" w:hAnsi="Times New Roman" w:eastAsia="宋体" w:cs="Times New Roman"/>
                      <w:b w:val="0"/>
                      <w:bCs w:val="0"/>
                      <w:color w:val="auto"/>
                      <w:sz w:val="18"/>
                      <w:szCs w:val="18"/>
                      <w:highlight w:val="none"/>
                      <w:lang w:val="en-US" w:eastAsia="zh-CN"/>
                    </w:rPr>
                  </w:pPr>
                  <w:r>
                    <w:rPr>
                      <w:rFonts w:hint="eastAsia" w:cs="Times New Roman"/>
                      <w:b w:val="0"/>
                      <w:bCs w:val="0"/>
                      <w:color w:val="auto"/>
                      <w:sz w:val="18"/>
                      <w:szCs w:val="18"/>
                      <w:highlight w:val="none"/>
                      <w:lang w:val="en-US" w:eastAsia="zh-CN"/>
                    </w:rPr>
                    <w:t>营运期</w:t>
                  </w:r>
                </w:p>
              </w:tc>
              <w:tc>
                <w:tcPr>
                  <w:tcW w:w="603" w:type="pct"/>
                  <w:tcBorders>
                    <w:tl2br w:val="nil"/>
                    <w:tr2bl w:val="nil"/>
                  </w:tcBorders>
                  <w:noWrap w:val="0"/>
                  <w:vAlign w:val="center"/>
                </w:tcPr>
                <w:p w14:paraId="0D338EF0">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废气</w:t>
                  </w:r>
                </w:p>
              </w:tc>
              <w:tc>
                <w:tcPr>
                  <w:tcW w:w="2525" w:type="pct"/>
                  <w:tcBorders>
                    <w:tl2br w:val="nil"/>
                    <w:tr2bl w:val="nil"/>
                  </w:tcBorders>
                  <w:noWrap w:val="0"/>
                  <w:vAlign w:val="center"/>
                </w:tcPr>
                <w:p w14:paraId="4C2BFBCA">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default" w:ascii="Times New Roman" w:hAnsi="Times New Roman" w:eastAsia="宋体" w:cs="Times New Roman"/>
                      <w:b w:val="0"/>
                      <w:bCs/>
                      <w:color w:val="auto"/>
                      <w:sz w:val="18"/>
                      <w:szCs w:val="18"/>
                      <w:highlight w:val="none"/>
                      <w:lang w:val="en-US" w:eastAsia="zh-CN"/>
                    </w:rPr>
                  </w:pPr>
                  <w:r>
                    <w:rPr>
                      <w:rFonts w:hint="eastAsia" w:cs="Times New Roman"/>
                      <w:b w:val="0"/>
                      <w:bCs/>
                      <w:color w:val="auto"/>
                      <w:sz w:val="18"/>
                      <w:szCs w:val="18"/>
                      <w:highlight w:val="none"/>
                      <w:lang w:val="en-US" w:eastAsia="zh-CN"/>
                    </w:rPr>
                    <w:t>废气处理设施+排气筒等</w:t>
                  </w:r>
                </w:p>
              </w:tc>
              <w:tc>
                <w:tcPr>
                  <w:tcW w:w="1267" w:type="pct"/>
                  <w:tcBorders>
                    <w:tl2br w:val="nil"/>
                    <w:tr2bl w:val="nil"/>
                  </w:tcBorders>
                  <w:noWrap w:val="0"/>
                  <w:vAlign w:val="center"/>
                </w:tcPr>
                <w:p w14:paraId="2AE2E87D">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default" w:ascii="Times New Roman" w:hAnsi="Times New Roman" w:eastAsia="宋体" w:cs="Times New Roman"/>
                      <w:b w:val="0"/>
                      <w:bCs w:val="0"/>
                      <w:color w:val="auto"/>
                      <w:sz w:val="18"/>
                      <w:szCs w:val="18"/>
                      <w:highlight w:val="none"/>
                      <w:lang w:val="en-US" w:eastAsia="zh-CN"/>
                    </w:rPr>
                  </w:pPr>
                  <w:r>
                    <w:rPr>
                      <w:rFonts w:hint="eastAsia" w:cs="Times New Roman"/>
                      <w:b w:val="0"/>
                      <w:bCs w:val="0"/>
                      <w:color w:val="auto"/>
                      <w:sz w:val="18"/>
                      <w:szCs w:val="18"/>
                      <w:highlight w:val="none"/>
                      <w:lang w:val="en-US" w:eastAsia="zh-CN"/>
                    </w:rPr>
                    <w:t>439</w:t>
                  </w:r>
                </w:p>
              </w:tc>
            </w:tr>
            <w:tr w14:paraId="0B84CC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603" w:type="pct"/>
                  <w:vMerge w:val="continue"/>
                  <w:tcBorders>
                    <w:tl2br w:val="nil"/>
                    <w:tr2bl w:val="nil"/>
                  </w:tcBorders>
                  <w:noWrap w:val="0"/>
                  <w:vAlign w:val="center"/>
                </w:tcPr>
                <w:p w14:paraId="3B26AE45">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default" w:ascii="Times New Roman" w:hAnsi="Times New Roman" w:eastAsia="宋体" w:cs="Times New Roman"/>
                      <w:b w:val="0"/>
                      <w:bCs w:val="0"/>
                      <w:color w:val="auto"/>
                      <w:sz w:val="18"/>
                      <w:szCs w:val="18"/>
                      <w:highlight w:val="none"/>
                    </w:rPr>
                  </w:pPr>
                </w:p>
              </w:tc>
              <w:tc>
                <w:tcPr>
                  <w:tcW w:w="603" w:type="pct"/>
                  <w:tcBorders>
                    <w:tl2br w:val="nil"/>
                    <w:tr2bl w:val="nil"/>
                  </w:tcBorders>
                  <w:noWrap w:val="0"/>
                  <w:vAlign w:val="center"/>
                </w:tcPr>
                <w:p w14:paraId="46360A90">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废水</w:t>
                  </w:r>
                </w:p>
              </w:tc>
              <w:tc>
                <w:tcPr>
                  <w:tcW w:w="2525" w:type="pct"/>
                  <w:tcBorders>
                    <w:tl2br w:val="nil"/>
                    <w:tr2bl w:val="nil"/>
                  </w:tcBorders>
                  <w:noWrap w:val="0"/>
                  <w:vAlign w:val="center"/>
                </w:tcPr>
                <w:p w14:paraId="33C79540">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default" w:ascii="Times New Roman" w:hAnsi="Times New Roman" w:eastAsia="宋体" w:cs="Times New Roman"/>
                      <w:b w:val="0"/>
                      <w:bCs/>
                      <w:color w:val="auto"/>
                      <w:sz w:val="18"/>
                      <w:szCs w:val="18"/>
                      <w:highlight w:val="none"/>
                      <w:lang w:val="en-US" w:eastAsia="zh-CN"/>
                    </w:rPr>
                  </w:pPr>
                  <w:r>
                    <w:rPr>
                      <w:rFonts w:hint="eastAsia" w:cs="Times New Roman"/>
                      <w:b w:val="0"/>
                      <w:bCs/>
                      <w:color w:val="auto"/>
                      <w:sz w:val="18"/>
                      <w:szCs w:val="18"/>
                      <w:highlight w:val="none"/>
                      <w:lang w:val="en-US" w:eastAsia="zh-CN"/>
                    </w:rPr>
                    <w:t>酸性废水污水处理站、碱性含油废水处理站等</w:t>
                  </w:r>
                </w:p>
              </w:tc>
              <w:tc>
                <w:tcPr>
                  <w:tcW w:w="1267" w:type="pct"/>
                  <w:tcBorders>
                    <w:tl2br w:val="nil"/>
                    <w:tr2bl w:val="nil"/>
                  </w:tcBorders>
                  <w:noWrap w:val="0"/>
                  <w:vAlign w:val="center"/>
                </w:tcPr>
                <w:p w14:paraId="722AB88E">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default" w:ascii="Times New Roman" w:hAnsi="Times New Roman" w:eastAsia="宋体" w:cs="Times New Roman"/>
                      <w:b w:val="0"/>
                      <w:bCs w:val="0"/>
                      <w:color w:val="auto"/>
                      <w:sz w:val="18"/>
                      <w:szCs w:val="18"/>
                      <w:highlight w:val="none"/>
                      <w:lang w:val="en-US" w:eastAsia="zh-CN"/>
                    </w:rPr>
                  </w:pPr>
                  <w:r>
                    <w:rPr>
                      <w:rFonts w:hint="eastAsia" w:cs="Times New Roman"/>
                      <w:b w:val="0"/>
                      <w:bCs w:val="0"/>
                      <w:color w:val="auto"/>
                      <w:sz w:val="18"/>
                      <w:szCs w:val="18"/>
                      <w:highlight w:val="none"/>
                      <w:lang w:val="en-US" w:eastAsia="zh-CN"/>
                    </w:rPr>
                    <w:t>1560</w:t>
                  </w:r>
                </w:p>
              </w:tc>
            </w:tr>
            <w:tr w14:paraId="69B812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603" w:type="pct"/>
                  <w:vMerge w:val="continue"/>
                  <w:tcBorders>
                    <w:tl2br w:val="nil"/>
                    <w:tr2bl w:val="nil"/>
                  </w:tcBorders>
                  <w:noWrap w:val="0"/>
                  <w:vAlign w:val="center"/>
                </w:tcPr>
                <w:p w14:paraId="09BF6149">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default" w:ascii="Times New Roman" w:hAnsi="Times New Roman" w:eastAsia="宋体" w:cs="Times New Roman"/>
                      <w:b w:val="0"/>
                      <w:bCs w:val="0"/>
                      <w:color w:val="auto"/>
                      <w:sz w:val="18"/>
                      <w:szCs w:val="18"/>
                      <w:highlight w:val="none"/>
                    </w:rPr>
                  </w:pPr>
                </w:p>
              </w:tc>
              <w:tc>
                <w:tcPr>
                  <w:tcW w:w="603" w:type="pct"/>
                  <w:tcBorders>
                    <w:tl2br w:val="nil"/>
                    <w:tr2bl w:val="nil"/>
                  </w:tcBorders>
                  <w:noWrap w:val="0"/>
                  <w:vAlign w:val="center"/>
                </w:tcPr>
                <w:p w14:paraId="20A32E2F">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噪声</w:t>
                  </w:r>
                </w:p>
              </w:tc>
              <w:tc>
                <w:tcPr>
                  <w:tcW w:w="2525" w:type="pct"/>
                  <w:tcBorders>
                    <w:tl2br w:val="nil"/>
                    <w:tr2bl w:val="nil"/>
                  </w:tcBorders>
                  <w:noWrap w:val="0"/>
                  <w:vAlign w:val="center"/>
                </w:tcPr>
                <w:p w14:paraId="59F47A26">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default" w:ascii="Times New Roman" w:hAnsi="Times New Roman" w:eastAsia="宋体" w:cs="Times New Roman"/>
                      <w:b w:val="0"/>
                      <w:bCs w:val="0"/>
                      <w:color w:val="auto"/>
                      <w:sz w:val="18"/>
                      <w:szCs w:val="18"/>
                      <w:highlight w:val="none"/>
                      <w:lang w:val="en-US" w:eastAsia="zh-CN"/>
                    </w:rPr>
                  </w:pPr>
                  <w:r>
                    <w:rPr>
                      <w:rFonts w:hint="eastAsia" w:cs="Times New Roman"/>
                      <w:b w:val="0"/>
                      <w:bCs w:val="0"/>
                      <w:color w:val="auto"/>
                      <w:sz w:val="18"/>
                      <w:szCs w:val="18"/>
                      <w:highlight w:val="none"/>
                      <w:lang w:val="en-US" w:eastAsia="zh-CN"/>
                    </w:rPr>
                    <w:t>隔声、减振、消声等</w:t>
                  </w:r>
                </w:p>
              </w:tc>
              <w:tc>
                <w:tcPr>
                  <w:tcW w:w="1267" w:type="pct"/>
                  <w:tcBorders>
                    <w:tl2br w:val="nil"/>
                    <w:tr2bl w:val="nil"/>
                  </w:tcBorders>
                  <w:noWrap w:val="0"/>
                  <w:vAlign w:val="center"/>
                </w:tcPr>
                <w:p w14:paraId="02E167CB">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default" w:ascii="Times New Roman" w:hAnsi="Times New Roman" w:eastAsia="宋体" w:cs="Times New Roman"/>
                      <w:b w:val="0"/>
                      <w:bCs w:val="0"/>
                      <w:color w:val="auto"/>
                      <w:sz w:val="18"/>
                      <w:szCs w:val="18"/>
                      <w:highlight w:val="none"/>
                      <w:lang w:val="en-US" w:eastAsia="zh-CN"/>
                    </w:rPr>
                  </w:pPr>
                  <w:r>
                    <w:rPr>
                      <w:rFonts w:hint="eastAsia" w:cs="Times New Roman"/>
                      <w:b w:val="0"/>
                      <w:bCs w:val="0"/>
                      <w:color w:val="auto"/>
                      <w:sz w:val="18"/>
                      <w:szCs w:val="18"/>
                      <w:highlight w:val="none"/>
                      <w:lang w:val="en-US" w:eastAsia="zh-CN"/>
                    </w:rPr>
                    <w:t>50</w:t>
                  </w:r>
                </w:p>
              </w:tc>
            </w:tr>
            <w:tr w14:paraId="6F4780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603" w:type="pct"/>
                  <w:vMerge w:val="continue"/>
                  <w:tcBorders>
                    <w:tl2br w:val="nil"/>
                    <w:tr2bl w:val="nil"/>
                  </w:tcBorders>
                  <w:noWrap w:val="0"/>
                  <w:vAlign w:val="center"/>
                </w:tcPr>
                <w:p w14:paraId="3A3FBF9C">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eastAsia" w:cs="Times New Roman"/>
                      <w:b w:val="0"/>
                      <w:bCs w:val="0"/>
                      <w:color w:val="auto"/>
                      <w:sz w:val="18"/>
                      <w:szCs w:val="18"/>
                      <w:highlight w:val="none"/>
                      <w:lang w:val="en-US" w:eastAsia="zh-CN"/>
                    </w:rPr>
                  </w:pPr>
                </w:p>
              </w:tc>
              <w:tc>
                <w:tcPr>
                  <w:tcW w:w="603" w:type="pct"/>
                  <w:tcBorders>
                    <w:tl2br w:val="nil"/>
                    <w:tr2bl w:val="nil"/>
                  </w:tcBorders>
                  <w:noWrap w:val="0"/>
                  <w:vAlign w:val="center"/>
                </w:tcPr>
                <w:p w14:paraId="39EDF14C">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default" w:ascii="Times New Roman" w:hAnsi="Times New Roman" w:eastAsia="宋体" w:cs="Times New Roman"/>
                      <w:b w:val="0"/>
                      <w:bCs w:val="0"/>
                      <w:color w:val="auto"/>
                      <w:sz w:val="18"/>
                      <w:szCs w:val="18"/>
                      <w:highlight w:val="none"/>
                      <w:lang w:val="en-US" w:eastAsia="zh-CN"/>
                    </w:rPr>
                  </w:pPr>
                  <w:r>
                    <w:rPr>
                      <w:rFonts w:hint="eastAsia" w:cs="Times New Roman"/>
                      <w:b w:val="0"/>
                      <w:bCs w:val="0"/>
                      <w:color w:val="auto"/>
                      <w:sz w:val="18"/>
                      <w:szCs w:val="18"/>
                      <w:highlight w:val="none"/>
                      <w:lang w:val="en-US" w:eastAsia="zh-CN"/>
                    </w:rPr>
                    <w:t>固废</w:t>
                  </w:r>
                </w:p>
              </w:tc>
              <w:tc>
                <w:tcPr>
                  <w:tcW w:w="2525" w:type="pct"/>
                  <w:tcBorders>
                    <w:tl2br w:val="nil"/>
                    <w:tr2bl w:val="nil"/>
                  </w:tcBorders>
                  <w:noWrap w:val="0"/>
                  <w:vAlign w:val="center"/>
                </w:tcPr>
                <w:p w14:paraId="3AE7D3A4">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default" w:ascii="Times New Roman" w:hAnsi="Times New Roman" w:eastAsia="宋体" w:cs="Times New Roman"/>
                      <w:b w:val="0"/>
                      <w:bCs w:val="0"/>
                      <w:color w:val="auto"/>
                      <w:sz w:val="18"/>
                      <w:szCs w:val="18"/>
                      <w:highlight w:val="none"/>
                      <w:lang w:val="en-US" w:eastAsia="zh-CN"/>
                    </w:rPr>
                  </w:pPr>
                  <w:r>
                    <w:rPr>
                      <w:rFonts w:hint="eastAsia" w:cs="Times New Roman"/>
                      <w:b w:val="0"/>
                      <w:bCs w:val="0"/>
                      <w:color w:val="auto"/>
                      <w:sz w:val="18"/>
                      <w:szCs w:val="18"/>
                      <w:highlight w:val="none"/>
                      <w:lang w:val="en-US" w:eastAsia="zh-CN"/>
                    </w:rPr>
                    <w:t>酸再生、一般固废暂存、危废暂存库等</w:t>
                  </w:r>
                </w:p>
              </w:tc>
              <w:tc>
                <w:tcPr>
                  <w:tcW w:w="1267" w:type="pct"/>
                  <w:tcBorders>
                    <w:tl2br w:val="nil"/>
                    <w:tr2bl w:val="nil"/>
                  </w:tcBorders>
                  <w:noWrap w:val="0"/>
                  <w:vAlign w:val="center"/>
                </w:tcPr>
                <w:p w14:paraId="07722399">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default" w:ascii="Times New Roman" w:hAnsi="Times New Roman" w:eastAsia="宋体" w:cs="Times New Roman"/>
                      <w:b w:val="0"/>
                      <w:bCs w:val="0"/>
                      <w:color w:val="auto"/>
                      <w:sz w:val="18"/>
                      <w:szCs w:val="18"/>
                      <w:highlight w:val="none"/>
                      <w:lang w:val="en-US" w:eastAsia="zh-CN"/>
                    </w:rPr>
                  </w:pPr>
                  <w:r>
                    <w:rPr>
                      <w:rFonts w:hint="eastAsia" w:cs="Times New Roman"/>
                      <w:b w:val="0"/>
                      <w:bCs w:val="0"/>
                      <w:color w:val="auto"/>
                      <w:sz w:val="18"/>
                      <w:szCs w:val="18"/>
                      <w:highlight w:val="none"/>
                      <w:lang w:val="en-US" w:eastAsia="zh-CN"/>
                    </w:rPr>
                    <w:t>100</w:t>
                  </w:r>
                </w:p>
              </w:tc>
            </w:tr>
            <w:tr w14:paraId="141398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603" w:type="pct"/>
                  <w:vMerge w:val="continue"/>
                  <w:tcBorders>
                    <w:tl2br w:val="nil"/>
                    <w:tr2bl w:val="nil"/>
                  </w:tcBorders>
                  <w:noWrap w:val="0"/>
                  <w:vAlign w:val="center"/>
                </w:tcPr>
                <w:p w14:paraId="6A906B53">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eastAsia" w:cs="Times New Roman"/>
                      <w:b w:val="0"/>
                      <w:bCs w:val="0"/>
                      <w:color w:val="auto"/>
                      <w:sz w:val="18"/>
                      <w:szCs w:val="18"/>
                      <w:highlight w:val="none"/>
                      <w:lang w:val="en-US" w:eastAsia="zh-CN"/>
                    </w:rPr>
                  </w:pPr>
                </w:p>
              </w:tc>
              <w:tc>
                <w:tcPr>
                  <w:tcW w:w="603" w:type="pct"/>
                  <w:tcBorders>
                    <w:tl2br w:val="nil"/>
                    <w:tr2bl w:val="nil"/>
                  </w:tcBorders>
                  <w:noWrap w:val="0"/>
                  <w:vAlign w:val="center"/>
                </w:tcPr>
                <w:p w14:paraId="400D78FC">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eastAsia" w:ascii="Times New Roman" w:hAnsi="Times New Roman" w:eastAsia="宋体" w:cs="Times New Roman"/>
                      <w:b w:val="0"/>
                      <w:bCs w:val="0"/>
                      <w:color w:val="auto"/>
                      <w:sz w:val="18"/>
                      <w:szCs w:val="18"/>
                      <w:highlight w:val="none"/>
                      <w:lang w:val="en-US" w:eastAsia="zh-CN"/>
                    </w:rPr>
                  </w:pPr>
                  <w:r>
                    <w:rPr>
                      <w:rFonts w:hint="eastAsia" w:cs="Times New Roman"/>
                      <w:b w:val="0"/>
                      <w:bCs w:val="0"/>
                      <w:color w:val="auto"/>
                      <w:sz w:val="18"/>
                      <w:szCs w:val="18"/>
                      <w:highlight w:val="none"/>
                      <w:lang w:val="en-US" w:eastAsia="zh-CN"/>
                    </w:rPr>
                    <w:t>防渗风险</w:t>
                  </w:r>
                </w:p>
              </w:tc>
              <w:tc>
                <w:tcPr>
                  <w:tcW w:w="2525" w:type="pct"/>
                  <w:tcBorders>
                    <w:tl2br w:val="nil"/>
                    <w:tr2bl w:val="nil"/>
                  </w:tcBorders>
                  <w:noWrap w:val="0"/>
                  <w:vAlign w:val="center"/>
                </w:tcPr>
                <w:p w14:paraId="7F4889C4">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default" w:ascii="Times New Roman" w:hAnsi="Times New Roman" w:eastAsia="宋体" w:cs="Times New Roman"/>
                      <w:b w:val="0"/>
                      <w:bCs w:val="0"/>
                      <w:color w:val="auto"/>
                      <w:sz w:val="18"/>
                      <w:szCs w:val="18"/>
                      <w:highlight w:val="none"/>
                      <w:lang w:val="en-US" w:eastAsia="zh-CN"/>
                    </w:rPr>
                  </w:pPr>
                  <w:r>
                    <w:rPr>
                      <w:rFonts w:hint="eastAsia" w:cs="Times New Roman"/>
                      <w:b w:val="0"/>
                      <w:bCs w:val="0"/>
                      <w:color w:val="auto"/>
                      <w:sz w:val="18"/>
                      <w:szCs w:val="18"/>
                      <w:highlight w:val="none"/>
                      <w:lang w:val="en-US" w:eastAsia="zh-CN"/>
                    </w:rPr>
                    <w:t>防渗措施，事故水池+事故水管网</w:t>
                  </w:r>
                </w:p>
              </w:tc>
              <w:tc>
                <w:tcPr>
                  <w:tcW w:w="1267" w:type="pct"/>
                  <w:tcBorders>
                    <w:tl2br w:val="nil"/>
                    <w:tr2bl w:val="nil"/>
                  </w:tcBorders>
                  <w:noWrap w:val="0"/>
                  <w:vAlign w:val="center"/>
                </w:tcPr>
                <w:p w14:paraId="12EEDDD3">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default" w:ascii="Times New Roman" w:hAnsi="Times New Roman" w:eastAsia="宋体" w:cs="Times New Roman"/>
                      <w:b w:val="0"/>
                      <w:bCs w:val="0"/>
                      <w:color w:val="auto"/>
                      <w:sz w:val="18"/>
                      <w:szCs w:val="18"/>
                      <w:highlight w:val="none"/>
                      <w:lang w:val="en-US" w:eastAsia="zh-CN"/>
                    </w:rPr>
                  </w:pPr>
                  <w:r>
                    <w:rPr>
                      <w:rFonts w:hint="eastAsia" w:cs="Times New Roman"/>
                      <w:b w:val="0"/>
                      <w:bCs w:val="0"/>
                      <w:color w:val="auto"/>
                      <w:sz w:val="18"/>
                      <w:szCs w:val="18"/>
                      <w:highlight w:val="none"/>
                      <w:lang w:val="en-US" w:eastAsia="zh-CN"/>
                    </w:rPr>
                    <w:t>450</w:t>
                  </w:r>
                </w:p>
              </w:tc>
            </w:tr>
            <w:tr w14:paraId="05F8EF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603" w:type="pct"/>
                  <w:vMerge w:val="continue"/>
                  <w:tcBorders>
                    <w:tl2br w:val="nil"/>
                    <w:tr2bl w:val="nil"/>
                  </w:tcBorders>
                  <w:noWrap w:val="0"/>
                  <w:vAlign w:val="center"/>
                </w:tcPr>
                <w:p w14:paraId="07B2F453">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eastAsia" w:cs="Times New Roman"/>
                      <w:b w:val="0"/>
                      <w:bCs w:val="0"/>
                      <w:color w:val="auto"/>
                      <w:sz w:val="18"/>
                      <w:szCs w:val="18"/>
                      <w:highlight w:val="none"/>
                      <w:lang w:val="en-US" w:eastAsia="zh-CN"/>
                    </w:rPr>
                  </w:pPr>
                </w:p>
              </w:tc>
              <w:tc>
                <w:tcPr>
                  <w:tcW w:w="3129" w:type="pct"/>
                  <w:gridSpan w:val="2"/>
                  <w:tcBorders>
                    <w:tl2br w:val="nil"/>
                    <w:tr2bl w:val="nil"/>
                  </w:tcBorders>
                  <w:noWrap w:val="0"/>
                  <w:vAlign w:val="center"/>
                </w:tcPr>
                <w:p w14:paraId="10E6DCF6">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eastAsia" w:cs="Times New Roman"/>
                      <w:b w:val="0"/>
                      <w:bCs w:val="0"/>
                      <w:color w:val="auto"/>
                      <w:sz w:val="18"/>
                      <w:szCs w:val="18"/>
                      <w:highlight w:val="none"/>
                      <w:lang w:val="en-US" w:eastAsia="zh-CN"/>
                    </w:rPr>
                  </w:pPr>
                  <w:r>
                    <w:rPr>
                      <w:rFonts w:hint="eastAsia" w:cs="Times New Roman"/>
                      <w:b w:val="0"/>
                      <w:bCs w:val="0"/>
                      <w:color w:val="auto"/>
                      <w:sz w:val="18"/>
                      <w:szCs w:val="18"/>
                      <w:highlight w:val="none"/>
                      <w:lang w:val="en-US" w:eastAsia="zh-CN"/>
                    </w:rPr>
                    <w:t>环境管理与检测</w:t>
                  </w:r>
                </w:p>
              </w:tc>
              <w:tc>
                <w:tcPr>
                  <w:tcW w:w="1267" w:type="pct"/>
                  <w:tcBorders>
                    <w:tl2br w:val="nil"/>
                    <w:tr2bl w:val="nil"/>
                  </w:tcBorders>
                  <w:noWrap w:val="0"/>
                  <w:vAlign w:val="center"/>
                </w:tcPr>
                <w:p w14:paraId="72C7A1E6">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default" w:cs="Times New Roman"/>
                      <w:b w:val="0"/>
                      <w:bCs w:val="0"/>
                      <w:color w:val="auto"/>
                      <w:sz w:val="18"/>
                      <w:szCs w:val="18"/>
                      <w:highlight w:val="none"/>
                      <w:lang w:val="en-US" w:eastAsia="zh-CN"/>
                    </w:rPr>
                  </w:pPr>
                  <w:r>
                    <w:rPr>
                      <w:rFonts w:hint="eastAsia" w:cs="Times New Roman"/>
                      <w:b w:val="0"/>
                      <w:bCs w:val="0"/>
                      <w:color w:val="auto"/>
                      <w:sz w:val="18"/>
                      <w:szCs w:val="18"/>
                      <w:highlight w:val="none"/>
                      <w:lang w:val="en-US" w:eastAsia="zh-CN"/>
                    </w:rPr>
                    <w:t>50</w:t>
                  </w:r>
                </w:p>
              </w:tc>
            </w:tr>
            <w:tr w14:paraId="414D0F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603" w:type="pct"/>
                  <w:vMerge w:val="continue"/>
                  <w:tcBorders>
                    <w:tl2br w:val="nil"/>
                    <w:tr2bl w:val="nil"/>
                  </w:tcBorders>
                  <w:noWrap w:val="0"/>
                  <w:vAlign w:val="center"/>
                </w:tcPr>
                <w:p w14:paraId="21775C80">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eastAsia" w:eastAsia="宋体" w:cs="Times New Roman"/>
                      <w:b w:val="0"/>
                      <w:bCs w:val="0"/>
                      <w:color w:val="auto"/>
                      <w:sz w:val="18"/>
                      <w:szCs w:val="18"/>
                      <w:highlight w:val="none"/>
                      <w:lang w:val="en-US" w:eastAsia="zh-CN"/>
                    </w:rPr>
                  </w:pPr>
                </w:p>
              </w:tc>
              <w:tc>
                <w:tcPr>
                  <w:tcW w:w="3129" w:type="pct"/>
                  <w:gridSpan w:val="2"/>
                  <w:tcBorders>
                    <w:tl2br w:val="nil"/>
                    <w:tr2bl w:val="nil"/>
                  </w:tcBorders>
                  <w:noWrap w:val="0"/>
                  <w:vAlign w:val="center"/>
                </w:tcPr>
                <w:p w14:paraId="0B48F115">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default" w:ascii="Times New Roman" w:hAnsi="Times New Roman" w:eastAsia="宋体" w:cs="Times New Roman"/>
                      <w:b w:val="0"/>
                      <w:bCs w:val="0"/>
                      <w:color w:val="auto"/>
                      <w:sz w:val="18"/>
                      <w:szCs w:val="18"/>
                      <w:highlight w:val="none"/>
                      <w:lang w:val="en-US" w:eastAsia="zh-CN"/>
                    </w:rPr>
                  </w:pPr>
                  <w:r>
                    <w:rPr>
                      <w:rFonts w:hint="eastAsia" w:eastAsia="宋体" w:cs="Times New Roman"/>
                      <w:b w:val="0"/>
                      <w:bCs w:val="0"/>
                      <w:color w:val="auto"/>
                      <w:sz w:val="18"/>
                      <w:szCs w:val="18"/>
                      <w:highlight w:val="none"/>
                      <w:lang w:val="en-US" w:eastAsia="zh-CN"/>
                    </w:rPr>
                    <w:t>合计</w:t>
                  </w:r>
                </w:p>
              </w:tc>
              <w:tc>
                <w:tcPr>
                  <w:tcW w:w="1267" w:type="pct"/>
                  <w:tcBorders>
                    <w:tl2br w:val="nil"/>
                    <w:tr2bl w:val="nil"/>
                  </w:tcBorders>
                  <w:noWrap w:val="0"/>
                  <w:vAlign w:val="center"/>
                </w:tcPr>
                <w:p w14:paraId="6EB062A6">
                  <w:pPr>
                    <w:pStyle w:val="159"/>
                    <w:keepNext w:val="0"/>
                    <w:keepLines w:val="0"/>
                    <w:pageBreakBefore w:val="0"/>
                    <w:widowControl w:val="0"/>
                    <w:suppressLineNumbers w:val="0"/>
                    <w:kinsoku/>
                    <w:wordWrap/>
                    <w:overflowPunct/>
                    <w:topLinePunct w:val="0"/>
                    <w:bidi w:val="0"/>
                    <w:snapToGrid/>
                    <w:spacing w:beforeAutospacing="0" w:after="0" w:afterAutospacing="0"/>
                    <w:jc w:val="center"/>
                    <w:rPr>
                      <w:rFonts w:hint="default" w:ascii="Times New Roman" w:hAnsi="Times New Roman" w:eastAsia="宋体" w:cs="Times New Roman"/>
                      <w:b w:val="0"/>
                      <w:bCs w:val="0"/>
                      <w:color w:val="auto"/>
                      <w:sz w:val="18"/>
                      <w:szCs w:val="18"/>
                      <w:highlight w:val="none"/>
                      <w:lang w:val="en-US" w:eastAsia="zh-CN"/>
                    </w:rPr>
                  </w:pPr>
                  <w:r>
                    <w:rPr>
                      <w:rFonts w:hint="eastAsia" w:cs="Times New Roman"/>
                      <w:b w:val="0"/>
                      <w:bCs w:val="0"/>
                      <w:color w:val="auto"/>
                      <w:sz w:val="18"/>
                      <w:szCs w:val="18"/>
                      <w:highlight w:val="none"/>
                      <w:lang w:val="en-US" w:eastAsia="zh-CN"/>
                    </w:rPr>
                    <w:t>2690</w:t>
                  </w:r>
                </w:p>
              </w:tc>
            </w:tr>
          </w:tbl>
          <w:p w14:paraId="7A680A1A">
            <w:pPr>
              <w:tabs>
                <w:tab w:val="left" w:pos="5292"/>
              </w:tabs>
              <w:spacing w:line="355" w:lineRule="auto"/>
              <w:ind w:firstLine="422" w:firstLineChars="200"/>
              <w:jc w:val="left"/>
              <w:rPr>
                <w:rFonts w:hint="default"/>
                <w:b/>
                <w:bCs w:val="0"/>
                <w:color w:val="auto"/>
                <w:sz w:val="21"/>
                <w:szCs w:val="21"/>
                <w:highlight w:val="none"/>
                <w:lang w:val="en-US" w:eastAsia="zh-CN"/>
              </w:rPr>
            </w:pPr>
            <w:r>
              <w:rPr>
                <w:rFonts w:hint="eastAsia"/>
                <w:b/>
                <w:bCs w:val="0"/>
                <w:color w:val="auto"/>
                <w:sz w:val="21"/>
                <w:szCs w:val="21"/>
                <w:highlight w:val="none"/>
                <w:lang w:val="en-US" w:eastAsia="zh-CN"/>
              </w:rPr>
              <w:t>九、“三同时”环保验收情况</w:t>
            </w:r>
          </w:p>
          <w:p w14:paraId="0AF75D1F">
            <w:pPr>
              <w:tabs>
                <w:tab w:val="left" w:pos="5292"/>
              </w:tabs>
              <w:spacing w:line="355" w:lineRule="auto"/>
              <w:ind w:firstLine="420" w:firstLineChars="200"/>
              <w:jc w:val="left"/>
              <w:rPr>
                <w:rFonts w:hint="eastAsia"/>
                <w:b w:val="0"/>
                <w:bCs/>
                <w:color w:val="auto"/>
                <w:sz w:val="21"/>
                <w:szCs w:val="21"/>
                <w:highlight w:val="none"/>
                <w:lang w:val="en-US" w:eastAsia="zh-CN"/>
              </w:rPr>
            </w:pPr>
            <w:r>
              <w:rPr>
                <w:rFonts w:hint="eastAsia"/>
                <w:b w:val="0"/>
                <w:bCs/>
                <w:color w:val="auto"/>
                <w:sz w:val="21"/>
                <w:szCs w:val="21"/>
                <w:highlight w:val="none"/>
                <w:lang w:val="en-US" w:eastAsia="zh-CN"/>
              </w:rPr>
              <w:t>本项目环保设施验收内容及要求见表4-28。</w:t>
            </w:r>
          </w:p>
          <w:p w14:paraId="226BE0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黑体"/>
                <w:bCs/>
                <w:color w:val="auto"/>
                <w:spacing w:val="2"/>
                <w:sz w:val="21"/>
                <w:szCs w:val="21"/>
                <w:highlight w:val="none"/>
                <w:lang w:val="en-US" w:eastAsia="zh-CN"/>
              </w:rPr>
            </w:pPr>
            <w:r>
              <w:rPr>
                <w:rFonts w:hint="eastAsia" w:ascii="Times New Roman" w:hAnsi="Times New Roman" w:eastAsia="黑体"/>
                <w:bCs/>
                <w:color w:val="auto"/>
                <w:spacing w:val="2"/>
                <w:sz w:val="21"/>
                <w:szCs w:val="21"/>
                <w:highlight w:val="none"/>
                <w:lang w:val="en-US" w:eastAsia="zh-CN"/>
              </w:rPr>
              <w:t>表4-28 本项目“三同时”验收一览表</w:t>
            </w:r>
          </w:p>
          <w:tbl>
            <w:tblPr>
              <w:tblStyle w:val="33"/>
              <w:tblW w:w="830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742"/>
              <w:gridCol w:w="1613"/>
              <w:gridCol w:w="1494"/>
              <w:gridCol w:w="1901"/>
              <w:gridCol w:w="2552"/>
            </w:tblGrid>
            <w:tr w14:paraId="16E64D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PrEx>
              <w:trPr>
                <w:jc w:val="center"/>
              </w:trPr>
              <w:tc>
                <w:tcPr>
                  <w:tcW w:w="2355" w:type="dxa"/>
                  <w:gridSpan w:val="2"/>
                  <w:tcBorders>
                    <w:tl2br w:val="nil"/>
                    <w:tr2bl w:val="nil"/>
                  </w:tcBorders>
                  <w:shd w:val="clear" w:color="auto" w:fill="auto"/>
                  <w:noWrap w:val="0"/>
                  <w:vAlign w:val="center"/>
                </w:tcPr>
                <w:p w14:paraId="14988F8D">
                  <w:pPr>
                    <w:pStyle w:val="230"/>
                    <w:spacing w:before="0" w:beforeLines="0" w:line="280" w:lineRule="exac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项目</w:t>
                  </w:r>
                </w:p>
              </w:tc>
              <w:tc>
                <w:tcPr>
                  <w:tcW w:w="1494" w:type="dxa"/>
                  <w:tcBorders>
                    <w:tl2br w:val="nil"/>
                    <w:tr2bl w:val="nil"/>
                  </w:tcBorders>
                  <w:shd w:val="clear" w:color="auto" w:fill="auto"/>
                  <w:noWrap w:val="0"/>
                  <w:vAlign w:val="center"/>
                </w:tcPr>
                <w:p w14:paraId="29246112">
                  <w:pPr>
                    <w:pStyle w:val="230"/>
                    <w:spacing w:before="0" w:beforeLines="0" w:line="280" w:lineRule="exac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污染因子</w:t>
                  </w:r>
                </w:p>
              </w:tc>
              <w:tc>
                <w:tcPr>
                  <w:tcW w:w="1901" w:type="dxa"/>
                  <w:tcBorders>
                    <w:tl2br w:val="nil"/>
                    <w:tr2bl w:val="nil"/>
                  </w:tcBorders>
                  <w:shd w:val="clear" w:color="auto" w:fill="auto"/>
                  <w:noWrap w:val="0"/>
                  <w:vAlign w:val="center"/>
                </w:tcPr>
                <w:p w14:paraId="1C35B253">
                  <w:pPr>
                    <w:pStyle w:val="230"/>
                    <w:spacing w:before="0" w:beforeLines="0" w:line="280" w:lineRule="exac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环境保护措施</w:t>
                  </w:r>
                </w:p>
              </w:tc>
              <w:tc>
                <w:tcPr>
                  <w:tcW w:w="2552" w:type="dxa"/>
                  <w:tcBorders>
                    <w:tl2br w:val="nil"/>
                    <w:tr2bl w:val="nil"/>
                  </w:tcBorders>
                  <w:shd w:val="clear" w:color="auto" w:fill="auto"/>
                  <w:noWrap w:val="0"/>
                  <w:vAlign w:val="center"/>
                </w:tcPr>
                <w:p w14:paraId="1926D622">
                  <w:pPr>
                    <w:pStyle w:val="230"/>
                    <w:spacing w:before="0" w:beforeLines="0" w:line="280" w:lineRule="exac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处理效果</w:t>
                  </w:r>
                </w:p>
              </w:tc>
            </w:tr>
            <w:tr w14:paraId="10A428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742" w:type="dxa"/>
                  <w:vMerge w:val="restart"/>
                  <w:tcBorders>
                    <w:tl2br w:val="nil"/>
                    <w:tr2bl w:val="nil"/>
                  </w:tcBorders>
                  <w:shd w:val="clear" w:color="auto" w:fill="auto"/>
                  <w:noWrap w:val="0"/>
                  <w:vAlign w:val="center"/>
                </w:tcPr>
                <w:p w14:paraId="7072EA72">
                  <w:pPr>
                    <w:pStyle w:val="230"/>
                    <w:spacing w:before="0" w:beforeLines="0" w:line="280" w:lineRule="exac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废气</w:t>
                  </w:r>
                </w:p>
              </w:tc>
              <w:tc>
                <w:tcPr>
                  <w:tcW w:w="1613" w:type="dxa"/>
                  <w:tcBorders>
                    <w:tl2br w:val="nil"/>
                    <w:tr2bl w:val="nil"/>
                  </w:tcBorders>
                  <w:shd w:val="clear" w:color="auto" w:fill="auto"/>
                  <w:noWrap w:val="0"/>
                  <w:vAlign w:val="center"/>
                </w:tcPr>
                <w:p w14:paraId="6F513521">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退火炉、加热炉等废气</w:t>
                  </w:r>
                </w:p>
                <w:p w14:paraId="48D6ECF5">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DA001</w:t>
                  </w:r>
                </w:p>
                <w:p w14:paraId="1EFE8DC2">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DA002</w:t>
                  </w:r>
                </w:p>
                <w:p w14:paraId="5C6B3CF2">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DA007</w:t>
                  </w:r>
                </w:p>
                <w:p w14:paraId="598CAB36">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DA008</w:t>
                  </w:r>
                </w:p>
                <w:p w14:paraId="05636B4A">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DA011</w:t>
                  </w:r>
                </w:p>
                <w:p w14:paraId="2036AAF5">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DA013</w:t>
                  </w:r>
                </w:p>
              </w:tc>
              <w:tc>
                <w:tcPr>
                  <w:tcW w:w="1494" w:type="dxa"/>
                  <w:tcBorders>
                    <w:tl2br w:val="nil"/>
                    <w:tr2bl w:val="nil"/>
                  </w:tcBorders>
                  <w:shd w:val="clear" w:color="auto" w:fill="auto"/>
                  <w:noWrap w:val="0"/>
                  <w:vAlign w:val="center"/>
                </w:tcPr>
                <w:p w14:paraId="34A5B2F8">
                  <w:pPr>
                    <w:keepNext w:val="0"/>
                    <w:keepLines w:val="0"/>
                    <w:widowControl/>
                    <w:suppressLineNumbers w:val="0"/>
                    <w:spacing w:line="240" w:lineRule="auto"/>
                    <w:ind w:firstLine="0" w:firstLineChars="0"/>
                    <w:jc w:val="center"/>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b w:val="0"/>
                      <w:bCs w:val="0"/>
                      <w:color w:val="auto"/>
                      <w:kern w:val="0"/>
                      <w:sz w:val="18"/>
                      <w:szCs w:val="18"/>
                      <w:highlight w:val="none"/>
                      <w:lang w:val="en-US" w:eastAsia="zh-CN" w:bidi="ar"/>
                    </w:rPr>
                    <w:t>颗粒物、二氧化硫、氮氧化物</w:t>
                  </w:r>
                </w:p>
              </w:tc>
              <w:tc>
                <w:tcPr>
                  <w:tcW w:w="1901" w:type="dxa"/>
                  <w:tcBorders>
                    <w:tl2br w:val="nil"/>
                    <w:tr2bl w:val="nil"/>
                  </w:tcBorders>
                  <w:shd w:val="clear" w:color="auto" w:fill="auto"/>
                  <w:noWrap w:val="0"/>
                  <w:vAlign w:val="center"/>
                </w:tcPr>
                <w:p w14:paraId="0B5904D0">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低氮燃烧技术</w:t>
                  </w:r>
                </w:p>
              </w:tc>
              <w:tc>
                <w:tcPr>
                  <w:tcW w:w="2552" w:type="dxa"/>
                  <w:tcBorders>
                    <w:tl2br w:val="nil"/>
                    <w:tr2bl w:val="nil"/>
                  </w:tcBorders>
                  <w:shd w:val="clear" w:color="auto" w:fill="auto"/>
                  <w:noWrap w:val="0"/>
                  <w:vAlign w:val="center"/>
                </w:tcPr>
                <w:p w14:paraId="41A385D8">
                  <w:pPr>
                    <w:pStyle w:val="15"/>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满足</w:t>
                  </w:r>
                  <w:r>
                    <w:rPr>
                      <w:rFonts w:hint="default" w:ascii="Times New Roman" w:hAnsi="Times New Roman" w:eastAsia="宋体" w:cs="Times New Roman"/>
                      <w:color w:val="auto"/>
                      <w:kern w:val="2"/>
                      <w:sz w:val="18"/>
                      <w:szCs w:val="18"/>
                      <w:highlight w:val="none"/>
                      <w:lang w:val="en-US" w:eastAsia="zh-CN" w:bidi="ar-SA"/>
                    </w:rPr>
                    <w:t>《轧钢工业大气污染物排放标准》（GB28665-2012）及其修改单表3及《关于推进实施钢铁行业超低排放的意见》（环大气[2019]35号）相关标准要求</w:t>
                  </w:r>
                </w:p>
              </w:tc>
            </w:tr>
            <w:tr w14:paraId="1D8E92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742" w:type="dxa"/>
                  <w:vMerge w:val="continue"/>
                  <w:tcBorders>
                    <w:tl2br w:val="nil"/>
                    <w:tr2bl w:val="nil"/>
                  </w:tcBorders>
                  <w:shd w:val="clear" w:color="auto" w:fill="auto"/>
                  <w:noWrap w:val="0"/>
                  <w:vAlign w:val="center"/>
                </w:tcPr>
                <w:p w14:paraId="2E8C04D3">
                  <w:pPr>
                    <w:pStyle w:val="230"/>
                    <w:spacing w:before="0" w:beforeLines="0" w:line="280" w:lineRule="exact"/>
                    <w:rPr>
                      <w:rFonts w:hint="default" w:ascii="Times New Roman" w:hAnsi="Times New Roman" w:eastAsia="宋体" w:cs="Times New Roman"/>
                      <w:color w:val="auto"/>
                      <w:sz w:val="18"/>
                      <w:szCs w:val="18"/>
                      <w:highlight w:val="none"/>
                    </w:rPr>
                  </w:pPr>
                </w:p>
              </w:tc>
              <w:tc>
                <w:tcPr>
                  <w:tcW w:w="1613" w:type="dxa"/>
                  <w:tcBorders>
                    <w:tl2br w:val="nil"/>
                    <w:tr2bl w:val="nil"/>
                  </w:tcBorders>
                  <w:shd w:val="clear" w:color="auto" w:fill="auto"/>
                  <w:noWrap w:val="0"/>
                  <w:vAlign w:val="center"/>
                </w:tcPr>
                <w:p w14:paraId="40A64237">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抛丸、MgO粉尘、激光刻痕废气</w:t>
                  </w:r>
                </w:p>
                <w:p w14:paraId="6BE9C13D">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DA003</w:t>
                  </w:r>
                </w:p>
                <w:p w14:paraId="13E3DA7E">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DA010</w:t>
                  </w:r>
                </w:p>
                <w:p w14:paraId="15804BF9">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DA012</w:t>
                  </w:r>
                </w:p>
                <w:p w14:paraId="452170E7">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DA014</w:t>
                  </w:r>
                </w:p>
              </w:tc>
              <w:tc>
                <w:tcPr>
                  <w:tcW w:w="1494" w:type="dxa"/>
                  <w:tcBorders>
                    <w:tl2br w:val="nil"/>
                    <w:tr2bl w:val="nil"/>
                  </w:tcBorders>
                  <w:shd w:val="clear" w:color="auto" w:fill="auto"/>
                  <w:noWrap w:val="0"/>
                  <w:vAlign w:val="center"/>
                </w:tcPr>
                <w:p w14:paraId="09A54AF1">
                  <w:pPr>
                    <w:keepNext w:val="0"/>
                    <w:keepLines w:val="0"/>
                    <w:widowControl/>
                    <w:suppressLineNumbers w:val="0"/>
                    <w:spacing w:line="240" w:lineRule="auto"/>
                    <w:ind w:firstLine="0" w:firstLineChars="0"/>
                    <w:jc w:val="center"/>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b w:val="0"/>
                      <w:bCs w:val="0"/>
                      <w:color w:val="auto"/>
                      <w:kern w:val="0"/>
                      <w:sz w:val="18"/>
                      <w:szCs w:val="18"/>
                      <w:highlight w:val="none"/>
                      <w:lang w:val="en-US" w:eastAsia="zh-CN" w:bidi="ar"/>
                    </w:rPr>
                    <w:t>颗粒物</w:t>
                  </w:r>
                </w:p>
              </w:tc>
              <w:tc>
                <w:tcPr>
                  <w:tcW w:w="1901" w:type="dxa"/>
                  <w:tcBorders>
                    <w:tl2br w:val="nil"/>
                    <w:tr2bl w:val="nil"/>
                  </w:tcBorders>
                  <w:shd w:val="clear" w:color="auto" w:fill="auto"/>
                  <w:noWrap w:val="0"/>
                  <w:vAlign w:val="center"/>
                </w:tcPr>
                <w:p w14:paraId="573A366D">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布袋除尘</w:t>
                  </w:r>
                </w:p>
              </w:tc>
              <w:tc>
                <w:tcPr>
                  <w:tcW w:w="2552" w:type="dxa"/>
                  <w:vMerge w:val="restart"/>
                  <w:tcBorders>
                    <w:tl2br w:val="nil"/>
                    <w:tr2bl w:val="nil"/>
                  </w:tcBorders>
                  <w:shd w:val="clear" w:color="auto" w:fill="auto"/>
                  <w:noWrap w:val="0"/>
                  <w:vAlign w:val="center"/>
                </w:tcPr>
                <w:p w14:paraId="5A16B635">
                  <w:pPr>
                    <w:pStyle w:val="15"/>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kern w:val="2"/>
                      <w:sz w:val="18"/>
                      <w:szCs w:val="18"/>
                      <w:highlight w:val="none"/>
                      <w:lang w:val="en-US" w:eastAsia="zh-CN" w:bidi="ar-SA"/>
                    </w:rPr>
                    <w:t>满足《轧钢工业大气污染物排放标准》（GB28665-2012）及其修改单表3 限值要求</w:t>
                  </w:r>
                </w:p>
              </w:tc>
            </w:tr>
            <w:tr w14:paraId="2CBE77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742" w:type="dxa"/>
                  <w:vMerge w:val="continue"/>
                  <w:tcBorders>
                    <w:tl2br w:val="nil"/>
                    <w:tr2bl w:val="nil"/>
                  </w:tcBorders>
                  <w:shd w:val="clear" w:color="auto" w:fill="auto"/>
                  <w:noWrap w:val="0"/>
                  <w:vAlign w:val="center"/>
                </w:tcPr>
                <w:p w14:paraId="32030ADD">
                  <w:pPr>
                    <w:pStyle w:val="230"/>
                    <w:spacing w:before="0" w:beforeLines="0" w:line="280" w:lineRule="exact"/>
                    <w:rPr>
                      <w:rFonts w:hint="default" w:ascii="Times New Roman" w:hAnsi="Times New Roman" w:eastAsia="宋体" w:cs="Times New Roman"/>
                      <w:color w:val="auto"/>
                      <w:sz w:val="18"/>
                      <w:szCs w:val="18"/>
                      <w:highlight w:val="none"/>
                    </w:rPr>
                  </w:pPr>
                </w:p>
              </w:tc>
              <w:tc>
                <w:tcPr>
                  <w:tcW w:w="1613" w:type="dxa"/>
                  <w:tcBorders>
                    <w:tl2br w:val="nil"/>
                    <w:tr2bl w:val="nil"/>
                  </w:tcBorders>
                  <w:shd w:val="clear" w:color="auto" w:fill="auto"/>
                  <w:noWrap w:val="0"/>
                  <w:vAlign w:val="center"/>
                </w:tcPr>
                <w:p w14:paraId="17F437E6">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盐酸酸洗及盐酸储罐废气</w:t>
                  </w:r>
                </w:p>
                <w:p w14:paraId="2A6BCB3F">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DA004</w:t>
                  </w:r>
                </w:p>
                <w:p w14:paraId="47B0A3BE">
                  <w:pPr>
                    <w:pStyle w:val="230"/>
                    <w:spacing w:before="0" w:beforeLines="0" w:line="280" w:lineRule="exac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highlight w:val="none"/>
                      <w:lang w:val="en-US" w:eastAsia="zh-CN" w:bidi="ar"/>
                    </w:rPr>
                    <w:t>酸再生装置排气筒DA013</w:t>
                  </w:r>
                </w:p>
              </w:tc>
              <w:tc>
                <w:tcPr>
                  <w:tcW w:w="1494" w:type="dxa"/>
                  <w:tcBorders>
                    <w:tl2br w:val="nil"/>
                    <w:tr2bl w:val="nil"/>
                  </w:tcBorders>
                  <w:shd w:val="clear" w:color="auto" w:fill="auto"/>
                  <w:noWrap w:val="0"/>
                  <w:vAlign w:val="center"/>
                </w:tcPr>
                <w:p w14:paraId="0240BE5D">
                  <w:pPr>
                    <w:keepNext w:val="0"/>
                    <w:keepLines w:val="0"/>
                    <w:widowControl/>
                    <w:suppressLineNumbers w:val="0"/>
                    <w:spacing w:line="240" w:lineRule="auto"/>
                    <w:ind w:firstLine="0" w:firstLineChars="0"/>
                    <w:jc w:val="center"/>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b w:val="0"/>
                      <w:bCs w:val="0"/>
                      <w:color w:val="auto"/>
                      <w:kern w:val="0"/>
                      <w:sz w:val="18"/>
                      <w:szCs w:val="18"/>
                      <w:highlight w:val="none"/>
                      <w:lang w:val="en-US" w:eastAsia="zh-CN" w:bidi="ar"/>
                    </w:rPr>
                    <w:t>氯化氢</w:t>
                  </w:r>
                </w:p>
              </w:tc>
              <w:tc>
                <w:tcPr>
                  <w:tcW w:w="1901" w:type="dxa"/>
                  <w:tcBorders>
                    <w:tl2br w:val="nil"/>
                    <w:tr2bl w:val="nil"/>
                  </w:tcBorders>
                  <w:shd w:val="clear" w:color="auto" w:fill="auto"/>
                  <w:noWrap w:val="0"/>
                  <w:vAlign w:val="center"/>
                </w:tcPr>
                <w:p w14:paraId="3A9123F4">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水吸收/碱吸收</w:t>
                  </w:r>
                </w:p>
              </w:tc>
              <w:tc>
                <w:tcPr>
                  <w:tcW w:w="2552" w:type="dxa"/>
                  <w:vMerge w:val="continue"/>
                  <w:tcBorders>
                    <w:tl2br w:val="nil"/>
                    <w:tr2bl w:val="nil"/>
                  </w:tcBorders>
                  <w:shd w:val="clear" w:color="auto" w:fill="auto"/>
                  <w:noWrap w:val="0"/>
                  <w:vAlign w:val="center"/>
                </w:tcPr>
                <w:p w14:paraId="462DA51F">
                  <w:pPr>
                    <w:pStyle w:val="15"/>
                    <w:rPr>
                      <w:rFonts w:hint="default" w:ascii="Times New Roman" w:hAnsi="Times New Roman" w:eastAsia="宋体" w:cs="Times New Roman"/>
                      <w:color w:val="auto"/>
                      <w:sz w:val="18"/>
                      <w:szCs w:val="18"/>
                      <w:highlight w:val="none"/>
                    </w:rPr>
                  </w:pPr>
                </w:p>
              </w:tc>
            </w:tr>
            <w:tr w14:paraId="54AEE9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742" w:type="dxa"/>
                  <w:vMerge w:val="continue"/>
                  <w:tcBorders>
                    <w:tl2br w:val="nil"/>
                    <w:tr2bl w:val="nil"/>
                  </w:tcBorders>
                  <w:shd w:val="clear" w:color="auto" w:fill="auto"/>
                  <w:noWrap w:val="0"/>
                  <w:vAlign w:val="center"/>
                </w:tcPr>
                <w:p w14:paraId="037BC8DB">
                  <w:pPr>
                    <w:pStyle w:val="230"/>
                    <w:spacing w:before="0" w:beforeLines="0" w:line="280" w:lineRule="exact"/>
                    <w:rPr>
                      <w:rFonts w:hint="default" w:ascii="Times New Roman" w:hAnsi="Times New Roman" w:eastAsia="宋体" w:cs="Times New Roman"/>
                      <w:color w:val="auto"/>
                      <w:sz w:val="18"/>
                      <w:szCs w:val="18"/>
                      <w:highlight w:val="none"/>
                    </w:rPr>
                  </w:pPr>
                </w:p>
              </w:tc>
              <w:tc>
                <w:tcPr>
                  <w:tcW w:w="1613" w:type="dxa"/>
                  <w:tcBorders>
                    <w:tl2br w:val="nil"/>
                    <w:tr2bl w:val="nil"/>
                  </w:tcBorders>
                  <w:shd w:val="clear" w:color="auto" w:fill="auto"/>
                  <w:noWrap w:val="0"/>
                  <w:vAlign w:val="center"/>
                </w:tcPr>
                <w:p w14:paraId="5D1676DC">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冷轧废气DA005</w:t>
                  </w:r>
                </w:p>
              </w:tc>
              <w:tc>
                <w:tcPr>
                  <w:tcW w:w="1494" w:type="dxa"/>
                  <w:tcBorders>
                    <w:tl2br w:val="nil"/>
                    <w:tr2bl w:val="nil"/>
                  </w:tcBorders>
                  <w:shd w:val="clear" w:color="auto" w:fill="auto"/>
                  <w:noWrap w:val="0"/>
                  <w:vAlign w:val="center"/>
                </w:tcPr>
                <w:p w14:paraId="2D9602B5">
                  <w:pPr>
                    <w:keepNext w:val="0"/>
                    <w:keepLines w:val="0"/>
                    <w:widowControl/>
                    <w:suppressLineNumbers w:val="0"/>
                    <w:spacing w:line="240" w:lineRule="auto"/>
                    <w:ind w:firstLine="0" w:firstLineChars="0"/>
                    <w:jc w:val="center"/>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b w:val="0"/>
                      <w:bCs w:val="0"/>
                      <w:color w:val="auto"/>
                      <w:kern w:val="0"/>
                      <w:sz w:val="18"/>
                      <w:szCs w:val="18"/>
                      <w:highlight w:val="none"/>
                      <w:lang w:val="en-US" w:eastAsia="zh-CN" w:bidi="ar"/>
                    </w:rPr>
                    <w:t>油雾</w:t>
                  </w:r>
                </w:p>
              </w:tc>
              <w:tc>
                <w:tcPr>
                  <w:tcW w:w="1901" w:type="dxa"/>
                  <w:tcBorders>
                    <w:tl2br w:val="nil"/>
                    <w:tr2bl w:val="nil"/>
                  </w:tcBorders>
                  <w:shd w:val="clear" w:color="auto" w:fill="auto"/>
                  <w:noWrap w:val="0"/>
                  <w:vAlign w:val="center"/>
                </w:tcPr>
                <w:p w14:paraId="2821E348">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油雾净化器</w:t>
                  </w:r>
                </w:p>
              </w:tc>
              <w:tc>
                <w:tcPr>
                  <w:tcW w:w="2552" w:type="dxa"/>
                  <w:vMerge w:val="continue"/>
                  <w:tcBorders>
                    <w:tl2br w:val="nil"/>
                    <w:tr2bl w:val="nil"/>
                  </w:tcBorders>
                  <w:shd w:val="clear" w:color="auto" w:fill="auto"/>
                  <w:noWrap w:val="0"/>
                  <w:vAlign w:val="center"/>
                </w:tcPr>
                <w:p w14:paraId="2C6B4D40">
                  <w:pPr>
                    <w:pStyle w:val="15"/>
                    <w:rPr>
                      <w:rFonts w:hint="default" w:ascii="Times New Roman" w:hAnsi="Times New Roman" w:eastAsia="宋体" w:cs="Times New Roman"/>
                      <w:color w:val="auto"/>
                      <w:sz w:val="18"/>
                      <w:szCs w:val="18"/>
                      <w:highlight w:val="none"/>
                    </w:rPr>
                  </w:pPr>
                </w:p>
              </w:tc>
            </w:tr>
            <w:tr w14:paraId="425270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PrEx>
              <w:trPr>
                <w:jc w:val="center"/>
              </w:trPr>
              <w:tc>
                <w:tcPr>
                  <w:tcW w:w="742" w:type="dxa"/>
                  <w:vMerge w:val="continue"/>
                  <w:tcBorders>
                    <w:tl2br w:val="nil"/>
                    <w:tr2bl w:val="nil"/>
                  </w:tcBorders>
                  <w:shd w:val="clear" w:color="auto" w:fill="auto"/>
                  <w:noWrap w:val="0"/>
                  <w:vAlign w:val="center"/>
                </w:tcPr>
                <w:p w14:paraId="758928FA">
                  <w:pPr>
                    <w:pStyle w:val="230"/>
                    <w:spacing w:before="0" w:beforeLines="0" w:line="280" w:lineRule="exact"/>
                    <w:rPr>
                      <w:rFonts w:hint="default" w:ascii="Times New Roman" w:hAnsi="Times New Roman" w:eastAsia="宋体" w:cs="Times New Roman"/>
                      <w:color w:val="auto"/>
                      <w:sz w:val="18"/>
                      <w:szCs w:val="18"/>
                      <w:highlight w:val="none"/>
                    </w:rPr>
                  </w:pPr>
                </w:p>
              </w:tc>
              <w:tc>
                <w:tcPr>
                  <w:tcW w:w="1613" w:type="dxa"/>
                  <w:tcBorders>
                    <w:tl2br w:val="nil"/>
                    <w:tr2bl w:val="nil"/>
                  </w:tcBorders>
                  <w:shd w:val="clear" w:color="auto" w:fill="auto"/>
                  <w:noWrap w:val="0"/>
                  <w:vAlign w:val="center"/>
                </w:tcPr>
                <w:p w14:paraId="0C8E72F9">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碱洗及碱洗后水洗废气DA006</w:t>
                  </w:r>
                </w:p>
              </w:tc>
              <w:tc>
                <w:tcPr>
                  <w:tcW w:w="1494" w:type="dxa"/>
                  <w:tcBorders>
                    <w:tl2br w:val="nil"/>
                    <w:tr2bl w:val="nil"/>
                  </w:tcBorders>
                  <w:shd w:val="clear" w:color="auto" w:fill="auto"/>
                  <w:noWrap w:val="0"/>
                  <w:vAlign w:val="center"/>
                </w:tcPr>
                <w:p w14:paraId="5122CEBA">
                  <w:pPr>
                    <w:keepNext w:val="0"/>
                    <w:keepLines w:val="0"/>
                    <w:widowControl/>
                    <w:suppressLineNumbers w:val="0"/>
                    <w:spacing w:line="240" w:lineRule="auto"/>
                    <w:ind w:firstLine="0" w:firstLineChars="0"/>
                    <w:jc w:val="center"/>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b w:val="0"/>
                      <w:bCs w:val="0"/>
                      <w:color w:val="auto"/>
                      <w:kern w:val="0"/>
                      <w:sz w:val="18"/>
                      <w:szCs w:val="18"/>
                      <w:highlight w:val="none"/>
                      <w:lang w:val="en-US" w:eastAsia="zh-CN" w:bidi="ar"/>
                    </w:rPr>
                    <w:t>碱雾</w:t>
                  </w:r>
                </w:p>
              </w:tc>
              <w:tc>
                <w:tcPr>
                  <w:tcW w:w="1901" w:type="dxa"/>
                  <w:tcBorders>
                    <w:tl2br w:val="nil"/>
                    <w:tr2bl w:val="nil"/>
                  </w:tcBorders>
                  <w:shd w:val="clear" w:color="auto" w:fill="auto"/>
                  <w:noWrap w:val="0"/>
                  <w:vAlign w:val="center"/>
                </w:tcPr>
                <w:p w14:paraId="2FC263B1">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酸吸收</w:t>
                  </w:r>
                </w:p>
              </w:tc>
              <w:tc>
                <w:tcPr>
                  <w:tcW w:w="2552" w:type="dxa"/>
                  <w:vMerge w:val="continue"/>
                  <w:tcBorders>
                    <w:tl2br w:val="nil"/>
                    <w:tr2bl w:val="nil"/>
                  </w:tcBorders>
                  <w:shd w:val="clear" w:color="auto" w:fill="auto"/>
                  <w:noWrap w:val="0"/>
                  <w:vAlign w:val="center"/>
                </w:tcPr>
                <w:p w14:paraId="791B1068">
                  <w:pPr>
                    <w:pStyle w:val="15"/>
                    <w:rPr>
                      <w:rFonts w:hint="default" w:ascii="Times New Roman" w:hAnsi="Times New Roman" w:eastAsia="宋体" w:cs="Times New Roman"/>
                      <w:color w:val="auto"/>
                      <w:sz w:val="18"/>
                      <w:szCs w:val="18"/>
                      <w:highlight w:val="none"/>
                    </w:rPr>
                  </w:pPr>
                </w:p>
              </w:tc>
            </w:tr>
            <w:tr w14:paraId="17F7B8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742" w:type="dxa"/>
                  <w:vMerge w:val="continue"/>
                  <w:tcBorders>
                    <w:tl2br w:val="nil"/>
                    <w:tr2bl w:val="nil"/>
                  </w:tcBorders>
                  <w:shd w:val="clear" w:color="auto" w:fill="auto"/>
                  <w:noWrap w:val="0"/>
                  <w:vAlign w:val="center"/>
                </w:tcPr>
                <w:p w14:paraId="3FF437D6">
                  <w:pPr>
                    <w:pStyle w:val="230"/>
                    <w:spacing w:before="0" w:beforeLines="0" w:line="280" w:lineRule="exact"/>
                    <w:rPr>
                      <w:rFonts w:hint="default" w:ascii="Times New Roman" w:hAnsi="Times New Roman" w:eastAsia="宋体" w:cs="Times New Roman"/>
                      <w:color w:val="auto"/>
                      <w:sz w:val="18"/>
                      <w:szCs w:val="18"/>
                      <w:highlight w:val="none"/>
                    </w:rPr>
                  </w:pPr>
                </w:p>
              </w:tc>
              <w:tc>
                <w:tcPr>
                  <w:tcW w:w="1613" w:type="dxa"/>
                  <w:tcBorders>
                    <w:tl2br w:val="nil"/>
                    <w:tr2bl w:val="nil"/>
                  </w:tcBorders>
                  <w:shd w:val="clear" w:color="auto" w:fill="auto"/>
                  <w:noWrap w:val="0"/>
                  <w:vAlign w:val="center"/>
                </w:tcPr>
                <w:p w14:paraId="514B2F4B">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硫酸酸洗及硫酸储罐废气</w:t>
                  </w:r>
                </w:p>
                <w:p w14:paraId="32E52C7C">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DA009</w:t>
                  </w:r>
                </w:p>
              </w:tc>
              <w:tc>
                <w:tcPr>
                  <w:tcW w:w="1494" w:type="dxa"/>
                  <w:tcBorders>
                    <w:tl2br w:val="nil"/>
                    <w:tr2bl w:val="nil"/>
                  </w:tcBorders>
                  <w:shd w:val="clear" w:color="auto" w:fill="auto"/>
                  <w:noWrap w:val="0"/>
                  <w:vAlign w:val="center"/>
                </w:tcPr>
                <w:p w14:paraId="6D62729F">
                  <w:pPr>
                    <w:keepNext w:val="0"/>
                    <w:keepLines w:val="0"/>
                    <w:widowControl/>
                    <w:suppressLineNumbers w:val="0"/>
                    <w:spacing w:line="240" w:lineRule="auto"/>
                    <w:ind w:firstLine="0" w:firstLineChars="0"/>
                    <w:jc w:val="center"/>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b w:val="0"/>
                      <w:bCs w:val="0"/>
                      <w:color w:val="auto"/>
                      <w:kern w:val="0"/>
                      <w:sz w:val="18"/>
                      <w:szCs w:val="18"/>
                      <w:highlight w:val="none"/>
                      <w:lang w:val="en-US" w:eastAsia="zh-CN" w:bidi="ar"/>
                    </w:rPr>
                    <w:t>硫酸雾</w:t>
                  </w:r>
                </w:p>
              </w:tc>
              <w:tc>
                <w:tcPr>
                  <w:tcW w:w="1901" w:type="dxa"/>
                  <w:tcBorders>
                    <w:tl2br w:val="nil"/>
                    <w:tr2bl w:val="nil"/>
                  </w:tcBorders>
                  <w:shd w:val="clear" w:color="auto" w:fill="auto"/>
                  <w:noWrap w:val="0"/>
                  <w:vAlign w:val="center"/>
                </w:tcPr>
                <w:p w14:paraId="278D18BC">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碱洗收</w:t>
                  </w:r>
                </w:p>
              </w:tc>
              <w:tc>
                <w:tcPr>
                  <w:tcW w:w="2552" w:type="dxa"/>
                  <w:vMerge w:val="continue"/>
                  <w:tcBorders>
                    <w:tl2br w:val="nil"/>
                    <w:tr2bl w:val="nil"/>
                  </w:tcBorders>
                  <w:shd w:val="clear" w:color="auto" w:fill="auto"/>
                  <w:noWrap w:val="0"/>
                  <w:vAlign w:val="center"/>
                </w:tcPr>
                <w:p w14:paraId="0F4CB02F">
                  <w:pPr>
                    <w:pStyle w:val="15"/>
                    <w:rPr>
                      <w:rFonts w:hint="default" w:ascii="Times New Roman" w:hAnsi="Times New Roman" w:eastAsia="宋体" w:cs="Times New Roman"/>
                      <w:color w:val="auto"/>
                      <w:sz w:val="18"/>
                      <w:szCs w:val="18"/>
                      <w:highlight w:val="none"/>
                    </w:rPr>
                  </w:pPr>
                </w:p>
              </w:tc>
            </w:tr>
            <w:tr w14:paraId="4CEC2B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PrEx>
              <w:trPr>
                <w:jc w:val="center"/>
              </w:trPr>
              <w:tc>
                <w:tcPr>
                  <w:tcW w:w="742" w:type="dxa"/>
                  <w:vMerge w:val="continue"/>
                  <w:tcBorders>
                    <w:tl2br w:val="nil"/>
                    <w:tr2bl w:val="nil"/>
                  </w:tcBorders>
                  <w:shd w:val="clear" w:color="auto" w:fill="auto"/>
                  <w:noWrap w:val="0"/>
                  <w:vAlign w:val="center"/>
                </w:tcPr>
                <w:p w14:paraId="23A25013">
                  <w:pPr>
                    <w:pStyle w:val="230"/>
                    <w:spacing w:before="0" w:beforeLines="0" w:line="280" w:lineRule="exact"/>
                    <w:rPr>
                      <w:rFonts w:hint="default" w:ascii="Times New Roman" w:hAnsi="Times New Roman" w:eastAsia="宋体" w:cs="Times New Roman"/>
                      <w:color w:val="auto"/>
                      <w:sz w:val="18"/>
                      <w:szCs w:val="18"/>
                      <w:highlight w:val="none"/>
                    </w:rPr>
                  </w:pPr>
                </w:p>
              </w:tc>
              <w:tc>
                <w:tcPr>
                  <w:tcW w:w="1613" w:type="dxa"/>
                  <w:tcBorders>
                    <w:tl2br w:val="nil"/>
                    <w:tr2bl w:val="nil"/>
                  </w:tcBorders>
                  <w:shd w:val="clear" w:color="auto" w:fill="auto"/>
                  <w:noWrap w:val="0"/>
                  <w:vAlign w:val="center"/>
                </w:tcPr>
                <w:p w14:paraId="456C7F33">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无组织废气</w:t>
                  </w:r>
                </w:p>
              </w:tc>
              <w:tc>
                <w:tcPr>
                  <w:tcW w:w="1494" w:type="dxa"/>
                  <w:tcBorders>
                    <w:tl2br w:val="nil"/>
                    <w:tr2bl w:val="nil"/>
                  </w:tcBorders>
                  <w:shd w:val="clear" w:color="auto" w:fill="auto"/>
                  <w:noWrap w:val="0"/>
                  <w:vAlign w:val="center"/>
                </w:tcPr>
                <w:p w14:paraId="31F6CF95">
                  <w:pPr>
                    <w:keepNext w:val="0"/>
                    <w:keepLines w:val="0"/>
                    <w:widowControl/>
                    <w:suppressLineNumbers w:val="0"/>
                    <w:spacing w:line="240" w:lineRule="auto"/>
                    <w:ind w:firstLine="0" w:firstLineChars="0"/>
                    <w:jc w:val="center"/>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b w:val="0"/>
                      <w:bCs w:val="0"/>
                      <w:color w:val="auto"/>
                      <w:kern w:val="0"/>
                      <w:sz w:val="18"/>
                      <w:szCs w:val="18"/>
                      <w:highlight w:val="none"/>
                      <w:lang w:val="en-US" w:eastAsia="zh-CN" w:bidi="ar"/>
                    </w:rPr>
                    <w:t>颗粒物、氯化氢、硫酸雾、氨、臭气浓度</w:t>
                  </w:r>
                </w:p>
              </w:tc>
              <w:tc>
                <w:tcPr>
                  <w:tcW w:w="1901" w:type="dxa"/>
                  <w:tcBorders>
                    <w:tl2br w:val="nil"/>
                    <w:tr2bl w:val="nil"/>
                  </w:tcBorders>
                  <w:shd w:val="clear" w:color="auto" w:fill="auto"/>
                  <w:noWrap w:val="0"/>
                  <w:vAlign w:val="center"/>
                </w:tcPr>
                <w:p w14:paraId="49562EF4">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“应收尽收”、密闭生产、车间通风、加强绿化等</w:t>
                  </w:r>
                </w:p>
              </w:tc>
              <w:tc>
                <w:tcPr>
                  <w:tcW w:w="2552" w:type="dxa"/>
                  <w:tcBorders>
                    <w:tl2br w:val="nil"/>
                    <w:tr2bl w:val="nil"/>
                  </w:tcBorders>
                  <w:shd w:val="clear" w:color="auto" w:fill="auto"/>
                  <w:noWrap w:val="0"/>
                  <w:vAlign w:val="center"/>
                </w:tcPr>
                <w:p w14:paraId="043D9DA7">
                  <w:pPr>
                    <w:pStyle w:val="15"/>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满足《轧钢工业大气污染物排放标准》（GB28665-2012）及其修改单表4就《恶臭污染物排放标准》（GB14554-93）限值要求</w:t>
                  </w:r>
                </w:p>
              </w:tc>
            </w:tr>
            <w:tr w14:paraId="1187D1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42" w:type="dxa"/>
                  <w:tcBorders>
                    <w:tl2br w:val="nil"/>
                    <w:tr2bl w:val="nil"/>
                  </w:tcBorders>
                  <w:shd w:val="clear" w:color="auto" w:fill="auto"/>
                  <w:noWrap w:val="0"/>
                  <w:vAlign w:val="center"/>
                </w:tcPr>
                <w:p w14:paraId="223C5668">
                  <w:pPr>
                    <w:pStyle w:val="230"/>
                    <w:spacing w:before="0" w:beforeLines="0" w:line="280" w:lineRule="exac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废水</w:t>
                  </w:r>
                </w:p>
              </w:tc>
              <w:tc>
                <w:tcPr>
                  <w:tcW w:w="1613" w:type="dxa"/>
                  <w:tcBorders>
                    <w:tl2br w:val="nil"/>
                    <w:tr2bl w:val="nil"/>
                  </w:tcBorders>
                  <w:shd w:val="clear" w:color="auto" w:fill="auto"/>
                  <w:noWrap w:val="0"/>
                  <w:vAlign w:val="center"/>
                </w:tcPr>
                <w:p w14:paraId="590D5B3D">
                  <w:pPr>
                    <w:keepNext w:val="0"/>
                    <w:keepLines w:val="0"/>
                    <w:widowControl/>
                    <w:suppressLineNumbers w:val="0"/>
                    <w:jc w:val="center"/>
                    <w:textAlignment w:val="top"/>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酸性</w:t>
                  </w:r>
                  <w:r>
                    <w:rPr>
                      <w:rFonts w:hint="default" w:ascii="Times New Roman" w:hAnsi="Times New Roman" w:eastAsia="宋体" w:cs="Times New Roman"/>
                      <w:color w:val="auto"/>
                      <w:sz w:val="18"/>
                      <w:szCs w:val="18"/>
                      <w:highlight w:val="none"/>
                    </w:rPr>
                    <w:t>废水、</w:t>
                  </w:r>
                  <w:r>
                    <w:rPr>
                      <w:rFonts w:hint="default" w:ascii="Times New Roman" w:hAnsi="Times New Roman" w:eastAsia="宋体" w:cs="Times New Roman"/>
                      <w:color w:val="auto"/>
                      <w:sz w:val="18"/>
                      <w:szCs w:val="18"/>
                      <w:highlight w:val="none"/>
                      <w:lang w:val="en-US" w:eastAsia="zh-CN"/>
                    </w:rPr>
                    <w:t>碱性含油和乳化液废水、MgO废水、带钢喷淋冷却清洗废水、</w:t>
                  </w:r>
                  <w:r>
                    <w:rPr>
                      <w:rFonts w:hint="default" w:ascii="Times New Roman" w:hAnsi="Times New Roman" w:eastAsia="宋体" w:cs="Times New Roman"/>
                      <w:color w:val="auto"/>
                      <w:sz w:val="18"/>
                      <w:szCs w:val="18"/>
                      <w:highlight w:val="none"/>
                    </w:rPr>
                    <w:t>锅炉排污水、</w:t>
                  </w:r>
                  <w:r>
                    <w:rPr>
                      <w:rFonts w:hint="default" w:ascii="Times New Roman" w:hAnsi="Times New Roman" w:eastAsia="宋体" w:cs="Times New Roman"/>
                      <w:color w:val="auto"/>
                      <w:sz w:val="18"/>
                      <w:szCs w:val="18"/>
                      <w:highlight w:val="none"/>
                      <w:lang w:val="en-US" w:eastAsia="zh-CN"/>
                    </w:rPr>
                    <w:t>脱盐水</w:t>
                  </w:r>
                  <w:r>
                    <w:rPr>
                      <w:rFonts w:hint="default" w:ascii="Times New Roman" w:hAnsi="Times New Roman" w:eastAsia="宋体" w:cs="Times New Roman"/>
                      <w:color w:val="auto"/>
                      <w:sz w:val="18"/>
                      <w:szCs w:val="18"/>
                      <w:highlight w:val="none"/>
                    </w:rPr>
                    <w:t>制备系统排水</w:t>
                  </w:r>
                  <w:r>
                    <w:rPr>
                      <w:rFonts w:hint="default" w:ascii="Times New Roman" w:hAnsi="Times New Roman" w:eastAsia="宋体" w:cs="Times New Roman"/>
                      <w:color w:val="auto"/>
                      <w:sz w:val="18"/>
                      <w:szCs w:val="18"/>
                      <w:highlight w:val="none"/>
                      <w:lang w:val="en-US" w:eastAsia="zh-CN"/>
                    </w:rPr>
                    <w:t>、净循环水系统排污水</w:t>
                  </w:r>
                  <w:r>
                    <w:rPr>
                      <w:rFonts w:hint="default" w:ascii="Times New Roman" w:hAnsi="Times New Roman" w:eastAsia="宋体" w:cs="Times New Roman"/>
                      <w:color w:val="auto"/>
                      <w:sz w:val="18"/>
                      <w:szCs w:val="18"/>
                      <w:highlight w:val="none"/>
                    </w:rPr>
                    <w:t>及生活污水</w:t>
                  </w:r>
                </w:p>
              </w:tc>
              <w:tc>
                <w:tcPr>
                  <w:tcW w:w="1494" w:type="dxa"/>
                  <w:tcBorders>
                    <w:tl2br w:val="nil"/>
                    <w:tr2bl w:val="nil"/>
                  </w:tcBorders>
                  <w:shd w:val="clear" w:color="auto" w:fill="auto"/>
                  <w:noWrap w:val="0"/>
                  <w:vAlign w:val="center"/>
                </w:tcPr>
                <w:p w14:paraId="3BC39464">
                  <w:pPr>
                    <w:adjustRightInd w:val="0"/>
                    <w:snapToGrid w:val="0"/>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COD</w:t>
                  </w:r>
                </w:p>
                <w:p w14:paraId="2B5B1B9A">
                  <w:pPr>
                    <w:adjustRightInd w:val="0"/>
                    <w:snapToGrid w:val="0"/>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SS</w:t>
                  </w:r>
                </w:p>
                <w:p w14:paraId="2D204B29">
                  <w:pPr>
                    <w:adjustRightInd w:val="0"/>
                    <w:snapToGrid w:val="0"/>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氨氮</w:t>
                  </w:r>
                </w:p>
                <w:p w14:paraId="6F9FFE8C">
                  <w:pPr>
                    <w:adjustRightInd w:val="0"/>
                    <w:snapToGrid w:val="0"/>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石油类</w:t>
                  </w:r>
                </w:p>
                <w:p w14:paraId="1DC88246">
                  <w:pPr>
                    <w:keepNext w:val="0"/>
                    <w:keepLines w:val="0"/>
                    <w:widowControl/>
                    <w:suppressLineNumbers w:val="0"/>
                    <w:spacing w:line="240" w:lineRule="auto"/>
                    <w:ind w:firstLine="0" w:firstLineChars="0"/>
                    <w:jc w:val="center"/>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color w:val="auto"/>
                      <w:sz w:val="18"/>
                      <w:szCs w:val="18"/>
                      <w:highlight w:val="none"/>
                      <w:lang w:val="en-US" w:eastAsia="zh-CN"/>
                    </w:rPr>
                    <w:t>pH等</w:t>
                  </w:r>
                </w:p>
              </w:tc>
              <w:tc>
                <w:tcPr>
                  <w:tcW w:w="1901" w:type="dxa"/>
                  <w:tcBorders>
                    <w:tl2br w:val="nil"/>
                    <w:tr2bl w:val="nil"/>
                  </w:tcBorders>
                  <w:shd w:val="clear" w:color="auto" w:fill="auto"/>
                  <w:noWrap w:val="0"/>
                  <w:vAlign w:val="center"/>
                </w:tcPr>
                <w:p w14:paraId="69239A62">
                  <w:pPr>
                    <w:adjustRightInd w:val="0"/>
                    <w:snapToGrid w:val="0"/>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常化盐酸酸洗后水洗酸洗废水、硫酸酸洗后水洗废水、两座酸性废气洗涤塔排水，排至酸性废水处理站处理。酸性废水处理站处理规模为20m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/h，处理工艺为调节+中和+絮凝沉淀。</w:t>
                  </w:r>
                </w:p>
                <w:p w14:paraId="003DBA2B">
                  <w:pPr>
                    <w:adjustRightInd w:val="0"/>
                    <w:snapToGrid w:val="0"/>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碱性、含油废水包括碱洗工序废水、碱洗后水洗废水、碱性废气洗涤塔排水，排至碱性含油废水处理站处理，处理规模为18m3/h，处理工艺为：碱洗工序废水先进行隔油预处理后再与碱洗后水洗废水、碱性废气洗涤塔排水进行调节+中和+絮凝沉淀+MBR接触氧化处理后排至酸性废水处理站进行处理。</w:t>
                  </w:r>
                </w:p>
                <w:p w14:paraId="4CE91FB0">
                  <w:pPr>
                    <w:pStyle w:val="230"/>
                    <w:spacing w:before="0" w:beforeLines="0" w:line="280" w:lineRule="exac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最终经过处理的酸性废水、碱性、含油和乳化液废水与脱盐水系统排污水、锅炉排污水、净循环水系统排污水、生活污水一起经污水管网排至园区污水处理厂（昌吉高新海天污水处理厂）深度处理</w:t>
                  </w:r>
                </w:p>
              </w:tc>
              <w:tc>
                <w:tcPr>
                  <w:tcW w:w="2552" w:type="dxa"/>
                  <w:tcBorders>
                    <w:tl2br w:val="nil"/>
                    <w:tr2bl w:val="nil"/>
                  </w:tcBorders>
                  <w:shd w:val="clear" w:color="auto" w:fill="auto"/>
                  <w:noWrap w:val="0"/>
                  <w:vAlign w:val="center"/>
                </w:tcPr>
                <w:p w14:paraId="60641BF6">
                  <w:pPr>
                    <w:pStyle w:val="230"/>
                    <w:spacing w:before="0" w:beforeLines="0" w:line="280" w:lineRule="exac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水质能够达到</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val="en-US" w:eastAsia="zh-CN"/>
                    </w:rPr>
                    <w:t>钢铁工业水污染物排放标准</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val="en-US" w:eastAsia="zh-CN"/>
                    </w:rPr>
                    <w:t>GB13456-2012</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val="en-US" w:eastAsia="zh-CN"/>
                    </w:rPr>
                    <w:t>及其修改单表3特别排放限值间接排放要求及园区污水处理厂进水水质要求</w:t>
                  </w:r>
                </w:p>
              </w:tc>
            </w:tr>
            <w:tr w14:paraId="788930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742" w:type="dxa"/>
                  <w:vMerge w:val="restart"/>
                  <w:tcBorders>
                    <w:tl2br w:val="nil"/>
                    <w:tr2bl w:val="nil"/>
                  </w:tcBorders>
                  <w:shd w:val="clear" w:color="auto" w:fill="auto"/>
                  <w:noWrap w:val="0"/>
                  <w:vAlign w:val="center"/>
                </w:tcPr>
                <w:p w14:paraId="6EA8C01B">
                  <w:pPr>
                    <w:pStyle w:val="230"/>
                    <w:spacing w:before="0" w:beforeLines="0" w:line="280" w:lineRule="exac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固废</w:t>
                  </w:r>
                </w:p>
              </w:tc>
              <w:tc>
                <w:tcPr>
                  <w:tcW w:w="3107" w:type="dxa"/>
                  <w:gridSpan w:val="2"/>
                  <w:tcBorders>
                    <w:tl2br w:val="nil"/>
                    <w:tr2bl w:val="nil"/>
                  </w:tcBorders>
                  <w:shd w:val="clear" w:color="auto" w:fill="auto"/>
                  <w:noWrap w:val="0"/>
                  <w:vAlign w:val="center"/>
                </w:tcPr>
                <w:p w14:paraId="778BE7FE">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边角料</w:t>
                  </w:r>
                </w:p>
              </w:tc>
              <w:tc>
                <w:tcPr>
                  <w:tcW w:w="1901" w:type="dxa"/>
                  <w:vMerge w:val="restart"/>
                  <w:tcBorders>
                    <w:tl2br w:val="nil"/>
                    <w:tr2bl w:val="nil"/>
                  </w:tcBorders>
                  <w:shd w:val="clear" w:color="auto" w:fill="auto"/>
                  <w:noWrap w:val="0"/>
                  <w:vAlign w:val="center"/>
                </w:tcPr>
                <w:p w14:paraId="2BBAD382">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外售综合利用</w:t>
                  </w:r>
                </w:p>
              </w:tc>
              <w:tc>
                <w:tcPr>
                  <w:tcW w:w="2552" w:type="dxa"/>
                  <w:vMerge w:val="restart"/>
                  <w:tcBorders>
                    <w:tl2br w:val="nil"/>
                    <w:tr2bl w:val="nil"/>
                  </w:tcBorders>
                  <w:shd w:val="clear" w:color="auto" w:fill="auto"/>
                  <w:noWrap w:val="0"/>
                  <w:vAlign w:val="center"/>
                </w:tcPr>
                <w:p w14:paraId="5D11B6E9">
                  <w:pPr>
                    <w:pStyle w:val="230"/>
                    <w:spacing w:before="0" w:beforeLines="0" w:line="280" w:lineRule="exac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不外排</w:t>
                  </w:r>
                </w:p>
              </w:tc>
            </w:tr>
            <w:tr w14:paraId="65D6D9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742" w:type="dxa"/>
                  <w:vMerge w:val="continue"/>
                  <w:tcBorders>
                    <w:tl2br w:val="nil"/>
                    <w:tr2bl w:val="nil"/>
                  </w:tcBorders>
                  <w:shd w:val="clear" w:color="auto" w:fill="auto"/>
                  <w:noWrap w:val="0"/>
                  <w:vAlign w:val="center"/>
                </w:tcPr>
                <w:p w14:paraId="16FA2D4A">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68EE0982">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焊渣</w:t>
                  </w:r>
                </w:p>
              </w:tc>
              <w:tc>
                <w:tcPr>
                  <w:tcW w:w="1901" w:type="dxa"/>
                  <w:vMerge w:val="continue"/>
                  <w:tcBorders>
                    <w:tl2br w:val="nil"/>
                    <w:tr2bl w:val="nil"/>
                  </w:tcBorders>
                  <w:shd w:val="clear" w:color="auto" w:fill="auto"/>
                  <w:noWrap w:val="0"/>
                  <w:vAlign w:val="center"/>
                </w:tcPr>
                <w:p w14:paraId="2E2165B4">
                  <w:pPr>
                    <w:pStyle w:val="230"/>
                    <w:spacing w:before="0" w:beforeLines="0" w:line="280" w:lineRule="exact"/>
                    <w:rPr>
                      <w:rFonts w:hint="default" w:ascii="Times New Roman" w:hAnsi="Times New Roman" w:eastAsia="宋体" w:cs="Times New Roman"/>
                      <w:color w:val="auto"/>
                      <w:sz w:val="18"/>
                      <w:szCs w:val="18"/>
                      <w:highlight w:val="none"/>
                    </w:rPr>
                  </w:pPr>
                </w:p>
              </w:tc>
              <w:tc>
                <w:tcPr>
                  <w:tcW w:w="2552" w:type="dxa"/>
                  <w:vMerge w:val="continue"/>
                  <w:tcBorders>
                    <w:tl2br w:val="nil"/>
                    <w:tr2bl w:val="nil"/>
                  </w:tcBorders>
                  <w:shd w:val="clear" w:color="auto" w:fill="auto"/>
                  <w:noWrap w:val="0"/>
                  <w:vAlign w:val="center"/>
                </w:tcPr>
                <w:p w14:paraId="356317A3">
                  <w:pPr>
                    <w:pStyle w:val="230"/>
                    <w:spacing w:before="0" w:beforeLines="0" w:line="280" w:lineRule="exact"/>
                    <w:rPr>
                      <w:rFonts w:hint="default" w:ascii="Times New Roman" w:hAnsi="Times New Roman" w:eastAsia="宋体" w:cs="Times New Roman"/>
                      <w:color w:val="auto"/>
                      <w:sz w:val="18"/>
                      <w:szCs w:val="18"/>
                      <w:highlight w:val="none"/>
                    </w:rPr>
                  </w:pPr>
                </w:p>
              </w:tc>
            </w:tr>
            <w:tr w14:paraId="44315B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PrEx>
              <w:trPr>
                <w:jc w:val="center"/>
              </w:trPr>
              <w:tc>
                <w:tcPr>
                  <w:tcW w:w="742" w:type="dxa"/>
                  <w:vMerge w:val="continue"/>
                  <w:tcBorders>
                    <w:tl2br w:val="nil"/>
                    <w:tr2bl w:val="nil"/>
                  </w:tcBorders>
                  <w:shd w:val="clear" w:color="auto" w:fill="auto"/>
                  <w:noWrap w:val="0"/>
                  <w:vAlign w:val="center"/>
                </w:tcPr>
                <w:p w14:paraId="1509CB1D">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348D7405">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废耐火材料</w:t>
                  </w:r>
                </w:p>
              </w:tc>
              <w:tc>
                <w:tcPr>
                  <w:tcW w:w="1901" w:type="dxa"/>
                  <w:vMerge w:val="continue"/>
                  <w:tcBorders>
                    <w:tl2br w:val="nil"/>
                    <w:tr2bl w:val="nil"/>
                  </w:tcBorders>
                  <w:shd w:val="clear" w:color="auto" w:fill="auto"/>
                  <w:noWrap w:val="0"/>
                  <w:vAlign w:val="center"/>
                </w:tcPr>
                <w:p w14:paraId="11C4D145">
                  <w:pPr>
                    <w:spacing w:line="280" w:lineRule="exact"/>
                    <w:jc w:val="center"/>
                    <w:rPr>
                      <w:rFonts w:hint="default" w:ascii="Times New Roman" w:hAnsi="Times New Roman" w:eastAsia="宋体" w:cs="Times New Roman"/>
                      <w:color w:val="auto"/>
                      <w:kern w:val="2"/>
                      <w:sz w:val="18"/>
                      <w:szCs w:val="18"/>
                      <w:highlight w:val="none"/>
                      <w:lang w:val="en-US" w:eastAsia="zh-CN" w:bidi="ar-SA"/>
                    </w:rPr>
                  </w:pPr>
                </w:p>
              </w:tc>
              <w:tc>
                <w:tcPr>
                  <w:tcW w:w="2552" w:type="dxa"/>
                  <w:vMerge w:val="continue"/>
                  <w:tcBorders>
                    <w:tl2br w:val="nil"/>
                    <w:tr2bl w:val="nil"/>
                  </w:tcBorders>
                  <w:shd w:val="clear" w:color="auto" w:fill="auto"/>
                  <w:noWrap w:val="0"/>
                  <w:vAlign w:val="center"/>
                </w:tcPr>
                <w:p w14:paraId="5E177D73">
                  <w:pPr>
                    <w:pStyle w:val="230"/>
                    <w:spacing w:before="0" w:beforeLines="0" w:line="280" w:lineRule="exact"/>
                    <w:rPr>
                      <w:rFonts w:hint="default" w:ascii="Times New Roman" w:hAnsi="Times New Roman" w:eastAsia="宋体" w:cs="Times New Roman"/>
                      <w:color w:val="auto"/>
                      <w:sz w:val="18"/>
                      <w:szCs w:val="18"/>
                      <w:highlight w:val="none"/>
                    </w:rPr>
                  </w:pPr>
                </w:p>
              </w:tc>
            </w:tr>
            <w:tr w14:paraId="399F68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742" w:type="dxa"/>
                  <w:vMerge w:val="continue"/>
                  <w:tcBorders>
                    <w:tl2br w:val="nil"/>
                    <w:tr2bl w:val="nil"/>
                  </w:tcBorders>
                  <w:shd w:val="clear" w:color="auto" w:fill="auto"/>
                  <w:noWrap w:val="0"/>
                  <w:vAlign w:val="center"/>
                </w:tcPr>
                <w:p w14:paraId="60CC63A4">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0565C09D">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MgO渣</w:t>
                  </w:r>
                </w:p>
              </w:tc>
              <w:tc>
                <w:tcPr>
                  <w:tcW w:w="1901" w:type="dxa"/>
                  <w:vMerge w:val="continue"/>
                  <w:tcBorders>
                    <w:tl2br w:val="nil"/>
                    <w:tr2bl w:val="nil"/>
                  </w:tcBorders>
                  <w:shd w:val="clear" w:color="auto" w:fill="auto"/>
                  <w:noWrap w:val="0"/>
                  <w:vAlign w:val="center"/>
                </w:tcPr>
                <w:p w14:paraId="5B424998">
                  <w:pPr>
                    <w:pStyle w:val="230"/>
                    <w:spacing w:before="0" w:beforeLines="0" w:line="280" w:lineRule="exact"/>
                    <w:rPr>
                      <w:rFonts w:hint="default" w:ascii="Times New Roman" w:hAnsi="Times New Roman" w:eastAsia="宋体" w:cs="Times New Roman"/>
                      <w:color w:val="auto"/>
                      <w:sz w:val="18"/>
                      <w:szCs w:val="18"/>
                      <w:highlight w:val="none"/>
                    </w:rPr>
                  </w:pPr>
                </w:p>
              </w:tc>
              <w:tc>
                <w:tcPr>
                  <w:tcW w:w="2552" w:type="dxa"/>
                  <w:vMerge w:val="continue"/>
                  <w:tcBorders>
                    <w:tl2br w:val="nil"/>
                    <w:tr2bl w:val="nil"/>
                  </w:tcBorders>
                  <w:shd w:val="clear" w:color="auto" w:fill="auto"/>
                  <w:noWrap w:val="0"/>
                  <w:vAlign w:val="center"/>
                </w:tcPr>
                <w:p w14:paraId="41783CF6">
                  <w:pPr>
                    <w:pStyle w:val="230"/>
                    <w:spacing w:before="0" w:beforeLines="0" w:line="280" w:lineRule="exact"/>
                    <w:rPr>
                      <w:rFonts w:hint="default" w:ascii="Times New Roman" w:hAnsi="Times New Roman" w:eastAsia="宋体" w:cs="Times New Roman"/>
                      <w:color w:val="auto"/>
                      <w:sz w:val="18"/>
                      <w:szCs w:val="18"/>
                      <w:highlight w:val="none"/>
                    </w:rPr>
                  </w:pPr>
                </w:p>
              </w:tc>
            </w:tr>
            <w:tr w14:paraId="49C7B2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742" w:type="dxa"/>
                  <w:vMerge w:val="continue"/>
                  <w:tcBorders>
                    <w:tl2br w:val="nil"/>
                    <w:tr2bl w:val="nil"/>
                  </w:tcBorders>
                  <w:shd w:val="clear" w:color="auto" w:fill="auto"/>
                  <w:noWrap w:val="0"/>
                  <w:vAlign w:val="center"/>
                </w:tcPr>
                <w:p w14:paraId="4F1941B1">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6FDCBC36">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氧化铁渣</w:t>
                  </w:r>
                </w:p>
              </w:tc>
              <w:tc>
                <w:tcPr>
                  <w:tcW w:w="1901" w:type="dxa"/>
                  <w:vMerge w:val="continue"/>
                  <w:tcBorders>
                    <w:tl2br w:val="nil"/>
                    <w:tr2bl w:val="nil"/>
                  </w:tcBorders>
                  <w:shd w:val="clear" w:color="auto" w:fill="auto"/>
                  <w:noWrap w:val="0"/>
                  <w:vAlign w:val="center"/>
                </w:tcPr>
                <w:p w14:paraId="68D8E832">
                  <w:pPr>
                    <w:pStyle w:val="230"/>
                    <w:spacing w:before="0" w:beforeLines="0" w:line="280" w:lineRule="exact"/>
                    <w:jc w:val="both"/>
                    <w:rPr>
                      <w:rFonts w:hint="default" w:ascii="Times New Roman" w:hAnsi="Times New Roman" w:eastAsia="宋体" w:cs="Times New Roman"/>
                      <w:color w:val="auto"/>
                      <w:sz w:val="18"/>
                      <w:szCs w:val="18"/>
                      <w:highlight w:val="none"/>
                    </w:rPr>
                  </w:pPr>
                </w:p>
              </w:tc>
              <w:tc>
                <w:tcPr>
                  <w:tcW w:w="2552" w:type="dxa"/>
                  <w:vMerge w:val="continue"/>
                  <w:tcBorders>
                    <w:tl2br w:val="nil"/>
                    <w:tr2bl w:val="nil"/>
                  </w:tcBorders>
                  <w:shd w:val="clear" w:color="auto" w:fill="auto"/>
                  <w:noWrap w:val="0"/>
                  <w:vAlign w:val="center"/>
                </w:tcPr>
                <w:p w14:paraId="620B4130">
                  <w:pPr>
                    <w:pStyle w:val="230"/>
                    <w:spacing w:before="0" w:beforeLines="0" w:line="280" w:lineRule="exact"/>
                    <w:rPr>
                      <w:rFonts w:hint="default" w:ascii="Times New Roman" w:hAnsi="Times New Roman" w:eastAsia="宋体" w:cs="Times New Roman"/>
                      <w:color w:val="auto"/>
                      <w:sz w:val="18"/>
                      <w:szCs w:val="18"/>
                      <w:highlight w:val="none"/>
                    </w:rPr>
                  </w:pPr>
                </w:p>
              </w:tc>
            </w:tr>
            <w:tr w14:paraId="510E38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PrEx>
              <w:trPr>
                <w:jc w:val="center"/>
              </w:trPr>
              <w:tc>
                <w:tcPr>
                  <w:tcW w:w="742" w:type="dxa"/>
                  <w:vMerge w:val="continue"/>
                  <w:tcBorders>
                    <w:tl2br w:val="nil"/>
                    <w:tr2bl w:val="nil"/>
                  </w:tcBorders>
                  <w:shd w:val="clear" w:color="auto" w:fill="auto"/>
                  <w:noWrap w:val="0"/>
                  <w:vAlign w:val="center"/>
                </w:tcPr>
                <w:p w14:paraId="640E6319">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61734E63">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废布袋及除尘灰</w:t>
                  </w:r>
                </w:p>
              </w:tc>
              <w:tc>
                <w:tcPr>
                  <w:tcW w:w="1901" w:type="dxa"/>
                  <w:vMerge w:val="continue"/>
                  <w:tcBorders>
                    <w:tl2br w:val="nil"/>
                    <w:tr2bl w:val="nil"/>
                  </w:tcBorders>
                  <w:shd w:val="clear" w:color="auto" w:fill="auto"/>
                  <w:noWrap w:val="0"/>
                  <w:vAlign w:val="center"/>
                </w:tcPr>
                <w:p w14:paraId="1B820497">
                  <w:pPr>
                    <w:pStyle w:val="230"/>
                    <w:spacing w:before="0" w:beforeLines="0" w:line="280" w:lineRule="exact"/>
                    <w:rPr>
                      <w:rFonts w:hint="default" w:ascii="Times New Roman" w:hAnsi="Times New Roman" w:eastAsia="宋体" w:cs="Times New Roman"/>
                      <w:color w:val="auto"/>
                      <w:sz w:val="18"/>
                      <w:szCs w:val="18"/>
                      <w:highlight w:val="none"/>
                    </w:rPr>
                  </w:pPr>
                </w:p>
              </w:tc>
              <w:tc>
                <w:tcPr>
                  <w:tcW w:w="2552" w:type="dxa"/>
                  <w:vMerge w:val="continue"/>
                  <w:tcBorders>
                    <w:tl2br w:val="nil"/>
                    <w:tr2bl w:val="nil"/>
                  </w:tcBorders>
                  <w:shd w:val="clear" w:color="auto" w:fill="auto"/>
                  <w:noWrap w:val="0"/>
                  <w:vAlign w:val="center"/>
                </w:tcPr>
                <w:p w14:paraId="3D321409">
                  <w:pPr>
                    <w:pStyle w:val="230"/>
                    <w:spacing w:before="0" w:beforeLines="0" w:line="280" w:lineRule="exact"/>
                    <w:rPr>
                      <w:rFonts w:hint="default" w:ascii="Times New Roman" w:hAnsi="Times New Roman" w:eastAsia="宋体" w:cs="Times New Roman"/>
                      <w:color w:val="auto"/>
                      <w:sz w:val="18"/>
                      <w:szCs w:val="18"/>
                      <w:highlight w:val="none"/>
                    </w:rPr>
                  </w:pPr>
                </w:p>
              </w:tc>
            </w:tr>
            <w:tr w14:paraId="47683B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PrEx>
              <w:trPr>
                <w:jc w:val="center"/>
              </w:trPr>
              <w:tc>
                <w:tcPr>
                  <w:tcW w:w="742" w:type="dxa"/>
                  <w:vMerge w:val="continue"/>
                  <w:tcBorders>
                    <w:tl2br w:val="nil"/>
                    <w:tr2bl w:val="nil"/>
                  </w:tcBorders>
                  <w:shd w:val="clear" w:color="auto" w:fill="auto"/>
                  <w:noWrap w:val="0"/>
                  <w:vAlign w:val="center"/>
                </w:tcPr>
                <w:p w14:paraId="64CF2389">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119B5A4C">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废反渗透膜</w:t>
                  </w:r>
                </w:p>
              </w:tc>
              <w:tc>
                <w:tcPr>
                  <w:tcW w:w="1901" w:type="dxa"/>
                  <w:tcBorders>
                    <w:tl2br w:val="nil"/>
                    <w:tr2bl w:val="nil"/>
                  </w:tcBorders>
                  <w:shd w:val="clear" w:color="auto" w:fill="auto"/>
                  <w:noWrap w:val="0"/>
                  <w:vAlign w:val="center"/>
                </w:tcPr>
                <w:p w14:paraId="25EC1430">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厂家回收</w:t>
                  </w:r>
                </w:p>
              </w:tc>
              <w:tc>
                <w:tcPr>
                  <w:tcW w:w="2552" w:type="dxa"/>
                  <w:vMerge w:val="continue"/>
                  <w:tcBorders>
                    <w:tl2br w:val="nil"/>
                    <w:tr2bl w:val="nil"/>
                  </w:tcBorders>
                  <w:shd w:val="clear" w:color="auto" w:fill="auto"/>
                  <w:noWrap w:val="0"/>
                  <w:vAlign w:val="center"/>
                </w:tcPr>
                <w:p w14:paraId="32B8B761">
                  <w:pPr>
                    <w:pStyle w:val="230"/>
                    <w:spacing w:before="0" w:beforeLines="0" w:line="280" w:lineRule="exact"/>
                    <w:rPr>
                      <w:rFonts w:hint="default" w:ascii="Times New Roman" w:hAnsi="Times New Roman" w:eastAsia="宋体" w:cs="Times New Roman"/>
                      <w:color w:val="auto"/>
                      <w:sz w:val="18"/>
                      <w:szCs w:val="18"/>
                      <w:highlight w:val="none"/>
                    </w:rPr>
                  </w:pPr>
                </w:p>
              </w:tc>
            </w:tr>
            <w:tr w14:paraId="06616E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742" w:type="dxa"/>
                  <w:vMerge w:val="continue"/>
                  <w:tcBorders>
                    <w:tl2br w:val="nil"/>
                    <w:tr2bl w:val="nil"/>
                  </w:tcBorders>
                  <w:shd w:val="clear" w:color="auto" w:fill="auto"/>
                  <w:noWrap w:val="0"/>
                  <w:vAlign w:val="center"/>
                </w:tcPr>
                <w:p w14:paraId="57926F7B">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2222E3EF">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废包装材料</w:t>
                  </w:r>
                </w:p>
              </w:tc>
              <w:tc>
                <w:tcPr>
                  <w:tcW w:w="1901" w:type="dxa"/>
                  <w:vMerge w:val="restart"/>
                  <w:tcBorders>
                    <w:tl2br w:val="nil"/>
                    <w:tr2bl w:val="nil"/>
                  </w:tcBorders>
                  <w:shd w:val="clear" w:color="auto" w:fill="auto"/>
                  <w:noWrap w:val="0"/>
                  <w:vAlign w:val="center"/>
                </w:tcPr>
                <w:p w14:paraId="5E5F0647">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外售综合利用</w:t>
                  </w:r>
                </w:p>
              </w:tc>
              <w:tc>
                <w:tcPr>
                  <w:tcW w:w="2552" w:type="dxa"/>
                  <w:vMerge w:val="continue"/>
                  <w:tcBorders>
                    <w:tl2br w:val="nil"/>
                    <w:tr2bl w:val="nil"/>
                  </w:tcBorders>
                  <w:shd w:val="clear" w:color="auto" w:fill="auto"/>
                  <w:noWrap w:val="0"/>
                  <w:vAlign w:val="center"/>
                </w:tcPr>
                <w:p w14:paraId="783FCB43">
                  <w:pPr>
                    <w:pStyle w:val="230"/>
                    <w:spacing w:before="0" w:beforeLines="0" w:line="280" w:lineRule="exact"/>
                    <w:rPr>
                      <w:rFonts w:hint="default" w:ascii="Times New Roman" w:hAnsi="Times New Roman" w:eastAsia="宋体" w:cs="Times New Roman"/>
                      <w:color w:val="auto"/>
                      <w:sz w:val="18"/>
                      <w:szCs w:val="18"/>
                      <w:highlight w:val="none"/>
                    </w:rPr>
                  </w:pPr>
                </w:p>
              </w:tc>
            </w:tr>
            <w:tr w14:paraId="1A0A49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742" w:type="dxa"/>
                  <w:vMerge w:val="continue"/>
                  <w:tcBorders>
                    <w:tl2br w:val="nil"/>
                    <w:tr2bl w:val="nil"/>
                  </w:tcBorders>
                  <w:shd w:val="clear" w:color="auto" w:fill="auto"/>
                  <w:noWrap w:val="0"/>
                  <w:vAlign w:val="center"/>
                </w:tcPr>
                <w:p w14:paraId="1382AAC9">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1DBAF635">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氧化铁粉</w:t>
                  </w:r>
                </w:p>
              </w:tc>
              <w:tc>
                <w:tcPr>
                  <w:tcW w:w="1901" w:type="dxa"/>
                  <w:vMerge w:val="continue"/>
                  <w:tcBorders>
                    <w:tl2br w:val="nil"/>
                    <w:tr2bl w:val="nil"/>
                  </w:tcBorders>
                  <w:shd w:val="clear" w:color="auto" w:fill="auto"/>
                  <w:noWrap w:val="0"/>
                  <w:vAlign w:val="center"/>
                </w:tcPr>
                <w:p w14:paraId="4C5D9CA4">
                  <w:pPr>
                    <w:pStyle w:val="230"/>
                    <w:spacing w:before="0" w:beforeLines="0" w:line="280" w:lineRule="exact"/>
                    <w:rPr>
                      <w:rFonts w:hint="default" w:ascii="Times New Roman" w:hAnsi="Times New Roman" w:eastAsia="宋体" w:cs="Times New Roman"/>
                      <w:color w:val="auto"/>
                      <w:sz w:val="18"/>
                      <w:szCs w:val="18"/>
                      <w:highlight w:val="none"/>
                    </w:rPr>
                  </w:pPr>
                </w:p>
              </w:tc>
              <w:tc>
                <w:tcPr>
                  <w:tcW w:w="2552" w:type="dxa"/>
                  <w:vMerge w:val="continue"/>
                  <w:tcBorders>
                    <w:tl2br w:val="nil"/>
                    <w:tr2bl w:val="nil"/>
                  </w:tcBorders>
                  <w:shd w:val="clear" w:color="auto" w:fill="auto"/>
                  <w:noWrap w:val="0"/>
                  <w:vAlign w:val="center"/>
                </w:tcPr>
                <w:p w14:paraId="17B88A61">
                  <w:pPr>
                    <w:pStyle w:val="230"/>
                    <w:spacing w:before="0" w:beforeLines="0" w:line="280" w:lineRule="exact"/>
                    <w:rPr>
                      <w:rFonts w:hint="default" w:ascii="Times New Roman" w:hAnsi="Times New Roman" w:eastAsia="宋体" w:cs="Times New Roman"/>
                      <w:color w:val="auto"/>
                      <w:sz w:val="18"/>
                      <w:szCs w:val="18"/>
                      <w:highlight w:val="none"/>
                    </w:rPr>
                  </w:pPr>
                </w:p>
              </w:tc>
            </w:tr>
            <w:tr w14:paraId="24166E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742" w:type="dxa"/>
                  <w:vMerge w:val="continue"/>
                  <w:tcBorders>
                    <w:tl2br w:val="nil"/>
                    <w:tr2bl w:val="nil"/>
                  </w:tcBorders>
                  <w:shd w:val="clear" w:color="auto" w:fill="auto"/>
                  <w:noWrap w:val="0"/>
                  <w:vAlign w:val="center"/>
                </w:tcPr>
                <w:p w14:paraId="5D9B680E">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01D14E79">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default" w:ascii="Times New Roman" w:hAnsi="Times New Roman" w:eastAsia="宋体" w:cs="Times New Roman"/>
                      <w:snapToGrid w:val="0"/>
                      <w:color w:val="auto"/>
                      <w:kern w:val="2"/>
                      <w:sz w:val="18"/>
                      <w:szCs w:val="18"/>
                      <w:highlight w:val="none"/>
                      <w:vertAlign w:val="baseline"/>
                      <w:lang w:val="en-US" w:eastAsia="zh-CN" w:bidi="ar-SA"/>
                    </w:rPr>
                    <w:t>废过滤器</w:t>
                  </w:r>
                </w:p>
              </w:tc>
              <w:tc>
                <w:tcPr>
                  <w:tcW w:w="1901" w:type="dxa"/>
                  <w:vMerge w:val="continue"/>
                  <w:tcBorders>
                    <w:tl2br w:val="nil"/>
                    <w:tr2bl w:val="nil"/>
                  </w:tcBorders>
                  <w:shd w:val="clear" w:color="auto" w:fill="auto"/>
                  <w:noWrap w:val="0"/>
                  <w:vAlign w:val="center"/>
                </w:tcPr>
                <w:p w14:paraId="32899EDF">
                  <w:pPr>
                    <w:pStyle w:val="230"/>
                    <w:spacing w:before="0" w:beforeLines="0" w:line="280" w:lineRule="exact"/>
                    <w:rPr>
                      <w:rFonts w:hint="default" w:ascii="Times New Roman" w:hAnsi="Times New Roman" w:eastAsia="宋体" w:cs="Times New Roman"/>
                      <w:color w:val="auto"/>
                      <w:sz w:val="18"/>
                      <w:szCs w:val="18"/>
                      <w:highlight w:val="none"/>
                    </w:rPr>
                  </w:pPr>
                </w:p>
              </w:tc>
              <w:tc>
                <w:tcPr>
                  <w:tcW w:w="2552" w:type="dxa"/>
                  <w:vMerge w:val="continue"/>
                  <w:tcBorders>
                    <w:tl2br w:val="nil"/>
                    <w:tr2bl w:val="nil"/>
                  </w:tcBorders>
                  <w:shd w:val="clear" w:color="auto" w:fill="auto"/>
                  <w:noWrap w:val="0"/>
                  <w:vAlign w:val="center"/>
                </w:tcPr>
                <w:p w14:paraId="6B05F9DE">
                  <w:pPr>
                    <w:pStyle w:val="230"/>
                    <w:spacing w:before="0" w:beforeLines="0" w:line="280" w:lineRule="exact"/>
                    <w:rPr>
                      <w:rFonts w:hint="default" w:ascii="Times New Roman" w:hAnsi="Times New Roman" w:eastAsia="宋体" w:cs="Times New Roman"/>
                      <w:color w:val="auto"/>
                      <w:sz w:val="18"/>
                      <w:szCs w:val="18"/>
                      <w:highlight w:val="none"/>
                    </w:rPr>
                  </w:pPr>
                </w:p>
              </w:tc>
            </w:tr>
            <w:tr w14:paraId="11A4C2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742" w:type="dxa"/>
                  <w:vMerge w:val="continue"/>
                  <w:tcBorders>
                    <w:tl2br w:val="nil"/>
                    <w:tr2bl w:val="nil"/>
                  </w:tcBorders>
                  <w:shd w:val="clear" w:color="auto" w:fill="auto"/>
                  <w:noWrap w:val="0"/>
                  <w:vAlign w:val="center"/>
                </w:tcPr>
                <w:p w14:paraId="07ECC470">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6D54D2FD">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default" w:ascii="Times New Roman" w:hAnsi="Times New Roman" w:eastAsia="宋体" w:cs="Times New Roman"/>
                      <w:snapToGrid w:val="0"/>
                      <w:color w:val="auto"/>
                      <w:kern w:val="2"/>
                      <w:sz w:val="18"/>
                      <w:szCs w:val="18"/>
                      <w:highlight w:val="none"/>
                      <w:vertAlign w:val="baseline"/>
                      <w:lang w:val="en-US" w:eastAsia="zh-CN" w:bidi="ar-SA"/>
                    </w:rPr>
                    <w:t>废多介质及活性炭过滤器</w:t>
                  </w:r>
                </w:p>
              </w:tc>
              <w:tc>
                <w:tcPr>
                  <w:tcW w:w="1901" w:type="dxa"/>
                  <w:vMerge w:val="continue"/>
                  <w:tcBorders>
                    <w:tl2br w:val="nil"/>
                    <w:tr2bl w:val="nil"/>
                  </w:tcBorders>
                  <w:shd w:val="clear" w:color="auto" w:fill="auto"/>
                  <w:noWrap w:val="0"/>
                  <w:vAlign w:val="center"/>
                </w:tcPr>
                <w:p w14:paraId="41CB07BA">
                  <w:pPr>
                    <w:pStyle w:val="230"/>
                    <w:spacing w:before="0" w:beforeLines="0" w:line="280" w:lineRule="exact"/>
                    <w:rPr>
                      <w:rFonts w:hint="default" w:ascii="Times New Roman" w:hAnsi="Times New Roman" w:eastAsia="宋体" w:cs="Times New Roman"/>
                      <w:color w:val="auto"/>
                      <w:sz w:val="18"/>
                      <w:szCs w:val="18"/>
                      <w:highlight w:val="none"/>
                    </w:rPr>
                  </w:pPr>
                </w:p>
              </w:tc>
              <w:tc>
                <w:tcPr>
                  <w:tcW w:w="2552" w:type="dxa"/>
                  <w:vMerge w:val="continue"/>
                  <w:tcBorders>
                    <w:tl2br w:val="nil"/>
                    <w:tr2bl w:val="nil"/>
                  </w:tcBorders>
                  <w:shd w:val="clear" w:color="auto" w:fill="auto"/>
                  <w:noWrap w:val="0"/>
                  <w:vAlign w:val="center"/>
                </w:tcPr>
                <w:p w14:paraId="6B381083">
                  <w:pPr>
                    <w:pStyle w:val="230"/>
                    <w:spacing w:before="0" w:beforeLines="0" w:line="280" w:lineRule="exact"/>
                    <w:rPr>
                      <w:rFonts w:hint="default" w:ascii="Times New Roman" w:hAnsi="Times New Roman" w:eastAsia="宋体" w:cs="Times New Roman"/>
                      <w:color w:val="auto"/>
                      <w:sz w:val="18"/>
                      <w:szCs w:val="18"/>
                      <w:highlight w:val="none"/>
                    </w:rPr>
                  </w:pPr>
                </w:p>
              </w:tc>
            </w:tr>
            <w:tr w14:paraId="1DA764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PrEx>
              <w:trPr>
                <w:jc w:val="center"/>
              </w:trPr>
              <w:tc>
                <w:tcPr>
                  <w:tcW w:w="742" w:type="dxa"/>
                  <w:vMerge w:val="continue"/>
                  <w:tcBorders>
                    <w:tl2br w:val="nil"/>
                    <w:tr2bl w:val="nil"/>
                  </w:tcBorders>
                  <w:shd w:val="clear" w:color="auto" w:fill="auto"/>
                  <w:noWrap w:val="0"/>
                  <w:vAlign w:val="center"/>
                </w:tcPr>
                <w:p w14:paraId="06E26C0F">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02705B3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default" w:ascii="Times New Roman" w:hAnsi="Times New Roman" w:eastAsia="宋体" w:cs="Times New Roman"/>
                      <w:snapToGrid w:val="0"/>
                      <w:color w:val="auto"/>
                      <w:kern w:val="2"/>
                      <w:sz w:val="18"/>
                      <w:szCs w:val="18"/>
                      <w:highlight w:val="none"/>
                      <w:vertAlign w:val="baseline"/>
                      <w:lang w:val="en-US" w:eastAsia="zh-CN" w:bidi="ar-SA"/>
                    </w:rPr>
                    <w:t>废分子筛</w:t>
                  </w:r>
                </w:p>
              </w:tc>
              <w:tc>
                <w:tcPr>
                  <w:tcW w:w="1901" w:type="dxa"/>
                  <w:tcBorders>
                    <w:tl2br w:val="nil"/>
                    <w:tr2bl w:val="nil"/>
                  </w:tcBorders>
                  <w:shd w:val="clear" w:color="auto" w:fill="auto"/>
                  <w:noWrap w:val="0"/>
                  <w:vAlign w:val="center"/>
                </w:tcPr>
                <w:p w14:paraId="38EB346E">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委托第三方处置</w:t>
                  </w:r>
                </w:p>
              </w:tc>
              <w:tc>
                <w:tcPr>
                  <w:tcW w:w="2552" w:type="dxa"/>
                  <w:vMerge w:val="continue"/>
                  <w:tcBorders>
                    <w:tl2br w:val="nil"/>
                    <w:tr2bl w:val="nil"/>
                  </w:tcBorders>
                  <w:shd w:val="clear" w:color="auto" w:fill="auto"/>
                  <w:noWrap w:val="0"/>
                  <w:vAlign w:val="center"/>
                </w:tcPr>
                <w:p w14:paraId="3921D073">
                  <w:pPr>
                    <w:pStyle w:val="230"/>
                    <w:spacing w:before="0" w:beforeLines="0" w:line="280" w:lineRule="exact"/>
                    <w:rPr>
                      <w:rFonts w:hint="default" w:ascii="Times New Roman" w:hAnsi="Times New Roman" w:eastAsia="宋体" w:cs="Times New Roman"/>
                      <w:color w:val="auto"/>
                      <w:sz w:val="18"/>
                      <w:szCs w:val="18"/>
                      <w:highlight w:val="none"/>
                    </w:rPr>
                  </w:pPr>
                </w:p>
              </w:tc>
            </w:tr>
            <w:tr w14:paraId="23F861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742" w:type="dxa"/>
                  <w:vMerge w:val="continue"/>
                  <w:tcBorders>
                    <w:tl2br w:val="nil"/>
                    <w:tr2bl w:val="nil"/>
                  </w:tcBorders>
                  <w:shd w:val="clear" w:color="auto" w:fill="auto"/>
                  <w:noWrap w:val="0"/>
                  <w:vAlign w:val="center"/>
                </w:tcPr>
                <w:p w14:paraId="663B8A00">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52CB0293">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酸洗废液</w:t>
                  </w:r>
                </w:p>
              </w:tc>
              <w:tc>
                <w:tcPr>
                  <w:tcW w:w="1901" w:type="dxa"/>
                  <w:tcBorders>
                    <w:tl2br w:val="nil"/>
                    <w:tr2bl w:val="nil"/>
                  </w:tcBorders>
                  <w:shd w:val="clear" w:color="auto" w:fill="auto"/>
                  <w:noWrap w:val="0"/>
                  <w:vAlign w:val="center"/>
                </w:tcPr>
                <w:p w14:paraId="5A775252">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废酸再生</w:t>
                  </w:r>
                </w:p>
              </w:tc>
              <w:tc>
                <w:tcPr>
                  <w:tcW w:w="2552" w:type="dxa"/>
                  <w:vMerge w:val="continue"/>
                  <w:tcBorders>
                    <w:tl2br w:val="nil"/>
                    <w:tr2bl w:val="nil"/>
                  </w:tcBorders>
                  <w:shd w:val="clear" w:color="auto" w:fill="auto"/>
                  <w:noWrap w:val="0"/>
                  <w:vAlign w:val="center"/>
                </w:tcPr>
                <w:p w14:paraId="29262C4E">
                  <w:pPr>
                    <w:pStyle w:val="230"/>
                    <w:spacing w:before="0" w:beforeLines="0" w:line="280" w:lineRule="exact"/>
                    <w:rPr>
                      <w:rFonts w:hint="default" w:ascii="Times New Roman" w:hAnsi="Times New Roman" w:eastAsia="宋体" w:cs="Times New Roman"/>
                      <w:color w:val="auto"/>
                      <w:sz w:val="18"/>
                      <w:szCs w:val="18"/>
                      <w:highlight w:val="none"/>
                    </w:rPr>
                  </w:pPr>
                </w:p>
              </w:tc>
            </w:tr>
            <w:tr w14:paraId="04A127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PrEx>
              <w:trPr>
                <w:jc w:val="center"/>
              </w:trPr>
              <w:tc>
                <w:tcPr>
                  <w:tcW w:w="742" w:type="dxa"/>
                  <w:vMerge w:val="continue"/>
                  <w:tcBorders>
                    <w:tl2br w:val="nil"/>
                    <w:tr2bl w:val="nil"/>
                  </w:tcBorders>
                  <w:shd w:val="clear" w:color="auto" w:fill="auto"/>
                  <w:noWrap w:val="0"/>
                  <w:vAlign w:val="center"/>
                </w:tcPr>
                <w:p w14:paraId="617452FA">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0D8E1DA9">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滤渣</w:t>
                  </w:r>
                </w:p>
              </w:tc>
              <w:tc>
                <w:tcPr>
                  <w:tcW w:w="1901" w:type="dxa"/>
                  <w:vMerge w:val="restart"/>
                  <w:tcBorders>
                    <w:tl2br w:val="nil"/>
                    <w:tr2bl w:val="nil"/>
                  </w:tcBorders>
                  <w:shd w:val="clear" w:color="auto" w:fill="auto"/>
                  <w:noWrap w:val="0"/>
                  <w:vAlign w:val="center"/>
                </w:tcPr>
                <w:p w14:paraId="6B023752">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委托有资质单位处置</w:t>
                  </w:r>
                </w:p>
              </w:tc>
              <w:tc>
                <w:tcPr>
                  <w:tcW w:w="2552" w:type="dxa"/>
                  <w:vMerge w:val="continue"/>
                  <w:tcBorders>
                    <w:tl2br w:val="nil"/>
                    <w:tr2bl w:val="nil"/>
                  </w:tcBorders>
                  <w:shd w:val="clear" w:color="auto" w:fill="auto"/>
                  <w:noWrap w:val="0"/>
                  <w:vAlign w:val="center"/>
                </w:tcPr>
                <w:p w14:paraId="7BEB9645">
                  <w:pPr>
                    <w:pStyle w:val="230"/>
                    <w:spacing w:before="0" w:beforeLines="0" w:line="280" w:lineRule="exact"/>
                    <w:rPr>
                      <w:rFonts w:hint="default" w:ascii="Times New Roman" w:hAnsi="Times New Roman" w:eastAsia="宋体" w:cs="Times New Roman"/>
                      <w:color w:val="auto"/>
                      <w:sz w:val="18"/>
                      <w:szCs w:val="18"/>
                      <w:highlight w:val="none"/>
                    </w:rPr>
                  </w:pPr>
                </w:p>
              </w:tc>
            </w:tr>
            <w:tr w14:paraId="347ACA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PrEx>
              <w:trPr>
                <w:jc w:val="center"/>
              </w:trPr>
              <w:tc>
                <w:tcPr>
                  <w:tcW w:w="742" w:type="dxa"/>
                  <w:vMerge w:val="continue"/>
                  <w:tcBorders>
                    <w:tl2br w:val="nil"/>
                    <w:tr2bl w:val="nil"/>
                  </w:tcBorders>
                  <w:shd w:val="clear" w:color="auto" w:fill="auto"/>
                  <w:noWrap w:val="0"/>
                  <w:vAlign w:val="center"/>
                </w:tcPr>
                <w:p w14:paraId="3A9636C5">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4E8109D4">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default" w:ascii="Times New Roman" w:hAnsi="Times New Roman" w:eastAsia="宋体" w:cs="Times New Roman"/>
                      <w:snapToGrid w:val="0"/>
                      <w:color w:val="auto"/>
                      <w:kern w:val="2"/>
                      <w:sz w:val="18"/>
                      <w:szCs w:val="18"/>
                      <w:highlight w:val="none"/>
                      <w:vertAlign w:val="baseline"/>
                      <w:lang w:val="en-US" w:eastAsia="zh-CN" w:bidi="ar-SA"/>
                    </w:rPr>
                    <w:t>废油</w:t>
                  </w:r>
                </w:p>
              </w:tc>
              <w:tc>
                <w:tcPr>
                  <w:tcW w:w="1901" w:type="dxa"/>
                  <w:vMerge w:val="continue"/>
                  <w:tcBorders>
                    <w:tl2br w:val="nil"/>
                    <w:tr2bl w:val="nil"/>
                  </w:tcBorders>
                  <w:shd w:val="clear" w:color="auto" w:fill="auto"/>
                  <w:noWrap w:val="0"/>
                  <w:vAlign w:val="center"/>
                </w:tcPr>
                <w:p w14:paraId="1F66345F">
                  <w:pPr>
                    <w:pStyle w:val="230"/>
                    <w:spacing w:before="0" w:beforeLines="0" w:line="280" w:lineRule="exact"/>
                    <w:rPr>
                      <w:rFonts w:hint="default" w:ascii="Times New Roman" w:hAnsi="Times New Roman" w:eastAsia="宋体" w:cs="Times New Roman"/>
                      <w:color w:val="auto"/>
                      <w:sz w:val="18"/>
                      <w:szCs w:val="18"/>
                      <w:highlight w:val="none"/>
                    </w:rPr>
                  </w:pPr>
                </w:p>
              </w:tc>
              <w:tc>
                <w:tcPr>
                  <w:tcW w:w="2552" w:type="dxa"/>
                  <w:vMerge w:val="continue"/>
                  <w:tcBorders>
                    <w:tl2br w:val="nil"/>
                    <w:tr2bl w:val="nil"/>
                  </w:tcBorders>
                  <w:shd w:val="clear" w:color="auto" w:fill="auto"/>
                  <w:noWrap w:val="0"/>
                  <w:vAlign w:val="center"/>
                </w:tcPr>
                <w:p w14:paraId="2F384415">
                  <w:pPr>
                    <w:pStyle w:val="230"/>
                    <w:spacing w:before="0" w:beforeLines="0" w:line="280" w:lineRule="exact"/>
                    <w:rPr>
                      <w:rFonts w:hint="default" w:ascii="Times New Roman" w:hAnsi="Times New Roman" w:eastAsia="宋体" w:cs="Times New Roman"/>
                      <w:color w:val="auto"/>
                      <w:sz w:val="18"/>
                      <w:szCs w:val="18"/>
                      <w:highlight w:val="none"/>
                    </w:rPr>
                  </w:pPr>
                </w:p>
              </w:tc>
            </w:tr>
            <w:tr w14:paraId="62684F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742" w:type="dxa"/>
                  <w:vMerge w:val="continue"/>
                  <w:tcBorders>
                    <w:tl2br w:val="nil"/>
                    <w:tr2bl w:val="nil"/>
                  </w:tcBorders>
                  <w:shd w:val="clear" w:color="auto" w:fill="auto"/>
                  <w:noWrap w:val="0"/>
                  <w:vAlign w:val="center"/>
                </w:tcPr>
                <w:p w14:paraId="2A8567F6">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7C01A626">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default" w:ascii="Times New Roman" w:hAnsi="Times New Roman" w:eastAsia="宋体" w:cs="Times New Roman"/>
                      <w:snapToGrid w:val="0"/>
                      <w:color w:val="auto"/>
                      <w:kern w:val="2"/>
                      <w:sz w:val="18"/>
                      <w:szCs w:val="18"/>
                      <w:highlight w:val="none"/>
                      <w:vertAlign w:val="baseline"/>
                      <w:lang w:val="en-US" w:eastAsia="zh-CN" w:bidi="ar-SA"/>
                    </w:rPr>
                    <w:t>废滤网</w:t>
                  </w:r>
                </w:p>
              </w:tc>
              <w:tc>
                <w:tcPr>
                  <w:tcW w:w="1901" w:type="dxa"/>
                  <w:vMerge w:val="continue"/>
                  <w:tcBorders>
                    <w:tl2br w:val="nil"/>
                    <w:tr2bl w:val="nil"/>
                  </w:tcBorders>
                  <w:shd w:val="clear" w:color="auto" w:fill="auto"/>
                  <w:noWrap w:val="0"/>
                  <w:vAlign w:val="center"/>
                </w:tcPr>
                <w:p w14:paraId="3791D4A4">
                  <w:pPr>
                    <w:pStyle w:val="230"/>
                    <w:spacing w:before="0" w:beforeLines="0" w:line="280" w:lineRule="exact"/>
                    <w:rPr>
                      <w:rFonts w:hint="default" w:ascii="Times New Roman" w:hAnsi="Times New Roman" w:eastAsia="宋体" w:cs="Times New Roman"/>
                      <w:color w:val="auto"/>
                      <w:sz w:val="18"/>
                      <w:szCs w:val="18"/>
                      <w:highlight w:val="none"/>
                    </w:rPr>
                  </w:pPr>
                </w:p>
              </w:tc>
              <w:tc>
                <w:tcPr>
                  <w:tcW w:w="2552" w:type="dxa"/>
                  <w:vMerge w:val="continue"/>
                  <w:tcBorders>
                    <w:tl2br w:val="nil"/>
                    <w:tr2bl w:val="nil"/>
                  </w:tcBorders>
                  <w:shd w:val="clear" w:color="auto" w:fill="auto"/>
                  <w:noWrap w:val="0"/>
                  <w:vAlign w:val="center"/>
                </w:tcPr>
                <w:p w14:paraId="38A0C525">
                  <w:pPr>
                    <w:pStyle w:val="230"/>
                    <w:spacing w:before="0" w:beforeLines="0" w:line="280" w:lineRule="exact"/>
                    <w:rPr>
                      <w:rFonts w:hint="default" w:ascii="Times New Roman" w:hAnsi="Times New Roman" w:eastAsia="宋体" w:cs="Times New Roman"/>
                      <w:color w:val="auto"/>
                      <w:sz w:val="18"/>
                      <w:szCs w:val="18"/>
                      <w:highlight w:val="none"/>
                    </w:rPr>
                  </w:pPr>
                </w:p>
              </w:tc>
            </w:tr>
            <w:tr w14:paraId="03034A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742" w:type="dxa"/>
                  <w:vMerge w:val="continue"/>
                  <w:tcBorders>
                    <w:tl2br w:val="nil"/>
                    <w:tr2bl w:val="nil"/>
                  </w:tcBorders>
                  <w:shd w:val="clear" w:color="auto" w:fill="auto"/>
                  <w:noWrap w:val="0"/>
                  <w:vAlign w:val="center"/>
                </w:tcPr>
                <w:p w14:paraId="2BB4A6CC">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75F9FA18">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default" w:ascii="Times New Roman" w:hAnsi="Times New Roman" w:eastAsia="宋体" w:cs="Times New Roman"/>
                      <w:snapToGrid w:val="0"/>
                      <w:color w:val="auto"/>
                      <w:kern w:val="2"/>
                      <w:sz w:val="18"/>
                      <w:szCs w:val="18"/>
                      <w:highlight w:val="none"/>
                      <w:vertAlign w:val="baseline"/>
                      <w:lang w:val="en-US" w:eastAsia="zh-CN" w:bidi="ar-SA"/>
                    </w:rPr>
                    <w:t>碱洗槽滤渣及槽渣</w:t>
                  </w:r>
                </w:p>
              </w:tc>
              <w:tc>
                <w:tcPr>
                  <w:tcW w:w="1901" w:type="dxa"/>
                  <w:vMerge w:val="continue"/>
                  <w:tcBorders>
                    <w:tl2br w:val="nil"/>
                    <w:tr2bl w:val="nil"/>
                  </w:tcBorders>
                  <w:shd w:val="clear" w:color="auto" w:fill="auto"/>
                  <w:noWrap w:val="0"/>
                  <w:vAlign w:val="center"/>
                </w:tcPr>
                <w:p w14:paraId="0970C488">
                  <w:pPr>
                    <w:pStyle w:val="230"/>
                    <w:spacing w:before="0" w:beforeLines="0" w:line="280" w:lineRule="exact"/>
                    <w:rPr>
                      <w:rFonts w:hint="default" w:ascii="Times New Roman" w:hAnsi="Times New Roman" w:eastAsia="宋体" w:cs="Times New Roman"/>
                      <w:color w:val="auto"/>
                      <w:sz w:val="18"/>
                      <w:szCs w:val="18"/>
                      <w:highlight w:val="none"/>
                    </w:rPr>
                  </w:pPr>
                </w:p>
              </w:tc>
              <w:tc>
                <w:tcPr>
                  <w:tcW w:w="2552" w:type="dxa"/>
                  <w:vMerge w:val="continue"/>
                  <w:tcBorders>
                    <w:tl2br w:val="nil"/>
                    <w:tr2bl w:val="nil"/>
                  </w:tcBorders>
                  <w:shd w:val="clear" w:color="auto" w:fill="auto"/>
                  <w:noWrap w:val="0"/>
                  <w:vAlign w:val="center"/>
                </w:tcPr>
                <w:p w14:paraId="01897E27">
                  <w:pPr>
                    <w:pStyle w:val="230"/>
                    <w:spacing w:before="0" w:beforeLines="0" w:line="280" w:lineRule="exact"/>
                    <w:rPr>
                      <w:rFonts w:hint="default" w:ascii="Times New Roman" w:hAnsi="Times New Roman" w:eastAsia="宋体" w:cs="Times New Roman"/>
                      <w:color w:val="auto"/>
                      <w:sz w:val="18"/>
                      <w:szCs w:val="18"/>
                      <w:highlight w:val="none"/>
                    </w:rPr>
                  </w:pPr>
                </w:p>
              </w:tc>
            </w:tr>
            <w:tr w14:paraId="034968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742" w:type="dxa"/>
                  <w:vMerge w:val="continue"/>
                  <w:tcBorders>
                    <w:tl2br w:val="nil"/>
                    <w:tr2bl w:val="nil"/>
                  </w:tcBorders>
                  <w:shd w:val="clear" w:color="auto" w:fill="auto"/>
                  <w:noWrap w:val="0"/>
                  <w:vAlign w:val="center"/>
                </w:tcPr>
                <w:p w14:paraId="5ABFE356">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1245E964">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default" w:ascii="Times New Roman" w:hAnsi="Times New Roman" w:eastAsia="宋体" w:cs="Times New Roman"/>
                      <w:snapToGrid w:val="0"/>
                      <w:color w:val="auto"/>
                      <w:kern w:val="2"/>
                      <w:sz w:val="18"/>
                      <w:szCs w:val="18"/>
                      <w:highlight w:val="none"/>
                      <w:vertAlign w:val="baseline"/>
                      <w:lang w:val="en-US" w:eastAsia="zh-CN" w:bidi="ar-SA"/>
                    </w:rPr>
                    <w:t>酸洗槽滤渣及槽渣</w:t>
                  </w:r>
                </w:p>
              </w:tc>
              <w:tc>
                <w:tcPr>
                  <w:tcW w:w="1901" w:type="dxa"/>
                  <w:vMerge w:val="continue"/>
                  <w:tcBorders>
                    <w:tl2br w:val="nil"/>
                    <w:tr2bl w:val="nil"/>
                  </w:tcBorders>
                  <w:shd w:val="clear" w:color="auto" w:fill="auto"/>
                  <w:noWrap w:val="0"/>
                  <w:vAlign w:val="center"/>
                </w:tcPr>
                <w:p w14:paraId="7A6EE5A6">
                  <w:pPr>
                    <w:pStyle w:val="230"/>
                    <w:spacing w:before="0" w:beforeLines="0" w:line="280" w:lineRule="exact"/>
                    <w:rPr>
                      <w:rFonts w:hint="default" w:ascii="Times New Roman" w:hAnsi="Times New Roman" w:eastAsia="宋体" w:cs="Times New Roman"/>
                      <w:color w:val="auto"/>
                      <w:sz w:val="18"/>
                      <w:szCs w:val="18"/>
                      <w:highlight w:val="none"/>
                    </w:rPr>
                  </w:pPr>
                </w:p>
              </w:tc>
              <w:tc>
                <w:tcPr>
                  <w:tcW w:w="2552" w:type="dxa"/>
                  <w:vMerge w:val="continue"/>
                  <w:tcBorders>
                    <w:tl2br w:val="nil"/>
                    <w:tr2bl w:val="nil"/>
                  </w:tcBorders>
                  <w:shd w:val="clear" w:color="auto" w:fill="auto"/>
                  <w:noWrap w:val="0"/>
                  <w:vAlign w:val="center"/>
                </w:tcPr>
                <w:p w14:paraId="0188DC06">
                  <w:pPr>
                    <w:pStyle w:val="230"/>
                    <w:spacing w:before="0" w:beforeLines="0" w:line="280" w:lineRule="exact"/>
                    <w:rPr>
                      <w:rFonts w:hint="default" w:ascii="Times New Roman" w:hAnsi="Times New Roman" w:eastAsia="宋体" w:cs="Times New Roman"/>
                      <w:color w:val="auto"/>
                      <w:sz w:val="18"/>
                      <w:szCs w:val="18"/>
                      <w:highlight w:val="none"/>
                    </w:rPr>
                  </w:pPr>
                </w:p>
              </w:tc>
            </w:tr>
            <w:tr w14:paraId="7AF64F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742" w:type="dxa"/>
                  <w:vMerge w:val="continue"/>
                  <w:tcBorders>
                    <w:tl2br w:val="nil"/>
                    <w:tr2bl w:val="nil"/>
                  </w:tcBorders>
                  <w:shd w:val="clear" w:color="auto" w:fill="auto"/>
                  <w:noWrap w:val="0"/>
                  <w:vAlign w:val="center"/>
                </w:tcPr>
                <w:p w14:paraId="0154C3B0">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00329807">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default" w:ascii="Times New Roman" w:hAnsi="Times New Roman" w:eastAsia="宋体" w:cs="Times New Roman"/>
                      <w:snapToGrid w:val="0"/>
                      <w:color w:val="auto"/>
                      <w:kern w:val="2"/>
                      <w:sz w:val="18"/>
                      <w:szCs w:val="18"/>
                      <w:highlight w:val="none"/>
                      <w:vertAlign w:val="baseline"/>
                      <w:lang w:val="en-US" w:eastAsia="zh-CN" w:bidi="ar-SA"/>
                    </w:rPr>
                    <w:t>浮油及污泥</w:t>
                  </w:r>
                </w:p>
              </w:tc>
              <w:tc>
                <w:tcPr>
                  <w:tcW w:w="1901" w:type="dxa"/>
                  <w:vMerge w:val="continue"/>
                  <w:tcBorders>
                    <w:tl2br w:val="nil"/>
                    <w:tr2bl w:val="nil"/>
                  </w:tcBorders>
                  <w:shd w:val="clear" w:color="auto" w:fill="auto"/>
                  <w:noWrap w:val="0"/>
                  <w:vAlign w:val="center"/>
                </w:tcPr>
                <w:p w14:paraId="536D1EA5">
                  <w:pPr>
                    <w:pStyle w:val="230"/>
                    <w:spacing w:before="0" w:beforeLines="0" w:line="280" w:lineRule="exact"/>
                    <w:rPr>
                      <w:rFonts w:hint="default" w:ascii="Times New Roman" w:hAnsi="Times New Roman" w:eastAsia="宋体" w:cs="Times New Roman"/>
                      <w:color w:val="auto"/>
                      <w:sz w:val="18"/>
                      <w:szCs w:val="18"/>
                      <w:highlight w:val="none"/>
                    </w:rPr>
                  </w:pPr>
                </w:p>
              </w:tc>
              <w:tc>
                <w:tcPr>
                  <w:tcW w:w="2552" w:type="dxa"/>
                  <w:vMerge w:val="continue"/>
                  <w:tcBorders>
                    <w:tl2br w:val="nil"/>
                    <w:tr2bl w:val="nil"/>
                  </w:tcBorders>
                  <w:shd w:val="clear" w:color="auto" w:fill="auto"/>
                  <w:noWrap w:val="0"/>
                  <w:vAlign w:val="center"/>
                </w:tcPr>
                <w:p w14:paraId="28BAAF44">
                  <w:pPr>
                    <w:pStyle w:val="230"/>
                    <w:spacing w:before="0" w:beforeLines="0" w:line="280" w:lineRule="exact"/>
                    <w:rPr>
                      <w:rFonts w:hint="default" w:ascii="Times New Roman" w:hAnsi="Times New Roman" w:eastAsia="宋体" w:cs="Times New Roman"/>
                      <w:color w:val="auto"/>
                      <w:sz w:val="18"/>
                      <w:szCs w:val="18"/>
                      <w:highlight w:val="none"/>
                    </w:rPr>
                  </w:pPr>
                </w:p>
              </w:tc>
            </w:tr>
            <w:tr w14:paraId="5C9D39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742" w:type="dxa"/>
                  <w:vMerge w:val="continue"/>
                  <w:tcBorders>
                    <w:tl2br w:val="nil"/>
                    <w:tr2bl w:val="nil"/>
                  </w:tcBorders>
                  <w:shd w:val="clear" w:color="auto" w:fill="auto"/>
                  <w:noWrap w:val="0"/>
                  <w:vAlign w:val="center"/>
                </w:tcPr>
                <w:p w14:paraId="7F1D4B75">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313EB878">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default" w:ascii="Times New Roman" w:hAnsi="Times New Roman" w:eastAsia="宋体" w:cs="Times New Roman"/>
                      <w:snapToGrid w:val="0"/>
                      <w:color w:val="auto"/>
                      <w:kern w:val="2"/>
                      <w:sz w:val="18"/>
                      <w:szCs w:val="18"/>
                      <w:highlight w:val="none"/>
                      <w:vertAlign w:val="baseline"/>
                      <w:lang w:val="en-US" w:eastAsia="zh-CN" w:bidi="ar-SA"/>
                    </w:rPr>
                    <w:t>污泥</w:t>
                  </w:r>
                </w:p>
              </w:tc>
              <w:tc>
                <w:tcPr>
                  <w:tcW w:w="1901" w:type="dxa"/>
                  <w:vMerge w:val="continue"/>
                  <w:tcBorders>
                    <w:tl2br w:val="nil"/>
                    <w:tr2bl w:val="nil"/>
                  </w:tcBorders>
                  <w:shd w:val="clear" w:color="auto" w:fill="auto"/>
                  <w:noWrap w:val="0"/>
                  <w:vAlign w:val="center"/>
                </w:tcPr>
                <w:p w14:paraId="39D20E63">
                  <w:pPr>
                    <w:pStyle w:val="230"/>
                    <w:spacing w:before="0" w:beforeLines="0" w:line="280" w:lineRule="exact"/>
                    <w:rPr>
                      <w:rFonts w:hint="default" w:ascii="Times New Roman" w:hAnsi="Times New Roman" w:eastAsia="宋体" w:cs="Times New Roman"/>
                      <w:color w:val="auto"/>
                      <w:sz w:val="18"/>
                      <w:szCs w:val="18"/>
                      <w:highlight w:val="none"/>
                    </w:rPr>
                  </w:pPr>
                </w:p>
              </w:tc>
              <w:tc>
                <w:tcPr>
                  <w:tcW w:w="2552" w:type="dxa"/>
                  <w:vMerge w:val="continue"/>
                  <w:tcBorders>
                    <w:tl2br w:val="nil"/>
                    <w:tr2bl w:val="nil"/>
                  </w:tcBorders>
                  <w:shd w:val="clear" w:color="auto" w:fill="auto"/>
                  <w:noWrap w:val="0"/>
                  <w:vAlign w:val="center"/>
                </w:tcPr>
                <w:p w14:paraId="18503657">
                  <w:pPr>
                    <w:pStyle w:val="230"/>
                    <w:spacing w:before="0" w:beforeLines="0" w:line="280" w:lineRule="exact"/>
                    <w:rPr>
                      <w:rFonts w:hint="default" w:ascii="Times New Roman" w:hAnsi="Times New Roman" w:eastAsia="宋体" w:cs="Times New Roman"/>
                      <w:color w:val="auto"/>
                      <w:sz w:val="18"/>
                      <w:szCs w:val="18"/>
                      <w:highlight w:val="none"/>
                    </w:rPr>
                  </w:pPr>
                </w:p>
              </w:tc>
            </w:tr>
            <w:tr w14:paraId="47F42E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PrEx>
              <w:trPr>
                <w:jc w:val="center"/>
              </w:trPr>
              <w:tc>
                <w:tcPr>
                  <w:tcW w:w="742" w:type="dxa"/>
                  <w:vMerge w:val="continue"/>
                  <w:tcBorders>
                    <w:tl2br w:val="nil"/>
                    <w:tr2bl w:val="nil"/>
                  </w:tcBorders>
                  <w:shd w:val="clear" w:color="auto" w:fill="auto"/>
                  <w:noWrap w:val="0"/>
                  <w:vAlign w:val="center"/>
                </w:tcPr>
                <w:p w14:paraId="2376CDCD">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3320A906">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default" w:ascii="Times New Roman" w:hAnsi="Times New Roman" w:eastAsia="宋体" w:cs="Times New Roman"/>
                      <w:snapToGrid w:val="0"/>
                      <w:color w:val="auto"/>
                      <w:kern w:val="2"/>
                      <w:sz w:val="18"/>
                      <w:szCs w:val="18"/>
                      <w:highlight w:val="none"/>
                      <w:vertAlign w:val="baseline"/>
                      <w:lang w:val="en-US" w:eastAsia="zh-CN" w:bidi="ar-SA"/>
                    </w:rPr>
                    <w:t>废液压油</w:t>
                  </w:r>
                </w:p>
              </w:tc>
              <w:tc>
                <w:tcPr>
                  <w:tcW w:w="1901" w:type="dxa"/>
                  <w:vMerge w:val="continue"/>
                  <w:tcBorders>
                    <w:tl2br w:val="nil"/>
                    <w:tr2bl w:val="nil"/>
                  </w:tcBorders>
                  <w:shd w:val="clear" w:color="auto" w:fill="auto"/>
                  <w:noWrap w:val="0"/>
                  <w:vAlign w:val="center"/>
                </w:tcPr>
                <w:p w14:paraId="33EB3746">
                  <w:pPr>
                    <w:pStyle w:val="230"/>
                    <w:spacing w:before="0" w:beforeLines="0" w:line="280" w:lineRule="exact"/>
                    <w:rPr>
                      <w:rFonts w:hint="default" w:ascii="Times New Roman" w:hAnsi="Times New Roman" w:eastAsia="宋体" w:cs="Times New Roman"/>
                      <w:color w:val="auto"/>
                      <w:sz w:val="18"/>
                      <w:szCs w:val="18"/>
                      <w:highlight w:val="none"/>
                    </w:rPr>
                  </w:pPr>
                </w:p>
              </w:tc>
              <w:tc>
                <w:tcPr>
                  <w:tcW w:w="2552" w:type="dxa"/>
                  <w:vMerge w:val="continue"/>
                  <w:tcBorders>
                    <w:tl2br w:val="nil"/>
                    <w:tr2bl w:val="nil"/>
                  </w:tcBorders>
                  <w:shd w:val="clear" w:color="auto" w:fill="auto"/>
                  <w:noWrap w:val="0"/>
                  <w:vAlign w:val="center"/>
                </w:tcPr>
                <w:p w14:paraId="4B582CF0">
                  <w:pPr>
                    <w:pStyle w:val="230"/>
                    <w:spacing w:before="0" w:beforeLines="0" w:line="280" w:lineRule="exact"/>
                    <w:rPr>
                      <w:rFonts w:hint="default" w:ascii="Times New Roman" w:hAnsi="Times New Roman" w:eastAsia="宋体" w:cs="Times New Roman"/>
                      <w:color w:val="auto"/>
                      <w:sz w:val="18"/>
                      <w:szCs w:val="18"/>
                      <w:highlight w:val="none"/>
                    </w:rPr>
                  </w:pPr>
                </w:p>
              </w:tc>
            </w:tr>
            <w:tr w14:paraId="3C79BC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742" w:type="dxa"/>
                  <w:vMerge w:val="continue"/>
                  <w:tcBorders>
                    <w:tl2br w:val="nil"/>
                    <w:tr2bl w:val="nil"/>
                  </w:tcBorders>
                  <w:shd w:val="clear" w:color="auto" w:fill="auto"/>
                  <w:noWrap w:val="0"/>
                  <w:vAlign w:val="center"/>
                </w:tcPr>
                <w:p w14:paraId="30C42C78">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1A3664CC">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default" w:ascii="Times New Roman" w:hAnsi="Times New Roman" w:eastAsia="宋体" w:cs="Times New Roman"/>
                      <w:snapToGrid w:val="0"/>
                      <w:color w:val="auto"/>
                      <w:kern w:val="2"/>
                      <w:sz w:val="18"/>
                      <w:szCs w:val="18"/>
                      <w:highlight w:val="none"/>
                      <w:vertAlign w:val="baseline"/>
                      <w:lang w:val="en-US" w:eastAsia="zh-CN" w:bidi="ar-SA"/>
                    </w:rPr>
                    <w:t>废齿轮油</w:t>
                  </w:r>
                </w:p>
              </w:tc>
              <w:tc>
                <w:tcPr>
                  <w:tcW w:w="1901" w:type="dxa"/>
                  <w:vMerge w:val="continue"/>
                  <w:tcBorders>
                    <w:tl2br w:val="nil"/>
                    <w:tr2bl w:val="nil"/>
                  </w:tcBorders>
                  <w:shd w:val="clear" w:color="auto" w:fill="auto"/>
                  <w:noWrap w:val="0"/>
                  <w:vAlign w:val="center"/>
                </w:tcPr>
                <w:p w14:paraId="1698EA01">
                  <w:pPr>
                    <w:pStyle w:val="230"/>
                    <w:spacing w:before="0" w:beforeLines="0" w:line="280" w:lineRule="exact"/>
                    <w:rPr>
                      <w:rFonts w:hint="default" w:ascii="Times New Roman" w:hAnsi="Times New Roman" w:eastAsia="宋体" w:cs="Times New Roman"/>
                      <w:color w:val="auto"/>
                      <w:sz w:val="18"/>
                      <w:szCs w:val="18"/>
                      <w:highlight w:val="none"/>
                    </w:rPr>
                  </w:pPr>
                </w:p>
              </w:tc>
              <w:tc>
                <w:tcPr>
                  <w:tcW w:w="2552" w:type="dxa"/>
                  <w:vMerge w:val="continue"/>
                  <w:tcBorders>
                    <w:tl2br w:val="nil"/>
                    <w:tr2bl w:val="nil"/>
                  </w:tcBorders>
                  <w:shd w:val="clear" w:color="auto" w:fill="auto"/>
                  <w:noWrap w:val="0"/>
                  <w:vAlign w:val="center"/>
                </w:tcPr>
                <w:p w14:paraId="26B5E134">
                  <w:pPr>
                    <w:pStyle w:val="230"/>
                    <w:spacing w:before="0" w:beforeLines="0" w:line="280" w:lineRule="exact"/>
                    <w:rPr>
                      <w:rFonts w:hint="default" w:ascii="Times New Roman" w:hAnsi="Times New Roman" w:eastAsia="宋体" w:cs="Times New Roman"/>
                      <w:color w:val="auto"/>
                      <w:sz w:val="18"/>
                      <w:szCs w:val="18"/>
                      <w:highlight w:val="none"/>
                    </w:rPr>
                  </w:pPr>
                </w:p>
              </w:tc>
            </w:tr>
            <w:tr w14:paraId="71A2AF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742" w:type="dxa"/>
                  <w:vMerge w:val="continue"/>
                  <w:tcBorders>
                    <w:tl2br w:val="nil"/>
                    <w:tr2bl w:val="nil"/>
                  </w:tcBorders>
                  <w:shd w:val="clear" w:color="auto" w:fill="auto"/>
                  <w:noWrap w:val="0"/>
                  <w:vAlign w:val="center"/>
                </w:tcPr>
                <w:p w14:paraId="41938953">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0152C09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default" w:ascii="Times New Roman" w:hAnsi="Times New Roman" w:eastAsia="宋体" w:cs="Times New Roman"/>
                      <w:snapToGrid w:val="0"/>
                      <w:color w:val="auto"/>
                      <w:kern w:val="2"/>
                      <w:sz w:val="18"/>
                      <w:szCs w:val="18"/>
                      <w:highlight w:val="none"/>
                      <w:vertAlign w:val="baseline"/>
                      <w:lang w:val="en-US" w:eastAsia="zh-CN" w:bidi="ar-SA"/>
                    </w:rPr>
                    <w:t>废油桶</w:t>
                  </w:r>
                </w:p>
              </w:tc>
              <w:tc>
                <w:tcPr>
                  <w:tcW w:w="1901" w:type="dxa"/>
                  <w:vMerge w:val="continue"/>
                  <w:tcBorders>
                    <w:tl2br w:val="nil"/>
                    <w:tr2bl w:val="nil"/>
                  </w:tcBorders>
                  <w:shd w:val="clear" w:color="auto" w:fill="auto"/>
                  <w:noWrap w:val="0"/>
                  <w:vAlign w:val="center"/>
                </w:tcPr>
                <w:p w14:paraId="15451CB9">
                  <w:pPr>
                    <w:pStyle w:val="230"/>
                    <w:spacing w:before="0" w:beforeLines="0" w:line="280" w:lineRule="exact"/>
                    <w:rPr>
                      <w:rFonts w:hint="default" w:ascii="Times New Roman" w:hAnsi="Times New Roman" w:eastAsia="宋体" w:cs="Times New Roman"/>
                      <w:color w:val="auto"/>
                      <w:sz w:val="18"/>
                      <w:szCs w:val="18"/>
                      <w:highlight w:val="none"/>
                    </w:rPr>
                  </w:pPr>
                </w:p>
              </w:tc>
              <w:tc>
                <w:tcPr>
                  <w:tcW w:w="2552" w:type="dxa"/>
                  <w:vMerge w:val="continue"/>
                  <w:tcBorders>
                    <w:tl2br w:val="nil"/>
                    <w:tr2bl w:val="nil"/>
                  </w:tcBorders>
                  <w:shd w:val="clear" w:color="auto" w:fill="auto"/>
                  <w:noWrap w:val="0"/>
                  <w:vAlign w:val="center"/>
                </w:tcPr>
                <w:p w14:paraId="2710E9D4">
                  <w:pPr>
                    <w:pStyle w:val="230"/>
                    <w:spacing w:before="0" w:beforeLines="0" w:line="280" w:lineRule="exact"/>
                    <w:rPr>
                      <w:rFonts w:hint="default" w:ascii="Times New Roman" w:hAnsi="Times New Roman" w:eastAsia="宋体" w:cs="Times New Roman"/>
                      <w:color w:val="auto"/>
                      <w:sz w:val="18"/>
                      <w:szCs w:val="18"/>
                      <w:highlight w:val="none"/>
                    </w:rPr>
                  </w:pPr>
                </w:p>
              </w:tc>
            </w:tr>
            <w:tr w14:paraId="4EA5E1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PrEx>
              <w:trPr>
                <w:jc w:val="center"/>
              </w:trPr>
              <w:tc>
                <w:tcPr>
                  <w:tcW w:w="742" w:type="dxa"/>
                  <w:vMerge w:val="continue"/>
                  <w:tcBorders>
                    <w:tl2br w:val="nil"/>
                    <w:tr2bl w:val="nil"/>
                  </w:tcBorders>
                  <w:shd w:val="clear" w:color="auto" w:fill="auto"/>
                  <w:noWrap w:val="0"/>
                  <w:vAlign w:val="center"/>
                </w:tcPr>
                <w:p w14:paraId="48387D3E">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6E4A282C">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default" w:ascii="Times New Roman" w:hAnsi="Times New Roman" w:eastAsia="宋体" w:cs="Times New Roman"/>
                      <w:snapToGrid w:val="0"/>
                      <w:color w:val="auto"/>
                      <w:kern w:val="2"/>
                      <w:sz w:val="18"/>
                      <w:szCs w:val="18"/>
                      <w:highlight w:val="none"/>
                      <w:vertAlign w:val="baseline"/>
                      <w:lang w:val="en-US" w:eastAsia="zh-CN" w:bidi="ar-SA"/>
                    </w:rPr>
                    <w:t>废弃的含油抹布和劳保用品</w:t>
                  </w:r>
                </w:p>
              </w:tc>
              <w:tc>
                <w:tcPr>
                  <w:tcW w:w="1901" w:type="dxa"/>
                  <w:vMerge w:val="continue"/>
                  <w:tcBorders>
                    <w:tl2br w:val="nil"/>
                    <w:tr2bl w:val="nil"/>
                  </w:tcBorders>
                  <w:shd w:val="clear" w:color="auto" w:fill="auto"/>
                  <w:noWrap w:val="0"/>
                  <w:vAlign w:val="center"/>
                </w:tcPr>
                <w:p w14:paraId="09688487">
                  <w:pPr>
                    <w:pStyle w:val="230"/>
                    <w:spacing w:before="0" w:beforeLines="0" w:line="280" w:lineRule="exact"/>
                    <w:rPr>
                      <w:rFonts w:hint="default" w:ascii="Times New Roman" w:hAnsi="Times New Roman" w:eastAsia="宋体" w:cs="Times New Roman"/>
                      <w:color w:val="auto"/>
                      <w:sz w:val="18"/>
                      <w:szCs w:val="18"/>
                      <w:highlight w:val="none"/>
                    </w:rPr>
                  </w:pPr>
                </w:p>
              </w:tc>
              <w:tc>
                <w:tcPr>
                  <w:tcW w:w="2552" w:type="dxa"/>
                  <w:vMerge w:val="continue"/>
                  <w:tcBorders>
                    <w:tl2br w:val="nil"/>
                    <w:tr2bl w:val="nil"/>
                  </w:tcBorders>
                  <w:shd w:val="clear" w:color="auto" w:fill="auto"/>
                  <w:noWrap w:val="0"/>
                  <w:vAlign w:val="center"/>
                </w:tcPr>
                <w:p w14:paraId="1949AD88">
                  <w:pPr>
                    <w:pStyle w:val="230"/>
                    <w:spacing w:before="0" w:beforeLines="0" w:line="280" w:lineRule="exact"/>
                    <w:rPr>
                      <w:rFonts w:hint="default" w:ascii="Times New Roman" w:hAnsi="Times New Roman" w:eastAsia="宋体" w:cs="Times New Roman"/>
                      <w:color w:val="auto"/>
                      <w:sz w:val="18"/>
                      <w:szCs w:val="18"/>
                      <w:highlight w:val="none"/>
                    </w:rPr>
                  </w:pPr>
                </w:p>
              </w:tc>
            </w:tr>
            <w:tr w14:paraId="3EB7ED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42" w:type="dxa"/>
                  <w:vMerge w:val="continue"/>
                  <w:tcBorders>
                    <w:tl2br w:val="nil"/>
                    <w:tr2bl w:val="nil"/>
                  </w:tcBorders>
                  <w:shd w:val="clear" w:color="auto" w:fill="auto"/>
                  <w:noWrap w:val="0"/>
                  <w:vAlign w:val="center"/>
                </w:tcPr>
                <w:p w14:paraId="7BBA81A7">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7E0CA90D">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snapToGrid w:val="0"/>
                      <w:color w:val="auto"/>
                      <w:kern w:val="2"/>
                      <w:sz w:val="18"/>
                      <w:szCs w:val="18"/>
                      <w:highlight w:val="none"/>
                      <w:vertAlign w:val="baseline"/>
                      <w:lang w:val="en-US" w:eastAsia="zh-CN" w:bidi="ar-SA"/>
                    </w:rPr>
                  </w:pPr>
                  <w:r>
                    <w:rPr>
                      <w:rFonts w:hint="default" w:ascii="Times New Roman" w:hAnsi="Times New Roman" w:eastAsia="宋体" w:cs="Times New Roman"/>
                      <w:snapToGrid w:val="0"/>
                      <w:color w:val="auto"/>
                      <w:kern w:val="2"/>
                      <w:sz w:val="18"/>
                      <w:szCs w:val="18"/>
                      <w:highlight w:val="none"/>
                      <w:vertAlign w:val="baseline"/>
                      <w:lang w:val="en-US" w:eastAsia="zh-CN" w:bidi="ar-SA"/>
                    </w:rPr>
                    <w:t>废透平油</w:t>
                  </w:r>
                </w:p>
              </w:tc>
              <w:tc>
                <w:tcPr>
                  <w:tcW w:w="1901" w:type="dxa"/>
                  <w:vMerge w:val="continue"/>
                  <w:tcBorders>
                    <w:tl2br w:val="nil"/>
                    <w:tr2bl w:val="nil"/>
                  </w:tcBorders>
                  <w:shd w:val="clear" w:color="auto" w:fill="auto"/>
                  <w:noWrap w:val="0"/>
                  <w:vAlign w:val="center"/>
                </w:tcPr>
                <w:p w14:paraId="38D22FE8">
                  <w:pPr>
                    <w:pStyle w:val="230"/>
                    <w:spacing w:before="0" w:beforeLines="0" w:line="280" w:lineRule="exact"/>
                    <w:rPr>
                      <w:rFonts w:hint="default" w:ascii="Times New Roman" w:hAnsi="Times New Roman" w:eastAsia="宋体" w:cs="Times New Roman"/>
                      <w:color w:val="auto"/>
                      <w:sz w:val="18"/>
                      <w:szCs w:val="18"/>
                      <w:highlight w:val="none"/>
                    </w:rPr>
                  </w:pPr>
                </w:p>
              </w:tc>
              <w:tc>
                <w:tcPr>
                  <w:tcW w:w="2552" w:type="dxa"/>
                  <w:vMerge w:val="continue"/>
                  <w:tcBorders>
                    <w:tl2br w:val="nil"/>
                    <w:tr2bl w:val="nil"/>
                  </w:tcBorders>
                  <w:shd w:val="clear" w:color="auto" w:fill="auto"/>
                  <w:noWrap w:val="0"/>
                  <w:vAlign w:val="center"/>
                </w:tcPr>
                <w:p w14:paraId="29E9F10B">
                  <w:pPr>
                    <w:pStyle w:val="230"/>
                    <w:spacing w:before="0" w:beforeLines="0" w:line="280" w:lineRule="exact"/>
                    <w:rPr>
                      <w:rFonts w:hint="default" w:ascii="Times New Roman" w:hAnsi="Times New Roman" w:eastAsia="宋体" w:cs="Times New Roman"/>
                      <w:color w:val="auto"/>
                      <w:sz w:val="18"/>
                      <w:szCs w:val="18"/>
                      <w:highlight w:val="none"/>
                    </w:rPr>
                  </w:pPr>
                </w:p>
              </w:tc>
            </w:tr>
            <w:tr w14:paraId="6E6CC3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PrEx>
              <w:trPr>
                <w:jc w:val="center"/>
              </w:trPr>
              <w:tc>
                <w:tcPr>
                  <w:tcW w:w="742" w:type="dxa"/>
                  <w:vMerge w:val="continue"/>
                  <w:tcBorders>
                    <w:tl2br w:val="nil"/>
                    <w:tr2bl w:val="nil"/>
                  </w:tcBorders>
                  <w:shd w:val="clear" w:color="auto" w:fill="auto"/>
                  <w:noWrap w:val="0"/>
                  <w:vAlign w:val="center"/>
                </w:tcPr>
                <w:p w14:paraId="293E1D38">
                  <w:pPr>
                    <w:pStyle w:val="230"/>
                    <w:spacing w:before="0" w:beforeLines="0" w:line="280" w:lineRule="exact"/>
                    <w:rPr>
                      <w:rFonts w:hint="default" w:ascii="Times New Roman" w:hAnsi="Times New Roman" w:eastAsia="宋体" w:cs="Times New Roman"/>
                      <w:color w:val="auto"/>
                      <w:sz w:val="18"/>
                      <w:szCs w:val="18"/>
                      <w:highlight w:val="none"/>
                    </w:rPr>
                  </w:pPr>
                </w:p>
              </w:tc>
              <w:tc>
                <w:tcPr>
                  <w:tcW w:w="3107" w:type="dxa"/>
                  <w:gridSpan w:val="2"/>
                  <w:tcBorders>
                    <w:tl2br w:val="nil"/>
                    <w:tr2bl w:val="nil"/>
                  </w:tcBorders>
                  <w:shd w:val="clear" w:color="auto" w:fill="auto"/>
                  <w:noWrap w:val="0"/>
                  <w:vAlign w:val="center"/>
                </w:tcPr>
                <w:p w14:paraId="03B59BB5">
                  <w:pPr>
                    <w:widowControl/>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rPr>
                    <w:t>生活垃圾</w:t>
                  </w:r>
                </w:p>
              </w:tc>
              <w:tc>
                <w:tcPr>
                  <w:tcW w:w="1901" w:type="dxa"/>
                  <w:tcBorders>
                    <w:tl2br w:val="nil"/>
                    <w:tr2bl w:val="nil"/>
                  </w:tcBorders>
                  <w:shd w:val="clear" w:color="auto" w:fill="auto"/>
                  <w:noWrap w:val="0"/>
                  <w:vAlign w:val="center"/>
                </w:tcPr>
                <w:p w14:paraId="32CB8B23">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环卫部门清运</w:t>
                  </w:r>
                </w:p>
              </w:tc>
              <w:tc>
                <w:tcPr>
                  <w:tcW w:w="2552" w:type="dxa"/>
                  <w:vMerge w:val="continue"/>
                  <w:tcBorders>
                    <w:tl2br w:val="nil"/>
                    <w:tr2bl w:val="nil"/>
                  </w:tcBorders>
                  <w:shd w:val="clear" w:color="auto" w:fill="auto"/>
                  <w:noWrap w:val="0"/>
                  <w:vAlign w:val="center"/>
                </w:tcPr>
                <w:p w14:paraId="541EE047">
                  <w:pPr>
                    <w:pStyle w:val="230"/>
                    <w:spacing w:before="0" w:beforeLines="0" w:line="280" w:lineRule="exact"/>
                    <w:rPr>
                      <w:rFonts w:hint="default" w:ascii="Times New Roman" w:hAnsi="Times New Roman" w:eastAsia="宋体" w:cs="Times New Roman"/>
                      <w:color w:val="auto"/>
                      <w:sz w:val="18"/>
                      <w:szCs w:val="18"/>
                      <w:highlight w:val="none"/>
                    </w:rPr>
                  </w:pPr>
                </w:p>
              </w:tc>
            </w:tr>
            <w:tr w14:paraId="6DB615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PrEx>
              <w:trPr>
                <w:jc w:val="center"/>
              </w:trPr>
              <w:tc>
                <w:tcPr>
                  <w:tcW w:w="742" w:type="dxa"/>
                  <w:tcBorders>
                    <w:tl2br w:val="nil"/>
                    <w:tr2bl w:val="nil"/>
                  </w:tcBorders>
                  <w:shd w:val="clear" w:color="auto" w:fill="auto"/>
                  <w:noWrap w:val="0"/>
                  <w:vAlign w:val="center"/>
                </w:tcPr>
                <w:p w14:paraId="785A2CC4">
                  <w:pPr>
                    <w:pStyle w:val="230"/>
                    <w:spacing w:before="0" w:beforeLines="0" w:line="280" w:lineRule="exac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噪声</w:t>
                  </w:r>
                </w:p>
              </w:tc>
              <w:tc>
                <w:tcPr>
                  <w:tcW w:w="1613" w:type="dxa"/>
                  <w:tcBorders>
                    <w:tl2br w:val="nil"/>
                    <w:tr2bl w:val="nil"/>
                  </w:tcBorders>
                  <w:shd w:val="clear" w:color="auto" w:fill="auto"/>
                  <w:noWrap w:val="0"/>
                  <w:vAlign w:val="center"/>
                </w:tcPr>
                <w:p w14:paraId="677EBF2F">
                  <w:pPr>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生产区</w:t>
                  </w:r>
                </w:p>
              </w:tc>
              <w:tc>
                <w:tcPr>
                  <w:tcW w:w="1494" w:type="dxa"/>
                  <w:tcBorders>
                    <w:tl2br w:val="nil"/>
                    <w:tr2bl w:val="nil"/>
                  </w:tcBorders>
                  <w:shd w:val="clear" w:color="auto" w:fill="auto"/>
                  <w:noWrap w:val="0"/>
                  <w:vAlign w:val="center"/>
                </w:tcPr>
                <w:p w14:paraId="5864B3D6">
                  <w:pPr>
                    <w:pStyle w:val="230"/>
                    <w:spacing w:before="0" w:beforeLines="0" w:line="280" w:lineRule="exac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噪声</w:t>
                  </w:r>
                </w:p>
              </w:tc>
              <w:tc>
                <w:tcPr>
                  <w:tcW w:w="1901" w:type="dxa"/>
                  <w:tcBorders>
                    <w:tl2br w:val="nil"/>
                    <w:tr2bl w:val="nil"/>
                  </w:tcBorders>
                  <w:shd w:val="clear" w:color="auto" w:fill="auto"/>
                  <w:noWrap w:val="0"/>
                  <w:vAlign w:val="center"/>
                </w:tcPr>
                <w:p w14:paraId="66B241A4">
                  <w:pPr>
                    <w:pStyle w:val="230"/>
                    <w:spacing w:before="0" w:beforeLines="0" w:line="280" w:lineRule="exac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选择低噪声设备、基础减振、安装隔声罩</w:t>
                  </w:r>
                </w:p>
              </w:tc>
              <w:tc>
                <w:tcPr>
                  <w:tcW w:w="2552" w:type="dxa"/>
                  <w:tcBorders>
                    <w:tl2br w:val="nil"/>
                    <w:tr2bl w:val="nil"/>
                  </w:tcBorders>
                  <w:shd w:val="clear" w:color="auto" w:fill="auto"/>
                  <w:noWrap w:val="0"/>
                  <w:vAlign w:val="center"/>
                </w:tcPr>
                <w:p w14:paraId="3166F9DC">
                  <w:pPr>
                    <w:pStyle w:val="230"/>
                    <w:spacing w:before="0" w:beforeLines="0" w:line="280" w:lineRule="exact"/>
                    <w:rPr>
                      <w:rFonts w:hint="default"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lang w:val="en-US" w:eastAsia="zh-CN"/>
                    </w:rPr>
                    <w:t>满足</w:t>
                  </w:r>
                  <w:r>
                    <w:rPr>
                      <w:rFonts w:hint="eastAsia" w:ascii="Times New Roman" w:hAnsi="Times New Roman" w:eastAsia="宋体" w:cs="Times New Roman"/>
                      <w:color w:val="auto"/>
                      <w:sz w:val="18"/>
                      <w:szCs w:val="18"/>
                      <w:highlight w:val="none"/>
                    </w:rPr>
                    <w:t>《工业企业厂界环境噪声排放标准》（GB12348-2008）</w:t>
                  </w:r>
                  <w:r>
                    <w:rPr>
                      <w:rFonts w:hint="eastAsia" w:ascii="Times New Roman" w:hAnsi="Times New Roman" w:eastAsia="宋体" w:cs="Times New Roman"/>
                      <w:color w:val="auto"/>
                      <w:sz w:val="18"/>
                      <w:szCs w:val="18"/>
                      <w:highlight w:val="none"/>
                      <w:lang w:val="en-US" w:eastAsia="zh-CN"/>
                    </w:rPr>
                    <w:t>3</w:t>
                  </w:r>
                  <w:r>
                    <w:rPr>
                      <w:rFonts w:hint="default" w:ascii="Times New Roman" w:hAnsi="Times New Roman" w:eastAsia="宋体" w:cs="Times New Roman"/>
                      <w:color w:val="auto"/>
                      <w:sz w:val="18"/>
                      <w:szCs w:val="18"/>
                      <w:highlight w:val="none"/>
                      <w:lang w:val="en-US" w:eastAsia="zh-CN"/>
                    </w:rPr>
                    <w:t>类标准</w:t>
                  </w:r>
                </w:p>
              </w:tc>
            </w:tr>
            <w:tr w14:paraId="447F20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42" w:type="dxa"/>
                  <w:vMerge w:val="restart"/>
                  <w:tcBorders>
                    <w:tl2br w:val="nil"/>
                    <w:tr2bl w:val="nil"/>
                  </w:tcBorders>
                  <w:shd w:val="clear" w:color="auto" w:fill="auto"/>
                  <w:noWrap w:val="0"/>
                  <w:vAlign w:val="center"/>
                </w:tcPr>
                <w:p w14:paraId="701BD733">
                  <w:pPr>
                    <w:pStyle w:val="230"/>
                    <w:spacing w:before="0" w:beforeLines="0" w:line="280" w:lineRule="exac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防渗</w:t>
                  </w:r>
                </w:p>
              </w:tc>
              <w:tc>
                <w:tcPr>
                  <w:tcW w:w="1613" w:type="dxa"/>
                  <w:tcBorders>
                    <w:tl2br w:val="nil"/>
                    <w:tr2bl w:val="nil"/>
                  </w:tcBorders>
                  <w:shd w:val="clear" w:color="auto" w:fill="auto"/>
                  <w:noWrap w:val="0"/>
                  <w:vAlign w:val="center"/>
                </w:tcPr>
                <w:p w14:paraId="4F74A63A">
                  <w:pPr>
                    <w:pStyle w:val="193"/>
                    <w:spacing w:line="280" w:lineRule="exac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重点防渗区域</w:t>
                  </w:r>
                </w:p>
              </w:tc>
              <w:tc>
                <w:tcPr>
                  <w:tcW w:w="1494" w:type="dxa"/>
                  <w:tcBorders>
                    <w:tl2br w:val="nil"/>
                    <w:tr2bl w:val="nil"/>
                  </w:tcBorders>
                  <w:shd w:val="clear" w:color="auto" w:fill="auto"/>
                  <w:noWrap w:val="0"/>
                  <w:vAlign w:val="center"/>
                </w:tcPr>
                <w:p w14:paraId="1224F1C0">
                  <w:pPr>
                    <w:pStyle w:val="230"/>
                    <w:spacing w:before="0" w:beforeLines="0" w:line="280" w:lineRule="exact"/>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eastAsia="zh-CN"/>
                    </w:rPr>
                    <w:t>危废</w:t>
                  </w:r>
                  <w:r>
                    <w:rPr>
                      <w:rFonts w:hint="eastAsia" w:ascii="Times New Roman" w:hAnsi="Times New Roman" w:eastAsia="宋体" w:cs="Times New Roman"/>
                      <w:color w:val="auto"/>
                      <w:sz w:val="18"/>
                      <w:szCs w:val="18"/>
                      <w:highlight w:val="none"/>
                      <w:lang w:val="en-US" w:eastAsia="zh-CN"/>
                    </w:rPr>
                    <w:t>暂存</w:t>
                  </w:r>
                  <w:r>
                    <w:rPr>
                      <w:rFonts w:hint="default" w:ascii="Times New Roman" w:hAnsi="Times New Roman" w:eastAsia="宋体" w:cs="Times New Roman"/>
                      <w:color w:val="auto"/>
                      <w:sz w:val="18"/>
                      <w:szCs w:val="18"/>
                      <w:highlight w:val="none"/>
                      <w:lang w:val="en-US" w:eastAsia="zh-CN"/>
                    </w:rPr>
                    <w:t>库、污水处理站</w:t>
                  </w:r>
                  <w:r>
                    <w:rPr>
                      <w:rFonts w:hint="eastAsia" w:ascii="Times New Roman" w:hAnsi="Times New Roman" w:eastAsia="宋体" w:cs="Times New Roman"/>
                      <w:color w:val="auto"/>
                      <w:sz w:val="18"/>
                      <w:szCs w:val="18"/>
                      <w:highlight w:val="none"/>
                      <w:lang w:val="en-US" w:eastAsia="zh-CN"/>
                    </w:rPr>
                    <w:t>（含MgO废水处理）</w:t>
                  </w:r>
                  <w:r>
                    <w:rPr>
                      <w:rFonts w:hint="default" w:ascii="Times New Roman" w:hAnsi="Times New Roman" w:eastAsia="宋体" w:cs="Times New Roman"/>
                      <w:color w:val="auto"/>
                      <w:sz w:val="18"/>
                      <w:szCs w:val="18"/>
                      <w:highlight w:val="none"/>
                      <w:lang w:eastAsia="zh-CN"/>
                    </w:rPr>
                    <w:t>、</w:t>
                  </w:r>
                  <w:r>
                    <w:rPr>
                      <w:rFonts w:hint="eastAsia" w:ascii="Times New Roman" w:hAnsi="Times New Roman" w:eastAsia="宋体" w:cs="Times New Roman"/>
                      <w:color w:val="auto"/>
                      <w:sz w:val="18"/>
                      <w:szCs w:val="18"/>
                      <w:highlight w:val="none"/>
                      <w:lang w:val="en-US" w:eastAsia="zh-CN"/>
                    </w:rPr>
                    <w:t>事故水池、罐区、液氨气化站、酸再生区</w:t>
                  </w:r>
                </w:p>
              </w:tc>
              <w:tc>
                <w:tcPr>
                  <w:tcW w:w="1901" w:type="dxa"/>
                  <w:tcBorders>
                    <w:tl2br w:val="nil"/>
                    <w:tr2bl w:val="nil"/>
                  </w:tcBorders>
                  <w:shd w:val="clear" w:color="auto" w:fill="auto"/>
                  <w:noWrap w:val="0"/>
                  <w:vAlign w:val="center"/>
                </w:tcPr>
                <w:p w14:paraId="20C431B3">
                  <w:pPr>
                    <w:pStyle w:val="230"/>
                    <w:spacing w:before="0" w:beforeLines="0" w:line="280" w:lineRule="exac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等效黏土防渗层Mb≥6.0m，K≤1</w:t>
                  </w:r>
                  <w:r>
                    <w:rPr>
                      <w:rFonts w:hint="default" w:ascii="Times New Roman" w:hAnsi="Times New Roman" w:eastAsia="宋体"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rPr>
                    <w:t>10</w:t>
                  </w:r>
                  <w:r>
                    <w:rPr>
                      <w:rFonts w:hint="default" w:ascii="Times New Roman" w:hAnsi="Times New Roman" w:eastAsia="宋体" w:cs="Times New Roman"/>
                      <w:color w:val="auto"/>
                      <w:sz w:val="18"/>
                      <w:szCs w:val="18"/>
                      <w:highlight w:val="none"/>
                      <w:vertAlign w:val="superscript"/>
                    </w:rPr>
                    <w:t>-7</w:t>
                  </w:r>
                  <w:r>
                    <w:rPr>
                      <w:rFonts w:hint="default" w:ascii="Times New Roman" w:hAnsi="Times New Roman" w:eastAsia="宋体" w:cs="Times New Roman"/>
                      <w:color w:val="auto"/>
                      <w:sz w:val="18"/>
                      <w:szCs w:val="18"/>
                      <w:highlight w:val="none"/>
                    </w:rPr>
                    <w:t>cm/s</w:t>
                  </w:r>
                </w:p>
              </w:tc>
              <w:tc>
                <w:tcPr>
                  <w:tcW w:w="2552" w:type="dxa"/>
                  <w:vMerge w:val="restart"/>
                  <w:tcBorders>
                    <w:tl2br w:val="nil"/>
                    <w:tr2bl w:val="nil"/>
                  </w:tcBorders>
                  <w:shd w:val="clear" w:color="auto" w:fill="auto"/>
                  <w:noWrap w:val="0"/>
                  <w:vAlign w:val="center"/>
                </w:tcPr>
                <w:p w14:paraId="1A36C75C">
                  <w:pPr>
                    <w:pStyle w:val="230"/>
                    <w:spacing w:before="0" w:beforeLines="0" w:line="280" w:lineRule="exac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不对土壤、地下水造成污染</w:t>
                  </w:r>
                </w:p>
              </w:tc>
            </w:tr>
            <w:tr w14:paraId="11409A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742" w:type="dxa"/>
                  <w:vMerge w:val="continue"/>
                  <w:tcBorders>
                    <w:tl2br w:val="nil"/>
                    <w:tr2bl w:val="nil"/>
                  </w:tcBorders>
                  <w:shd w:val="clear" w:color="auto" w:fill="auto"/>
                  <w:noWrap w:val="0"/>
                  <w:vAlign w:val="center"/>
                </w:tcPr>
                <w:p w14:paraId="0DC80410">
                  <w:pPr>
                    <w:pStyle w:val="230"/>
                    <w:spacing w:before="0" w:beforeLines="0" w:line="280" w:lineRule="exact"/>
                    <w:rPr>
                      <w:rFonts w:hint="default" w:ascii="Times New Roman" w:hAnsi="Times New Roman" w:eastAsia="宋体" w:cs="Times New Roman"/>
                      <w:color w:val="auto"/>
                      <w:sz w:val="18"/>
                      <w:szCs w:val="18"/>
                      <w:highlight w:val="none"/>
                    </w:rPr>
                  </w:pPr>
                </w:p>
              </w:tc>
              <w:tc>
                <w:tcPr>
                  <w:tcW w:w="1613" w:type="dxa"/>
                  <w:tcBorders>
                    <w:tl2br w:val="nil"/>
                    <w:tr2bl w:val="nil"/>
                  </w:tcBorders>
                  <w:shd w:val="clear" w:color="auto" w:fill="auto"/>
                  <w:noWrap w:val="0"/>
                  <w:vAlign w:val="center"/>
                </w:tcPr>
                <w:p w14:paraId="1CE2499C">
                  <w:pPr>
                    <w:pStyle w:val="193"/>
                    <w:spacing w:line="280" w:lineRule="exac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一般防渗</w:t>
                  </w:r>
                </w:p>
              </w:tc>
              <w:tc>
                <w:tcPr>
                  <w:tcW w:w="1494" w:type="dxa"/>
                  <w:tcBorders>
                    <w:tl2br w:val="nil"/>
                    <w:tr2bl w:val="nil"/>
                  </w:tcBorders>
                  <w:shd w:val="clear" w:color="auto" w:fill="auto"/>
                  <w:noWrap w:val="0"/>
                  <w:vAlign w:val="center"/>
                </w:tcPr>
                <w:p w14:paraId="206E57B1">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硅钢车间其他区域、铁芯车间</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val="en-US" w:eastAsia="zh-CN"/>
                    </w:rPr>
                    <w:t>气体区、锅炉房</w:t>
                  </w:r>
                  <w:r>
                    <w:rPr>
                      <w:rFonts w:hint="eastAsia" w:ascii="Times New Roman" w:hAnsi="Times New Roman" w:eastAsia="宋体" w:cs="Times New Roman"/>
                      <w:color w:val="auto"/>
                      <w:sz w:val="18"/>
                      <w:szCs w:val="18"/>
                      <w:highlight w:val="none"/>
                      <w:lang w:val="en-US" w:eastAsia="zh-CN"/>
                    </w:rPr>
                    <w:t>等</w:t>
                  </w:r>
                </w:p>
              </w:tc>
              <w:tc>
                <w:tcPr>
                  <w:tcW w:w="1901" w:type="dxa"/>
                  <w:tcBorders>
                    <w:tl2br w:val="nil"/>
                    <w:tr2bl w:val="nil"/>
                  </w:tcBorders>
                  <w:shd w:val="clear" w:color="auto" w:fill="auto"/>
                  <w:noWrap w:val="0"/>
                  <w:vAlign w:val="center"/>
                </w:tcPr>
                <w:p w14:paraId="3229E318">
                  <w:pPr>
                    <w:pStyle w:val="230"/>
                    <w:spacing w:before="0" w:beforeLines="0" w:line="280" w:lineRule="exac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等效黏土防渗层Mb≥1.5m，K≤10</w:t>
                  </w:r>
                  <w:r>
                    <w:rPr>
                      <w:rFonts w:hint="default" w:ascii="Times New Roman" w:hAnsi="Times New Roman" w:eastAsia="宋体" w:cs="Times New Roman"/>
                      <w:color w:val="auto"/>
                      <w:sz w:val="18"/>
                      <w:szCs w:val="18"/>
                      <w:highlight w:val="none"/>
                      <w:vertAlign w:val="superscript"/>
                    </w:rPr>
                    <w:t>-7</w:t>
                  </w:r>
                  <w:r>
                    <w:rPr>
                      <w:rFonts w:hint="default" w:ascii="Times New Roman" w:hAnsi="Times New Roman" w:eastAsia="宋体" w:cs="Times New Roman"/>
                      <w:color w:val="auto"/>
                      <w:sz w:val="18"/>
                      <w:szCs w:val="18"/>
                      <w:highlight w:val="none"/>
                    </w:rPr>
                    <w:t>cm/s</w:t>
                  </w:r>
                </w:p>
              </w:tc>
              <w:tc>
                <w:tcPr>
                  <w:tcW w:w="2552" w:type="dxa"/>
                  <w:vMerge w:val="continue"/>
                  <w:tcBorders>
                    <w:tl2br w:val="nil"/>
                    <w:tr2bl w:val="nil"/>
                  </w:tcBorders>
                  <w:shd w:val="clear" w:color="auto" w:fill="auto"/>
                  <w:noWrap w:val="0"/>
                  <w:vAlign w:val="center"/>
                </w:tcPr>
                <w:p w14:paraId="1CD35CA7">
                  <w:pPr>
                    <w:pStyle w:val="230"/>
                    <w:spacing w:before="0" w:beforeLines="0" w:line="280" w:lineRule="exact"/>
                    <w:rPr>
                      <w:rFonts w:hint="default" w:ascii="Times New Roman" w:hAnsi="Times New Roman" w:eastAsia="宋体" w:cs="Times New Roman"/>
                      <w:color w:val="auto"/>
                      <w:sz w:val="18"/>
                      <w:szCs w:val="18"/>
                      <w:highlight w:val="none"/>
                    </w:rPr>
                  </w:pPr>
                </w:p>
              </w:tc>
            </w:tr>
            <w:tr w14:paraId="483617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742" w:type="dxa"/>
                  <w:vMerge w:val="continue"/>
                  <w:tcBorders>
                    <w:tl2br w:val="nil"/>
                    <w:tr2bl w:val="nil"/>
                  </w:tcBorders>
                  <w:shd w:val="clear" w:color="auto" w:fill="auto"/>
                  <w:noWrap w:val="0"/>
                  <w:vAlign w:val="center"/>
                </w:tcPr>
                <w:p w14:paraId="0DF848C4">
                  <w:pPr>
                    <w:pStyle w:val="230"/>
                    <w:spacing w:before="0" w:beforeLines="0" w:line="280" w:lineRule="exact"/>
                    <w:rPr>
                      <w:rFonts w:hint="default" w:ascii="Times New Roman" w:hAnsi="Times New Roman" w:eastAsia="宋体" w:cs="Times New Roman"/>
                      <w:color w:val="auto"/>
                      <w:sz w:val="18"/>
                      <w:szCs w:val="18"/>
                      <w:highlight w:val="none"/>
                    </w:rPr>
                  </w:pPr>
                </w:p>
              </w:tc>
              <w:tc>
                <w:tcPr>
                  <w:tcW w:w="1613" w:type="dxa"/>
                  <w:tcBorders>
                    <w:tl2br w:val="nil"/>
                    <w:tr2bl w:val="nil"/>
                  </w:tcBorders>
                  <w:shd w:val="clear" w:color="auto" w:fill="auto"/>
                  <w:noWrap w:val="0"/>
                  <w:vAlign w:val="center"/>
                </w:tcPr>
                <w:p w14:paraId="6217159D">
                  <w:pPr>
                    <w:pStyle w:val="193"/>
                    <w:spacing w:line="280" w:lineRule="exac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简单防渗</w:t>
                  </w:r>
                </w:p>
              </w:tc>
              <w:tc>
                <w:tcPr>
                  <w:tcW w:w="1494" w:type="dxa"/>
                  <w:tcBorders>
                    <w:tl2br w:val="nil"/>
                    <w:tr2bl w:val="nil"/>
                  </w:tcBorders>
                  <w:shd w:val="clear" w:color="auto" w:fill="auto"/>
                  <w:noWrap w:val="0"/>
                  <w:vAlign w:val="center"/>
                </w:tcPr>
                <w:p w14:paraId="752E00A0">
                  <w:pPr>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办公区、</w:t>
                  </w:r>
                  <w:r>
                    <w:rPr>
                      <w:rFonts w:hint="default" w:ascii="Times New Roman" w:hAnsi="Times New Roman" w:eastAsia="宋体" w:cs="Times New Roman"/>
                      <w:color w:val="auto"/>
                      <w:sz w:val="18"/>
                      <w:szCs w:val="18"/>
                      <w:highlight w:val="none"/>
                      <w:lang w:val="en-US" w:eastAsia="zh-CN"/>
                    </w:rPr>
                    <w:t>研发中心、</w:t>
                  </w:r>
                  <w:r>
                    <w:rPr>
                      <w:rFonts w:hint="eastAsia" w:ascii="Times New Roman" w:hAnsi="Times New Roman" w:eastAsia="宋体" w:cs="Times New Roman"/>
                      <w:color w:val="auto"/>
                      <w:sz w:val="18"/>
                      <w:szCs w:val="18"/>
                      <w:highlight w:val="none"/>
                      <w:lang w:val="en-US" w:eastAsia="zh-CN"/>
                    </w:rPr>
                    <w:t>空压站、</w:t>
                  </w:r>
                  <w:r>
                    <w:rPr>
                      <w:rFonts w:hint="default" w:ascii="Times New Roman" w:hAnsi="Times New Roman" w:eastAsia="宋体" w:cs="Times New Roman"/>
                      <w:color w:val="auto"/>
                      <w:sz w:val="18"/>
                      <w:szCs w:val="18"/>
                      <w:highlight w:val="none"/>
                    </w:rPr>
                    <w:t>厂区道路</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val="en-US" w:eastAsia="zh-CN"/>
                    </w:rPr>
                    <w:t>变电站</w:t>
                  </w:r>
                  <w:r>
                    <w:rPr>
                      <w:rFonts w:hint="default" w:ascii="Times New Roman" w:hAnsi="Times New Roman" w:eastAsia="宋体" w:cs="Times New Roman"/>
                      <w:color w:val="auto"/>
                      <w:sz w:val="18"/>
                      <w:szCs w:val="18"/>
                      <w:highlight w:val="none"/>
                    </w:rPr>
                    <w:t>等</w:t>
                  </w:r>
                </w:p>
              </w:tc>
              <w:tc>
                <w:tcPr>
                  <w:tcW w:w="1901" w:type="dxa"/>
                  <w:tcBorders>
                    <w:tl2br w:val="nil"/>
                    <w:tr2bl w:val="nil"/>
                  </w:tcBorders>
                  <w:shd w:val="clear" w:color="auto" w:fill="auto"/>
                  <w:noWrap w:val="0"/>
                  <w:vAlign w:val="center"/>
                </w:tcPr>
                <w:p w14:paraId="26AFC5A3">
                  <w:pPr>
                    <w:pStyle w:val="230"/>
                    <w:spacing w:before="0" w:beforeLines="0" w:line="280" w:lineRule="exac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地面硬化</w:t>
                  </w:r>
                </w:p>
              </w:tc>
              <w:tc>
                <w:tcPr>
                  <w:tcW w:w="2552" w:type="dxa"/>
                  <w:vMerge w:val="continue"/>
                  <w:tcBorders>
                    <w:tl2br w:val="nil"/>
                    <w:tr2bl w:val="nil"/>
                  </w:tcBorders>
                  <w:shd w:val="clear" w:color="auto" w:fill="auto"/>
                  <w:noWrap w:val="0"/>
                  <w:vAlign w:val="center"/>
                </w:tcPr>
                <w:p w14:paraId="11202A95">
                  <w:pPr>
                    <w:pStyle w:val="230"/>
                    <w:spacing w:before="0" w:beforeLines="0" w:line="280" w:lineRule="exact"/>
                    <w:rPr>
                      <w:rFonts w:hint="default" w:ascii="Times New Roman" w:hAnsi="Times New Roman" w:eastAsia="宋体" w:cs="Times New Roman"/>
                      <w:color w:val="auto"/>
                      <w:sz w:val="18"/>
                      <w:szCs w:val="18"/>
                      <w:highlight w:val="none"/>
                    </w:rPr>
                  </w:pPr>
                </w:p>
              </w:tc>
            </w:tr>
            <w:tr w14:paraId="5881DA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42" w:type="dxa"/>
                  <w:tcBorders>
                    <w:tl2br w:val="nil"/>
                    <w:tr2bl w:val="nil"/>
                  </w:tcBorders>
                  <w:shd w:val="clear" w:color="auto" w:fill="auto"/>
                  <w:noWrap w:val="0"/>
                  <w:vAlign w:val="center"/>
                </w:tcPr>
                <w:p w14:paraId="3A3781FC">
                  <w:pPr>
                    <w:pStyle w:val="230"/>
                    <w:spacing w:before="0" w:beforeLines="0" w:line="280" w:lineRule="exac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事故应急措施</w:t>
                  </w:r>
                </w:p>
              </w:tc>
              <w:tc>
                <w:tcPr>
                  <w:tcW w:w="5008" w:type="dxa"/>
                  <w:gridSpan w:val="3"/>
                  <w:tcBorders>
                    <w:tl2br w:val="nil"/>
                    <w:tr2bl w:val="nil"/>
                  </w:tcBorders>
                  <w:shd w:val="clear" w:color="auto" w:fill="auto"/>
                  <w:noWrap w:val="0"/>
                  <w:vAlign w:val="center"/>
                </w:tcPr>
                <w:p w14:paraId="4684CC76">
                  <w:pPr>
                    <w:pStyle w:val="230"/>
                    <w:spacing w:before="0" w:beforeLines="0" w:line="280" w:lineRule="exact"/>
                    <w:jc w:val="both"/>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建立事故废水导排系统和1座事故水池，要求制定应急预案、建立应急管理体系</w:t>
                  </w:r>
                </w:p>
              </w:tc>
              <w:tc>
                <w:tcPr>
                  <w:tcW w:w="2552" w:type="dxa"/>
                  <w:tcBorders>
                    <w:tl2br w:val="nil"/>
                    <w:tr2bl w:val="nil"/>
                  </w:tcBorders>
                  <w:shd w:val="clear" w:color="auto" w:fill="auto"/>
                  <w:noWrap w:val="0"/>
                  <w:vAlign w:val="center"/>
                </w:tcPr>
                <w:p w14:paraId="1A95F6D2">
                  <w:pPr>
                    <w:pStyle w:val="230"/>
                    <w:spacing w:before="0" w:beforeLines="0" w:line="280" w:lineRule="exac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最大限度防止风险事故发生并有效的进行处置，使事故风险处于可接受水平</w:t>
                  </w:r>
                </w:p>
              </w:tc>
            </w:tr>
            <w:tr w14:paraId="3D7086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42" w:type="dxa"/>
                  <w:tcBorders>
                    <w:tl2br w:val="nil"/>
                    <w:tr2bl w:val="nil"/>
                  </w:tcBorders>
                  <w:shd w:val="clear" w:color="auto" w:fill="auto"/>
                  <w:noWrap w:val="0"/>
                  <w:vAlign w:val="center"/>
                </w:tcPr>
                <w:p w14:paraId="23D2E1F2">
                  <w:pPr>
                    <w:pStyle w:val="230"/>
                    <w:spacing w:before="0" w:beforeLines="0" w:line="280" w:lineRule="exac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环境管理</w:t>
                  </w:r>
                </w:p>
              </w:tc>
              <w:tc>
                <w:tcPr>
                  <w:tcW w:w="5008" w:type="dxa"/>
                  <w:gridSpan w:val="3"/>
                  <w:tcBorders>
                    <w:tl2br w:val="nil"/>
                    <w:tr2bl w:val="nil"/>
                  </w:tcBorders>
                  <w:shd w:val="clear" w:color="auto" w:fill="auto"/>
                  <w:noWrap w:val="0"/>
                  <w:vAlign w:val="center"/>
                </w:tcPr>
                <w:p w14:paraId="198A19F9">
                  <w:pPr>
                    <w:pStyle w:val="230"/>
                    <w:spacing w:before="0" w:beforeLines="0" w:line="280" w:lineRule="exact"/>
                    <w:jc w:val="both"/>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建立环境管理和监测体系，排放口明确标示</w:t>
                  </w:r>
                </w:p>
              </w:tc>
              <w:tc>
                <w:tcPr>
                  <w:tcW w:w="2552" w:type="dxa"/>
                  <w:tcBorders>
                    <w:tl2br w:val="nil"/>
                    <w:tr2bl w:val="nil"/>
                  </w:tcBorders>
                  <w:shd w:val="clear" w:color="auto" w:fill="auto"/>
                  <w:noWrap w:val="0"/>
                  <w:vAlign w:val="center"/>
                </w:tcPr>
                <w:p w14:paraId="12E858E8">
                  <w:pPr>
                    <w:pStyle w:val="230"/>
                    <w:spacing w:before="0" w:beforeLines="0" w:line="280" w:lineRule="exac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定期开展污染物监测</w:t>
                  </w:r>
                </w:p>
              </w:tc>
            </w:tr>
          </w:tbl>
          <w:p w14:paraId="3A497B9C">
            <w:pPr>
              <w:pStyle w:val="166"/>
              <w:keepNext w:val="0"/>
              <w:keepLines w:val="0"/>
              <w:pageBreakBefore w:val="0"/>
              <w:kinsoku/>
              <w:wordWrap/>
              <w:overflowPunct/>
              <w:topLinePunct w:val="0"/>
              <w:autoSpaceDE/>
              <w:autoSpaceDN/>
              <w:bidi w:val="0"/>
              <w:spacing w:line="360" w:lineRule="auto"/>
              <w:ind w:left="0" w:leftChars="0" w:firstLine="0" w:firstLineChars="0"/>
              <w:jc w:val="left"/>
              <w:rPr>
                <w:rFonts w:hint="default" w:ascii="Times New Roman" w:hAnsi="Times New Roman" w:cs="Times New Roman"/>
                <w:bCs/>
                <w:color w:val="auto"/>
                <w:spacing w:val="-10"/>
                <w:sz w:val="21"/>
                <w:szCs w:val="21"/>
                <w:highlight w:val="none"/>
              </w:rPr>
            </w:pPr>
          </w:p>
        </w:tc>
      </w:tr>
    </w:tbl>
    <w:p w14:paraId="642969C6">
      <w:pPr>
        <w:adjustRightInd w:val="0"/>
        <w:snapToGrid w:val="0"/>
        <w:spacing w:line="360" w:lineRule="auto"/>
        <w:rPr>
          <w:rFonts w:hint="default" w:ascii="Times New Roman" w:hAnsi="Times New Roman" w:cs="Times New Roman"/>
          <w:b/>
          <w:color w:val="auto"/>
          <w:kern w:val="0"/>
          <w:sz w:val="28"/>
          <w:szCs w:val="28"/>
        </w:rPr>
        <w:sectPr>
          <w:pgSz w:w="11907" w:h="16840"/>
          <w:pgMar w:top="1701" w:right="1531" w:bottom="1592" w:left="1531" w:header="851" w:footer="850" w:gutter="0"/>
          <w:pgBorders>
            <w:top w:val="none" w:sz="0" w:space="0"/>
            <w:left w:val="none" w:sz="0" w:space="0"/>
            <w:bottom w:val="none" w:sz="0" w:space="0"/>
            <w:right w:val="none" w:sz="0" w:space="0"/>
          </w:pgBorders>
          <w:pgNumType w:fmt="numberInDash"/>
          <w:cols w:space="720" w:num="1"/>
          <w:docGrid w:linePitch="312" w:charSpace="0"/>
        </w:sectPr>
      </w:pPr>
    </w:p>
    <w:p w14:paraId="07F7BD78">
      <w:pPr>
        <w:pStyle w:val="29"/>
        <w:jc w:val="center"/>
        <w:outlineLvl w:val="0"/>
        <w:rPr>
          <w:rFonts w:hint="default" w:ascii="Times New Roman" w:hAnsi="Times New Roman" w:eastAsia="黑体" w:cs="Times New Roman"/>
          <w:snapToGrid w:val="0"/>
          <w:color w:val="auto"/>
          <w:sz w:val="30"/>
          <w:szCs w:val="30"/>
        </w:rPr>
      </w:pPr>
      <w:bookmarkStart w:id="15" w:name="_Toc18943"/>
      <w:r>
        <w:rPr>
          <w:rFonts w:hint="default" w:ascii="Times New Roman" w:hAnsi="Times New Roman" w:eastAsia="黑体" w:cs="Times New Roman"/>
          <w:snapToGrid w:val="0"/>
          <w:color w:val="auto"/>
          <w:sz w:val="30"/>
          <w:szCs w:val="30"/>
        </w:rPr>
        <w:t>五、</w:t>
      </w:r>
      <w:bookmarkStart w:id="16" w:name="_Hlk54167917"/>
      <w:r>
        <w:rPr>
          <w:rFonts w:hint="default" w:ascii="Times New Roman" w:hAnsi="Times New Roman" w:eastAsia="黑体" w:cs="Times New Roman"/>
          <w:snapToGrid w:val="0"/>
          <w:color w:val="auto"/>
          <w:sz w:val="30"/>
          <w:szCs w:val="30"/>
        </w:rPr>
        <w:t>环境保护措施监督检查清单</w:t>
      </w:r>
      <w:bookmarkEnd w:id="15"/>
      <w:bookmarkEnd w:id="16"/>
    </w:p>
    <w:tbl>
      <w:tblPr>
        <w:tblStyle w:val="33"/>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57" w:type="dxa"/>
          <w:left w:w="57" w:type="dxa"/>
          <w:bottom w:w="57" w:type="dxa"/>
          <w:right w:w="57" w:type="dxa"/>
        </w:tblCellMar>
      </w:tblPr>
      <w:tblGrid>
        <w:gridCol w:w="1300"/>
        <w:gridCol w:w="1911"/>
        <w:gridCol w:w="1612"/>
        <w:gridCol w:w="1965"/>
        <w:gridCol w:w="2165"/>
      </w:tblGrid>
      <w:tr w14:paraId="592DFD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578" w:hRule="atLeast"/>
          <w:jc w:val="center"/>
        </w:trPr>
        <w:tc>
          <w:tcPr>
            <w:tcW w:w="726" w:type="pct"/>
            <w:tcBorders>
              <w:tl2br w:val="single" w:color="auto" w:sz="4" w:space="0"/>
            </w:tcBorders>
            <w:noWrap w:val="0"/>
            <w:vAlign w:val="top"/>
          </w:tcPr>
          <w:p w14:paraId="2A814A5F">
            <w:pPr>
              <w:adjustRightInd w:val="0"/>
              <w:snapToGrid w:val="0"/>
              <w:spacing w:line="240" w:lineRule="auto"/>
              <w:ind w:firstLine="840"/>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内容</w:t>
            </w:r>
          </w:p>
          <w:p w14:paraId="5F05C352">
            <w:pPr>
              <w:adjustRightInd w:val="0"/>
              <w:snapToGrid w:val="0"/>
              <w:spacing w:line="240" w:lineRule="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要素</w:t>
            </w:r>
          </w:p>
        </w:tc>
        <w:tc>
          <w:tcPr>
            <w:tcW w:w="1067" w:type="pct"/>
            <w:noWrap w:val="0"/>
            <w:vAlign w:val="center"/>
          </w:tcPr>
          <w:p w14:paraId="46059689">
            <w:pPr>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排放口</w:t>
            </w:r>
            <w:r>
              <w:rPr>
                <w:rFonts w:hint="eastAsia" w:cs="Times New Roman"/>
                <w:b/>
                <w:bCs/>
                <w:color w:val="auto"/>
                <w:sz w:val="21"/>
                <w:szCs w:val="21"/>
                <w:lang w:eastAsia="zh-CN"/>
              </w:rPr>
              <w:t>（</w:t>
            </w:r>
            <w:r>
              <w:rPr>
                <w:rFonts w:hint="default" w:ascii="Times New Roman" w:hAnsi="Times New Roman" w:cs="Times New Roman"/>
                <w:b/>
                <w:bCs/>
                <w:color w:val="auto"/>
                <w:sz w:val="21"/>
                <w:szCs w:val="21"/>
              </w:rPr>
              <w:t>编号、名称</w:t>
            </w:r>
            <w:r>
              <w:rPr>
                <w:rFonts w:hint="eastAsia" w:cs="Times New Roman"/>
                <w:b/>
                <w:bCs/>
                <w:color w:val="auto"/>
                <w:sz w:val="21"/>
                <w:szCs w:val="21"/>
                <w:lang w:eastAsia="zh-CN"/>
              </w:rPr>
              <w:t>）</w:t>
            </w:r>
            <w:r>
              <w:rPr>
                <w:rFonts w:hint="default" w:ascii="Times New Roman" w:hAnsi="Times New Roman" w:cs="Times New Roman"/>
                <w:b/>
                <w:bCs/>
                <w:color w:val="auto"/>
                <w:sz w:val="21"/>
                <w:szCs w:val="21"/>
              </w:rPr>
              <w:t>/污染源</w:t>
            </w:r>
          </w:p>
        </w:tc>
        <w:tc>
          <w:tcPr>
            <w:tcW w:w="900" w:type="pct"/>
            <w:noWrap w:val="0"/>
            <w:vAlign w:val="center"/>
          </w:tcPr>
          <w:p w14:paraId="4A1C8902">
            <w:pPr>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污染物项目</w:t>
            </w:r>
          </w:p>
        </w:tc>
        <w:tc>
          <w:tcPr>
            <w:tcW w:w="1097" w:type="pct"/>
            <w:noWrap w:val="0"/>
            <w:vAlign w:val="center"/>
          </w:tcPr>
          <w:p w14:paraId="7C448850">
            <w:pPr>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环境保护措施</w:t>
            </w:r>
          </w:p>
        </w:tc>
        <w:tc>
          <w:tcPr>
            <w:tcW w:w="1208" w:type="pct"/>
            <w:noWrap w:val="0"/>
            <w:vAlign w:val="center"/>
          </w:tcPr>
          <w:p w14:paraId="22F7D93B">
            <w:pPr>
              <w:adjustRightInd w:val="0"/>
              <w:snapToGrid w:val="0"/>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执行标准</w:t>
            </w:r>
          </w:p>
        </w:tc>
      </w:tr>
      <w:tr w14:paraId="7DAAD4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1104" w:hRule="atLeast"/>
          <w:jc w:val="center"/>
        </w:trPr>
        <w:tc>
          <w:tcPr>
            <w:tcW w:w="726" w:type="pct"/>
            <w:vMerge w:val="restart"/>
            <w:noWrap w:val="0"/>
            <w:vAlign w:val="center"/>
          </w:tcPr>
          <w:p w14:paraId="77CD6EAB">
            <w:pPr>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大气环境</w:t>
            </w:r>
          </w:p>
        </w:tc>
        <w:tc>
          <w:tcPr>
            <w:tcW w:w="1067" w:type="pct"/>
            <w:shd w:val="clear" w:color="auto" w:fill="auto"/>
            <w:noWrap w:val="0"/>
            <w:vAlign w:val="center"/>
          </w:tcPr>
          <w:p w14:paraId="695C8240">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DA001</w:t>
            </w:r>
          </w:p>
        </w:tc>
        <w:tc>
          <w:tcPr>
            <w:tcW w:w="900" w:type="pct"/>
            <w:shd w:val="clear" w:color="auto" w:fill="auto"/>
            <w:noWrap w:val="0"/>
            <w:vAlign w:val="center"/>
          </w:tcPr>
          <w:p w14:paraId="17E0FF85">
            <w:pPr>
              <w:ind w:left="2" w:lef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snapToGrid w:val="0"/>
                <w:color w:val="auto"/>
                <w:sz w:val="21"/>
                <w:szCs w:val="21"/>
                <w:highlight w:val="none"/>
                <w:vertAlign w:val="baseline"/>
                <w:lang w:val="en-US" w:eastAsia="zh-CN"/>
              </w:rPr>
              <w:t>颗粒物、SO</w:t>
            </w:r>
            <w:r>
              <w:rPr>
                <w:rFonts w:hint="eastAsia" w:cs="Times New Roman"/>
                <w:snapToGrid w:val="0"/>
                <w:color w:val="auto"/>
                <w:sz w:val="21"/>
                <w:szCs w:val="21"/>
                <w:highlight w:val="none"/>
                <w:vertAlign w:val="subscript"/>
                <w:lang w:val="en-US" w:eastAsia="zh-CN"/>
              </w:rPr>
              <w:t>2</w:t>
            </w:r>
            <w:r>
              <w:rPr>
                <w:rFonts w:hint="eastAsia" w:cs="Times New Roman"/>
                <w:snapToGrid w:val="0"/>
                <w:color w:val="auto"/>
                <w:sz w:val="21"/>
                <w:szCs w:val="21"/>
                <w:highlight w:val="none"/>
                <w:vertAlign w:val="baseline"/>
                <w:lang w:val="en-US" w:eastAsia="zh-CN"/>
              </w:rPr>
              <w:t>、NO</w:t>
            </w:r>
            <w:r>
              <w:rPr>
                <w:rFonts w:hint="eastAsia" w:cs="Times New Roman"/>
                <w:snapToGrid w:val="0"/>
                <w:color w:val="auto"/>
                <w:sz w:val="21"/>
                <w:szCs w:val="21"/>
                <w:highlight w:val="none"/>
                <w:vertAlign w:val="subscript"/>
                <w:lang w:val="en-US" w:eastAsia="zh-CN"/>
              </w:rPr>
              <w:t>X</w:t>
            </w:r>
          </w:p>
        </w:tc>
        <w:tc>
          <w:tcPr>
            <w:tcW w:w="1097" w:type="pct"/>
            <w:noWrap w:val="0"/>
            <w:vAlign w:val="center"/>
          </w:tcPr>
          <w:p w14:paraId="068987C7">
            <w:pPr>
              <w:adjustRightInd w:val="0"/>
              <w:snapToGrid w:val="0"/>
              <w:spacing w:line="240" w:lineRule="auto"/>
              <w:jc w:val="center"/>
              <w:rPr>
                <w:rFonts w:hint="default" w:ascii="Times New Roman" w:hAnsi="宋体" w:eastAsia="宋体" w:cs="Times New Roman"/>
                <w:color w:val="auto"/>
                <w:kern w:val="0"/>
                <w:sz w:val="21"/>
                <w:szCs w:val="21"/>
                <w:lang w:val="en-US" w:eastAsia="zh-CN" w:bidi="ar-SA"/>
              </w:rPr>
            </w:pPr>
            <w:r>
              <w:rPr>
                <w:rFonts w:hint="eastAsia" w:hAnsi="宋体" w:cs="Times New Roman"/>
                <w:color w:val="auto"/>
                <w:kern w:val="0"/>
                <w:sz w:val="21"/>
                <w:szCs w:val="21"/>
                <w:lang w:val="en-US" w:eastAsia="zh-CN" w:bidi="ar-SA"/>
              </w:rPr>
              <w:t>低氮燃烧技术</w:t>
            </w:r>
          </w:p>
        </w:tc>
        <w:tc>
          <w:tcPr>
            <w:tcW w:w="1208" w:type="pct"/>
            <w:vMerge w:val="restart"/>
            <w:noWrap w:val="0"/>
            <w:vAlign w:val="center"/>
          </w:tcPr>
          <w:p w14:paraId="612129EA">
            <w:pPr>
              <w:adjustRightInd w:val="0"/>
              <w:snapToGrid w:val="0"/>
              <w:spacing w:line="240" w:lineRule="auto"/>
              <w:jc w:val="center"/>
              <w:rPr>
                <w:rFonts w:hint="default"/>
                <w:color w:val="auto"/>
                <w:sz w:val="21"/>
                <w:szCs w:val="21"/>
              </w:rPr>
            </w:pPr>
            <w:r>
              <w:rPr>
                <w:rFonts w:hint="eastAsia" w:eastAsia="宋体" w:cs="Times New Roman"/>
                <w:color w:val="auto"/>
                <w:kern w:val="2"/>
                <w:sz w:val="21"/>
                <w:szCs w:val="21"/>
                <w:lang w:val="en-US" w:eastAsia="zh-CN" w:bidi="ar-SA"/>
              </w:rPr>
              <w:t>《</w:t>
            </w:r>
            <w:r>
              <w:rPr>
                <w:rFonts w:hint="eastAsia" w:cs="Times New Roman"/>
                <w:color w:val="auto"/>
                <w:kern w:val="2"/>
                <w:sz w:val="21"/>
                <w:szCs w:val="21"/>
                <w:lang w:val="en-US" w:eastAsia="zh-CN" w:bidi="ar-SA"/>
              </w:rPr>
              <w:t>轧钢</w:t>
            </w:r>
            <w:r>
              <w:rPr>
                <w:rFonts w:hint="eastAsia" w:eastAsia="宋体" w:cs="Times New Roman"/>
                <w:color w:val="auto"/>
                <w:kern w:val="2"/>
                <w:sz w:val="21"/>
                <w:szCs w:val="21"/>
                <w:lang w:val="en-US" w:eastAsia="zh-CN" w:bidi="ar-SA"/>
              </w:rPr>
              <w:t>工业大气污染物排放标准》（GB2866</w:t>
            </w:r>
            <w:r>
              <w:rPr>
                <w:rFonts w:hint="eastAsia" w:cs="Times New Roman"/>
                <w:color w:val="auto"/>
                <w:kern w:val="2"/>
                <w:sz w:val="21"/>
                <w:szCs w:val="21"/>
                <w:lang w:val="en-US" w:eastAsia="zh-CN" w:bidi="ar-SA"/>
              </w:rPr>
              <w:t>5</w:t>
            </w:r>
            <w:r>
              <w:rPr>
                <w:rFonts w:hint="eastAsia" w:eastAsia="宋体" w:cs="Times New Roman"/>
                <w:color w:val="auto"/>
                <w:kern w:val="2"/>
                <w:sz w:val="21"/>
                <w:szCs w:val="21"/>
                <w:lang w:val="en-US" w:eastAsia="zh-CN" w:bidi="ar-SA"/>
              </w:rPr>
              <w:t>-2012）</w:t>
            </w:r>
            <w:r>
              <w:rPr>
                <w:rFonts w:hint="eastAsia" w:cs="Times New Roman"/>
                <w:color w:val="auto"/>
                <w:kern w:val="2"/>
                <w:sz w:val="21"/>
                <w:szCs w:val="21"/>
                <w:lang w:val="en-US" w:eastAsia="zh-CN" w:bidi="ar-SA"/>
              </w:rPr>
              <w:t>及其修改单</w:t>
            </w:r>
            <w:r>
              <w:rPr>
                <w:rFonts w:hint="eastAsia" w:eastAsia="宋体" w:cs="Times New Roman"/>
                <w:color w:val="auto"/>
                <w:kern w:val="2"/>
                <w:sz w:val="21"/>
                <w:szCs w:val="21"/>
                <w:lang w:val="en-US" w:eastAsia="zh-CN" w:bidi="ar-SA"/>
              </w:rPr>
              <w:t>表3</w:t>
            </w:r>
          </w:p>
        </w:tc>
      </w:tr>
      <w:tr w14:paraId="5B96E3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1104" w:hRule="atLeast"/>
          <w:jc w:val="center"/>
        </w:trPr>
        <w:tc>
          <w:tcPr>
            <w:tcW w:w="726" w:type="pct"/>
            <w:vMerge w:val="continue"/>
            <w:noWrap w:val="0"/>
            <w:vAlign w:val="center"/>
          </w:tcPr>
          <w:p w14:paraId="5EC5555A">
            <w:pPr>
              <w:adjustRightInd w:val="0"/>
              <w:snapToGrid w:val="0"/>
              <w:spacing w:line="240" w:lineRule="auto"/>
              <w:jc w:val="center"/>
              <w:rPr>
                <w:rFonts w:hint="default" w:ascii="Times New Roman" w:hAnsi="Times New Roman" w:cs="Times New Roman"/>
                <w:color w:val="auto"/>
                <w:sz w:val="21"/>
                <w:szCs w:val="21"/>
              </w:rPr>
            </w:pPr>
          </w:p>
        </w:tc>
        <w:tc>
          <w:tcPr>
            <w:tcW w:w="1067" w:type="pct"/>
            <w:shd w:val="clear" w:color="auto" w:fill="auto"/>
            <w:noWrap w:val="0"/>
            <w:vAlign w:val="center"/>
          </w:tcPr>
          <w:p w14:paraId="1E75AAAC">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DA002</w:t>
            </w:r>
          </w:p>
        </w:tc>
        <w:tc>
          <w:tcPr>
            <w:tcW w:w="900" w:type="pct"/>
            <w:shd w:val="clear" w:color="auto" w:fill="auto"/>
            <w:noWrap w:val="0"/>
            <w:vAlign w:val="center"/>
          </w:tcPr>
          <w:p w14:paraId="5C38DA39">
            <w:pPr>
              <w:ind w:left="2" w:lef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snapToGrid w:val="0"/>
                <w:color w:val="auto"/>
                <w:sz w:val="21"/>
                <w:szCs w:val="21"/>
                <w:highlight w:val="none"/>
                <w:vertAlign w:val="baseline"/>
                <w:lang w:val="en-US" w:eastAsia="zh-CN"/>
              </w:rPr>
              <w:t>颗粒物、SO</w:t>
            </w:r>
            <w:r>
              <w:rPr>
                <w:rFonts w:hint="eastAsia" w:cs="Times New Roman"/>
                <w:snapToGrid w:val="0"/>
                <w:color w:val="auto"/>
                <w:sz w:val="21"/>
                <w:szCs w:val="21"/>
                <w:highlight w:val="none"/>
                <w:vertAlign w:val="subscript"/>
                <w:lang w:val="en-US" w:eastAsia="zh-CN"/>
              </w:rPr>
              <w:t>2</w:t>
            </w:r>
            <w:r>
              <w:rPr>
                <w:rFonts w:hint="eastAsia" w:cs="Times New Roman"/>
                <w:snapToGrid w:val="0"/>
                <w:color w:val="auto"/>
                <w:sz w:val="21"/>
                <w:szCs w:val="21"/>
                <w:highlight w:val="none"/>
                <w:vertAlign w:val="baseline"/>
                <w:lang w:val="en-US" w:eastAsia="zh-CN"/>
              </w:rPr>
              <w:t>、NO</w:t>
            </w:r>
            <w:r>
              <w:rPr>
                <w:rFonts w:hint="eastAsia" w:cs="Times New Roman"/>
                <w:snapToGrid w:val="0"/>
                <w:color w:val="auto"/>
                <w:sz w:val="21"/>
                <w:szCs w:val="21"/>
                <w:highlight w:val="none"/>
                <w:vertAlign w:val="subscript"/>
                <w:lang w:val="en-US" w:eastAsia="zh-CN"/>
              </w:rPr>
              <w:t>X</w:t>
            </w:r>
          </w:p>
        </w:tc>
        <w:tc>
          <w:tcPr>
            <w:tcW w:w="1097" w:type="pct"/>
            <w:noWrap w:val="0"/>
            <w:vAlign w:val="center"/>
          </w:tcPr>
          <w:p w14:paraId="14F807E1">
            <w:pPr>
              <w:adjustRightInd w:val="0"/>
              <w:snapToGrid w:val="0"/>
              <w:spacing w:line="240" w:lineRule="auto"/>
              <w:jc w:val="center"/>
              <w:rPr>
                <w:rFonts w:hint="eastAsia" w:ascii="Times New Roman" w:hAnsi="宋体" w:eastAsia="宋体" w:cs="Times New Roman"/>
                <w:color w:val="auto"/>
                <w:kern w:val="0"/>
                <w:sz w:val="21"/>
                <w:szCs w:val="21"/>
                <w:lang w:val="en-US" w:eastAsia="zh-CN" w:bidi="ar-SA"/>
              </w:rPr>
            </w:pPr>
            <w:r>
              <w:rPr>
                <w:rFonts w:hint="eastAsia" w:hAnsi="宋体" w:cs="Times New Roman"/>
                <w:color w:val="auto"/>
                <w:kern w:val="0"/>
                <w:sz w:val="21"/>
                <w:szCs w:val="21"/>
                <w:lang w:val="en-US" w:eastAsia="zh-CN" w:bidi="ar-SA"/>
              </w:rPr>
              <w:t>低氮燃烧技术</w:t>
            </w:r>
          </w:p>
        </w:tc>
        <w:tc>
          <w:tcPr>
            <w:tcW w:w="1208" w:type="pct"/>
            <w:vMerge w:val="continue"/>
            <w:noWrap w:val="0"/>
            <w:vAlign w:val="center"/>
          </w:tcPr>
          <w:p w14:paraId="43D54252">
            <w:pPr>
              <w:adjustRightInd w:val="0"/>
              <w:snapToGrid w:val="0"/>
              <w:spacing w:line="240" w:lineRule="auto"/>
              <w:jc w:val="center"/>
              <w:rPr>
                <w:rFonts w:hint="default" w:ascii="Times New Roman" w:hAnsi="Times New Roman" w:eastAsia="宋体" w:cs="Times New Roman"/>
                <w:color w:val="auto"/>
                <w:kern w:val="0"/>
                <w:sz w:val="21"/>
                <w:szCs w:val="21"/>
                <w:lang w:val="en-US" w:eastAsia="zh-CN" w:bidi="ar"/>
              </w:rPr>
            </w:pPr>
          </w:p>
        </w:tc>
      </w:tr>
      <w:tr w14:paraId="01FB4A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1104" w:hRule="atLeast"/>
          <w:jc w:val="center"/>
        </w:trPr>
        <w:tc>
          <w:tcPr>
            <w:tcW w:w="726" w:type="pct"/>
            <w:vMerge w:val="continue"/>
            <w:noWrap w:val="0"/>
            <w:vAlign w:val="center"/>
          </w:tcPr>
          <w:p w14:paraId="7F009C64">
            <w:pPr>
              <w:adjustRightInd w:val="0"/>
              <w:snapToGrid w:val="0"/>
              <w:spacing w:line="240" w:lineRule="auto"/>
              <w:jc w:val="center"/>
              <w:rPr>
                <w:rFonts w:hint="default" w:ascii="Times New Roman" w:hAnsi="Times New Roman" w:cs="Times New Roman"/>
                <w:color w:val="auto"/>
                <w:sz w:val="21"/>
                <w:szCs w:val="21"/>
              </w:rPr>
            </w:pPr>
          </w:p>
        </w:tc>
        <w:tc>
          <w:tcPr>
            <w:tcW w:w="1067" w:type="pct"/>
            <w:shd w:val="clear" w:color="auto" w:fill="auto"/>
            <w:noWrap w:val="0"/>
            <w:vAlign w:val="center"/>
          </w:tcPr>
          <w:p w14:paraId="73DBBDA4">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DA003</w:t>
            </w:r>
          </w:p>
        </w:tc>
        <w:tc>
          <w:tcPr>
            <w:tcW w:w="900" w:type="pct"/>
            <w:shd w:val="clear" w:color="auto" w:fill="auto"/>
            <w:noWrap w:val="0"/>
            <w:vAlign w:val="center"/>
          </w:tcPr>
          <w:p w14:paraId="13A3AA14">
            <w:pPr>
              <w:ind w:left="2" w:lef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snapToGrid w:val="0"/>
                <w:color w:val="auto"/>
                <w:sz w:val="21"/>
                <w:szCs w:val="21"/>
                <w:highlight w:val="none"/>
                <w:vertAlign w:val="baseline"/>
                <w:lang w:val="en-US" w:eastAsia="zh-CN"/>
              </w:rPr>
              <w:t>颗粒物</w:t>
            </w:r>
          </w:p>
        </w:tc>
        <w:tc>
          <w:tcPr>
            <w:tcW w:w="1097" w:type="pct"/>
            <w:noWrap w:val="0"/>
            <w:vAlign w:val="center"/>
          </w:tcPr>
          <w:p w14:paraId="1D0BFE12">
            <w:pPr>
              <w:adjustRightInd w:val="0"/>
              <w:snapToGrid w:val="0"/>
              <w:spacing w:line="240" w:lineRule="auto"/>
              <w:jc w:val="center"/>
              <w:rPr>
                <w:rFonts w:hint="default" w:cs="Times New Roman"/>
                <w:bCs/>
                <w:snapToGrid w:val="0"/>
                <w:color w:val="auto"/>
                <w:spacing w:val="-4"/>
                <w:sz w:val="21"/>
                <w:szCs w:val="21"/>
                <w:lang w:val="en-US" w:eastAsia="zh-CN"/>
              </w:rPr>
            </w:pPr>
            <w:r>
              <w:rPr>
                <w:rFonts w:hint="eastAsia" w:cs="Times New Roman"/>
                <w:bCs/>
                <w:snapToGrid w:val="0"/>
                <w:color w:val="auto"/>
                <w:spacing w:val="-4"/>
                <w:sz w:val="21"/>
                <w:szCs w:val="21"/>
                <w:lang w:val="en-US" w:eastAsia="zh-CN"/>
              </w:rPr>
              <w:t>布袋除尘器</w:t>
            </w:r>
          </w:p>
        </w:tc>
        <w:tc>
          <w:tcPr>
            <w:tcW w:w="1208" w:type="pct"/>
            <w:vMerge w:val="continue"/>
            <w:noWrap w:val="0"/>
            <w:vAlign w:val="center"/>
          </w:tcPr>
          <w:p w14:paraId="02BD5C18">
            <w:pPr>
              <w:adjustRightInd w:val="0"/>
              <w:snapToGrid w:val="0"/>
              <w:spacing w:line="240" w:lineRule="auto"/>
              <w:jc w:val="center"/>
              <w:rPr>
                <w:rFonts w:hint="default" w:ascii="Times New Roman" w:hAnsi="Times New Roman" w:eastAsia="宋体" w:cs="Times New Roman"/>
                <w:color w:val="auto"/>
                <w:kern w:val="0"/>
                <w:sz w:val="21"/>
                <w:szCs w:val="21"/>
                <w:lang w:val="en-US" w:eastAsia="zh-CN" w:bidi="ar"/>
              </w:rPr>
            </w:pPr>
          </w:p>
        </w:tc>
      </w:tr>
      <w:tr w14:paraId="055C7C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1104" w:hRule="atLeast"/>
          <w:jc w:val="center"/>
        </w:trPr>
        <w:tc>
          <w:tcPr>
            <w:tcW w:w="726" w:type="pct"/>
            <w:vMerge w:val="continue"/>
            <w:noWrap w:val="0"/>
            <w:vAlign w:val="center"/>
          </w:tcPr>
          <w:p w14:paraId="422AACA1">
            <w:pPr>
              <w:adjustRightInd w:val="0"/>
              <w:snapToGrid w:val="0"/>
              <w:spacing w:line="240" w:lineRule="auto"/>
              <w:jc w:val="center"/>
              <w:rPr>
                <w:rFonts w:hint="default" w:ascii="Times New Roman" w:hAnsi="Times New Roman" w:cs="Times New Roman"/>
                <w:color w:val="auto"/>
                <w:sz w:val="21"/>
                <w:szCs w:val="21"/>
              </w:rPr>
            </w:pPr>
          </w:p>
        </w:tc>
        <w:tc>
          <w:tcPr>
            <w:tcW w:w="1067" w:type="pct"/>
            <w:shd w:val="clear" w:color="auto" w:fill="auto"/>
            <w:noWrap w:val="0"/>
            <w:vAlign w:val="center"/>
          </w:tcPr>
          <w:p w14:paraId="391AB7D3">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DA004</w:t>
            </w:r>
          </w:p>
        </w:tc>
        <w:tc>
          <w:tcPr>
            <w:tcW w:w="900" w:type="pct"/>
            <w:shd w:val="clear" w:color="auto" w:fill="auto"/>
            <w:noWrap w:val="0"/>
            <w:vAlign w:val="center"/>
          </w:tcPr>
          <w:p w14:paraId="705AC232">
            <w:pPr>
              <w:ind w:left="2" w:lef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氯化氢</w:t>
            </w:r>
          </w:p>
        </w:tc>
        <w:tc>
          <w:tcPr>
            <w:tcW w:w="1097" w:type="pct"/>
            <w:noWrap w:val="0"/>
            <w:vAlign w:val="center"/>
          </w:tcPr>
          <w:p w14:paraId="5DDA5E8E">
            <w:pPr>
              <w:adjustRightInd w:val="0"/>
              <w:snapToGrid w:val="0"/>
              <w:spacing w:line="240" w:lineRule="auto"/>
              <w:jc w:val="center"/>
              <w:rPr>
                <w:rFonts w:hint="default" w:cs="Times New Roman"/>
                <w:bCs/>
                <w:snapToGrid w:val="0"/>
                <w:color w:val="auto"/>
                <w:spacing w:val="-4"/>
                <w:sz w:val="21"/>
                <w:szCs w:val="21"/>
                <w:lang w:val="en-US" w:eastAsia="zh-CN"/>
              </w:rPr>
            </w:pPr>
            <w:r>
              <w:rPr>
                <w:rFonts w:hint="eastAsia" w:cs="Times New Roman"/>
                <w:bCs/>
                <w:snapToGrid w:val="0"/>
                <w:color w:val="auto"/>
                <w:spacing w:val="-4"/>
                <w:sz w:val="21"/>
                <w:szCs w:val="21"/>
                <w:lang w:val="en-US" w:eastAsia="zh-CN"/>
              </w:rPr>
              <w:t>碱喷淋</w:t>
            </w:r>
          </w:p>
        </w:tc>
        <w:tc>
          <w:tcPr>
            <w:tcW w:w="1208" w:type="pct"/>
            <w:vMerge w:val="continue"/>
            <w:noWrap w:val="0"/>
            <w:vAlign w:val="center"/>
          </w:tcPr>
          <w:p w14:paraId="16321455">
            <w:pPr>
              <w:adjustRightInd w:val="0"/>
              <w:snapToGrid w:val="0"/>
              <w:spacing w:line="240" w:lineRule="auto"/>
              <w:jc w:val="center"/>
              <w:rPr>
                <w:rFonts w:hint="default" w:ascii="Times New Roman" w:hAnsi="Times New Roman" w:eastAsia="宋体" w:cs="Times New Roman"/>
                <w:color w:val="auto"/>
                <w:kern w:val="0"/>
                <w:sz w:val="21"/>
                <w:szCs w:val="21"/>
                <w:lang w:val="en-US" w:eastAsia="zh-CN" w:bidi="ar"/>
              </w:rPr>
            </w:pPr>
          </w:p>
        </w:tc>
      </w:tr>
      <w:tr w14:paraId="572F8F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1104" w:hRule="atLeast"/>
          <w:jc w:val="center"/>
        </w:trPr>
        <w:tc>
          <w:tcPr>
            <w:tcW w:w="726" w:type="pct"/>
            <w:vMerge w:val="continue"/>
            <w:noWrap w:val="0"/>
            <w:vAlign w:val="center"/>
          </w:tcPr>
          <w:p w14:paraId="322DC928">
            <w:pPr>
              <w:adjustRightInd w:val="0"/>
              <w:snapToGrid w:val="0"/>
              <w:spacing w:line="240" w:lineRule="auto"/>
              <w:jc w:val="center"/>
              <w:rPr>
                <w:rFonts w:hint="default" w:ascii="Times New Roman" w:hAnsi="Times New Roman" w:cs="Times New Roman"/>
                <w:color w:val="auto"/>
                <w:sz w:val="21"/>
                <w:szCs w:val="21"/>
              </w:rPr>
            </w:pPr>
          </w:p>
        </w:tc>
        <w:tc>
          <w:tcPr>
            <w:tcW w:w="1067" w:type="pct"/>
            <w:shd w:val="clear" w:color="auto" w:fill="auto"/>
            <w:noWrap w:val="0"/>
            <w:vAlign w:val="center"/>
          </w:tcPr>
          <w:p w14:paraId="12B5DBFD">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DA005</w:t>
            </w:r>
          </w:p>
        </w:tc>
        <w:tc>
          <w:tcPr>
            <w:tcW w:w="900" w:type="pct"/>
            <w:shd w:val="clear" w:color="auto" w:fill="auto"/>
            <w:noWrap w:val="0"/>
            <w:vAlign w:val="center"/>
          </w:tcPr>
          <w:p w14:paraId="78D89760">
            <w:pPr>
              <w:ind w:left="2" w:lef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油雾</w:t>
            </w:r>
          </w:p>
        </w:tc>
        <w:tc>
          <w:tcPr>
            <w:tcW w:w="1097" w:type="pct"/>
            <w:noWrap w:val="0"/>
            <w:vAlign w:val="center"/>
          </w:tcPr>
          <w:p w14:paraId="7636398B">
            <w:pPr>
              <w:adjustRightInd w:val="0"/>
              <w:snapToGrid w:val="0"/>
              <w:spacing w:line="240" w:lineRule="auto"/>
              <w:jc w:val="center"/>
              <w:rPr>
                <w:rFonts w:hint="default" w:ascii="Times New Roman" w:hAnsi="宋体" w:eastAsia="宋体" w:cs="Times New Roman"/>
                <w:color w:val="auto"/>
                <w:kern w:val="0"/>
                <w:sz w:val="21"/>
                <w:szCs w:val="21"/>
                <w:lang w:val="en-US" w:eastAsia="zh-CN" w:bidi="ar-SA"/>
              </w:rPr>
            </w:pPr>
            <w:r>
              <w:rPr>
                <w:rFonts w:hint="eastAsia" w:hAnsi="宋体" w:cs="Times New Roman"/>
                <w:color w:val="auto"/>
                <w:kern w:val="0"/>
                <w:sz w:val="21"/>
                <w:szCs w:val="21"/>
                <w:lang w:val="en-US" w:eastAsia="zh-CN" w:bidi="ar-SA"/>
              </w:rPr>
              <w:t>油雾净化器</w:t>
            </w:r>
          </w:p>
        </w:tc>
        <w:tc>
          <w:tcPr>
            <w:tcW w:w="1208" w:type="pct"/>
            <w:vMerge w:val="continue"/>
            <w:noWrap w:val="0"/>
            <w:vAlign w:val="center"/>
          </w:tcPr>
          <w:p w14:paraId="4BB55CA7">
            <w:pPr>
              <w:adjustRightInd w:val="0"/>
              <w:snapToGrid w:val="0"/>
              <w:spacing w:line="240" w:lineRule="auto"/>
              <w:jc w:val="center"/>
              <w:rPr>
                <w:rFonts w:hint="default" w:ascii="Times New Roman" w:hAnsi="Times New Roman" w:eastAsia="宋体" w:cs="Times New Roman"/>
                <w:color w:val="auto"/>
                <w:kern w:val="0"/>
                <w:sz w:val="21"/>
                <w:szCs w:val="21"/>
                <w:lang w:val="en-US" w:eastAsia="zh-CN" w:bidi="ar"/>
              </w:rPr>
            </w:pPr>
          </w:p>
        </w:tc>
      </w:tr>
      <w:tr w14:paraId="5E8CAE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1104" w:hRule="atLeast"/>
          <w:jc w:val="center"/>
        </w:trPr>
        <w:tc>
          <w:tcPr>
            <w:tcW w:w="726" w:type="pct"/>
            <w:vMerge w:val="continue"/>
            <w:noWrap w:val="0"/>
            <w:vAlign w:val="center"/>
          </w:tcPr>
          <w:p w14:paraId="2C4A8613">
            <w:pPr>
              <w:adjustRightInd w:val="0"/>
              <w:snapToGrid w:val="0"/>
              <w:spacing w:line="240" w:lineRule="auto"/>
              <w:jc w:val="center"/>
              <w:rPr>
                <w:rFonts w:hint="default" w:ascii="Times New Roman" w:hAnsi="Times New Roman" w:cs="Times New Roman"/>
                <w:color w:val="auto"/>
                <w:sz w:val="21"/>
                <w:szCs w:val="21"/>
              </w:rPr>
            </w:pPr>
          </w:p>
        </w:tc>
        <w:tc>
          <w:tcPr>
            <w:tcW w:w="1067" w:type="pct"/>
            <w:shd w:val="clear" w:color="auto" w:fill="auto"/>
            <w:noWrap w:val="0"/>
            <w:vAlign w:val="center"/>
          </w:tcPr>
          <w:p w14:paraId="14AD0884">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DA006</w:t>
            </w:r>
          </w:p>
        </w:tc>
        <w:tc>
          <w:tcPr>
            <w:tcW w:w="900" w:type="pct"/>
            <w:shd w:val="clear" w:color="auto" w:fill="auto"/>
            <w:noWrap w:val="0"/>
            <w:vAlign w:val="center"/>
          </w:tcPr>
          <w:p w14:paraId="3CF074E7">
            <w:pPr>
              <w:ind w:left="2" w:lef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碱雾</w:t>
            </w:r>
          </w:p>
        </w:tc>
        <w:tc>
          <w:tcPr>
            <w:tcW w:w="1097" w:type="pct"/>
            <w:noWrap w:val="0"/>
            <w:vAlign w:val="center"/>
          </w:tcPr>
          <w:p w14:paraId="753C503A">
            <w:pPr>
              <w:adjustRightInd w:val="0"/>
              <w:snapToGrid w:val="0"/>
              <w:spacing w:line="240" w:lineRule="auto"/>
              <w:jc w:val="center"/>
              <w:rPr>
                <w:rFonts w:hint="default" w:ascii="Times New Roman" w:hAnsi="宋体" w:eastAsia="宋体" w:cs="Times New Roman"/>
                <w:color w:val="auto"/>
                <w:kern w:val="0"/>
                <w:sz w:val="21"/>
                <w:szCs w:val="21"/>
                <w:lang w:val="en-US" w:eastAsia="zh-CN" w:bidi="ar-SA"/>
              </w:rPr>
            </w:pPr>
            <w:r>
              <w:rPr>
                <w:rFonts w:hint="eastAsia" w:hAnsi="宋体" w:cs="Times New Roman"/>
                <w:color w:val="auto"/>
                <w:kern w:val="0"/>
                <w:sz w:val="21"/>
                <w:szCs w:val="21"/>
                <w:lang w:val="en-US" w:eastAsia="zh-CN" w:bidi="ar-SA"/>
              </w:rPr>
              <w:t>酸喷淋</w:t>
            </w:r>
          </w:p>
        </w:tc>
        <w:tc>
          <w:tcPr>
            <w:tcW w:w="1208" w:type="pct"/>
            <w:vMerge w:val="continue"/>
            <w:noWrap w:val="0"/>
            <w:vAlign w:val="center"/>
          </w:tcPr>
          <w:p w14:paraId="5A3D6283">
            <w:pPr>
              <w:adjustRightInd w:val="0"/>
              <w:snapToGrid w:val="0"/>
              <w:spacing w:line="240" w:lineRule="auto"/>
              <w:jc w:val="center"/>
              <w:rPr>
                <w:rFonts w:hint="default" w:ascii="Times New Roman" w:hAnsi="Times New Roman" w:eastAsia="宋体" w:cs="Times New Roman"/>
                <w:color w:val="auto"/>
                <w:kern w:val="0"/>
                <w:sz w:val="21"/>
                <w:szCs w:val="21"/>
                <w:lang w:val="en-US" w:eastAsia="zh-CN" w:bidi="ar"/>
              </w:rPr>
            </w:pPr>
          </w:p>
        </w:tc>
      </w:tr>
      <w:tr w14:paraId="0B8EDF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1104" w:hRule="atLeast"/>
          <w:jc w:val="center"/>
        </w:trPr>
        <w:tc>
          <w:tcPr>
            <w:tcW w:w="726" w:type="pct"/>
            <w:vMerge w:val="continue"/>
            <w:noWrap w:val="0"/>
            <w:vAlign w:val="center"/>
          </w:tcPr>
          <w:p w14:paraId="2BC1928F">
            <w:pPr>
              <w:adjustRightInd w:val="0"/>
              <w:snapToGrid w:val="0"/>
              <w:spacing w:line="240" w:lineRule="auto"/>
              <w:jc w:val="center"/>
              <w:rPr>
                <w:rFonts w:hint="default" w:ascii="Times New Roman" w:hAnsi="Times New Roman" w:cs="Times New Roman"/>
                <w:color w:val="auto"/>
                <w:sz w:val="21"/>
                <w:szCs w:val="21"/>
              </w:rPr>
            </w:pPr>
          </w:p>
        </w:tc>
        <w:tc>
          <w:tcPr>
            <w:tcW w:w="1067" w:type="pct"/>
            <w:shd w:val="clear" w:color="auto" w:fill="auto"/>
            <w:noWrap w:val="0"/>
            <w:vAlign w:val="center"/>
          </w:tcPr>
          <w:p w14:paraId="361B5D19">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DA007</w:t>
            </w:r>
          </w:p>
        </w:tc>
        <w:tc>
          <w:tcPr>
            <w:tcW w:w="900" w:type="pct"/>
            <w:shd w:val="clear" w:color="auto" w:fill="auto"/>
            <w:noWrap w:val="0"/>
            <w:vAlign w:val="center"/>
          </w:tcPr>
          <w:p w14:paraId="570F14EC">
            <w:pPr>
              <w:ind w:left="2" w:lef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snapToGrid w:val="0"/>
                <w:color w:val="auto"/>
                <w:sz w:val="21"/>
                <w:szCs w:val="21"/>
                <w:highlight w:val="none"/>
                <w:vertAlign w:val="baseline"/>
                <w:lang w:val="en-US" w:eastAsia="zh-CN"/>
              </w:rPr>
              <w:t>颗粒物、SO</w:t>
            </w:r>
            <w:r>
              <w:rPr>
                <w:rFonts w:hint="eastAsia" w:cs="Times New Roman"/>
                <w:snapToGrid w:val="0"/>
                <w:color w:val="auto"/>
                <w:sz w:val="21"/>
                <w:szCs w:val="21"/>
                <w:highlight w:val="none"/>
                <w:vertAlign w:val="subscript"/>
                <w:lang w:val="en-US" w:eastAsia="zh-CN"/>
              </w:rPr>
              <w:t>2</w:t>
            </w:r>
            <w:r>
              <w:rPr>
                <w:rFonts w:hint="eastAsia" w:cs="Times New Roman"/>
                <w:snapToGrid w:val="0"/>
                <w:color w:val="auto"/>
                <w:sz w:val="21"/>
                <w:szCs w:val="21"/>
                <w:highlight w:val="none"/>
                <w:vertAlign w:val="baseline"/>
                <w:lang w:val="en-US" w:eastAsia="zh-CN"/>
              </w:rPr>
              <w:t>、NO</w:t>
            </w:r>
            <w:r>
              <w:rPr>
                <w:rFonts w:hint="eastAsia" w:cs="Times New Roman"/>
                <w:snapToGrid w:val="0"/>
                <w:color w:val="auto"/>
                <w:sz w:val="21"/>
                <w:szCs w:val="21"/>
                <w:highlight w:val="none"/>
                <w:vertAlign w:val="subscript"/>
                <w:lang w:val="en-US" w:eastAsia="zh-CN"/>
              </w:rPr>
              <w:t>X</w:t>
            </w:r>
          </w:p>
        </w:tc>
        <w:tc>
          <w:tcPr>
            <w:tcW w:w="1097" w:type="pct"/>
            <w:noWrap w:val="0"/>
            <w:vAlign w:val="center"/>
          </w:tcPr>
          <w:p w14:paraId="46FF4529">
            <w:pPr>
              <w:adjustRightInd w:val="0"/>
              <w:snapToGrid w:val="0"/>
              <w:spacing w:line="240" w:lineRule="auto"/>
              <w:jc w:val="center"/>
              <w:rPr>
                <w:rFonts w:hint="default" w:ascii="Times New Roman" w:hAnsi="宋体" w:eastAsia="宋体" w:cs="Times New Roman"/>
                <w:color w:val="auto"/>
                <w:kern w:val="0"/>
                <w:sz w:val="21"/>
                <w:szCs w:val="21"/>
                <w:lang w:val="en-US" w:eastAsia="zh-CN" w:bidi="ar-SA"/>
              </w:rPr>
            </w:pPr>
            <w:r>
              <w:rPr>
                <w:rFonts w:hint="eastAsia" w:hAnsi="宋体" w:cs="Times New Roman"/>
                <w:color w:val="auto"/>
                <w:kern w:val="0"/>
                <w:sz w:val="21"/>
                <w:szCs w:val="21"/>
                <w:lang w:val="en-US" w:eastAsia="zh-CN" w:bidi="ar-SA"/>
              </w:rPr>
              <w:t>低氮燃烧技术</w:t>
            </w:r>
          </w:p>
        </w:tc>
        <w:tc>
          <w:tcPr>
            <w:tcW w:w="1208" w:type="pct"/>
            <w:vMerge w:val="continue"/>
            <w:noWrap w:val="0"/>
            <w:vAlign w:val="center"/>
          </w:tcPr>
          <w:p w14:paraId="1CE3DBE3">
            <w:pPr>
              <w:adjustRightInd w:val="0"/>
              <w:snapToGrid w:val="0"/>
              <w:spacing w:line="240" w:lineRule="auto"/>
              <w:jc w:val="center"/>
              <w:rPr>
                <w:rFonts w:hint="default" w:ascii="Times New Roman" w:hAnsi="Times New Roman" w:eastAsia="宋体" w:cs="Times New Roman"/>
                <w:color w:val="auto"/>
                <w:kern w:val="0"/>
                <w:sz w:val="21"/>
                <w:szCs w:val="21"/>
                <w:lang w:val="en-US" w:eastAsia="zh-CN" w:bidi="ar"/>
              </w:rPr>
            </w:pPr>
          </w:p>
        </w:tc>
      </w:tr>
      <w:tr w14:paraId="2BA9DA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1104" w:hRule="atLeast"/>
          <w:jc w:val="center"/>
        </w:trPr>
        <w:tc>
          <w:tcPr>
            <w:tcW w:w="726" w:type="pct"/>
            <w:vMerge w:val="continue"/>
            <w:noWrap w:val="0"/>
            <w:vAlign w:val="center"/>
          </w:tcPr>
          <w:p w14:paraId="7C061907">
            <w:pPr>
              <w:adjustRightInd w:val="0"/>
              <w:snapToGrid w:val="0"/>
              <w:spacing w:line="240" w:lineRule="auto"/>
              <w:jc w:val="center"/>
              <w:rPr>
                <w:rFonts w:hint="default" w:ascii="Times New Roman" w:hAnsi="Times New Roman" w:cs="Times New Roman"/>
                <w:color w:val="auto"/>
                <w:sz w:val="21"/>
                <w:szCs w:val="21"/>
              </w:rPr>
            </w:pPr>
          </w:p>
        </w:tc>
        <w:tc>
          <w:tcPr>
            <w:tcW w:w="1067" w:type="pct"/>
            <w:shd w:val="clear" w:color="auto" w:fill="auto"/>
            <w:noWrap w:val="0"/>
            <w:vAlign w:val="center"/>
          </w:tcPr>
          <w:p w14:paraId="369A224D">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DA008</w:t>
            </w:r>
          </w:p>
        </w:tc>
        <w:tc>
          <w:tcPr>
            <w:tcW w:w="900" w:type="pct"/>
            <w:shd w:val="clear" w:color="auto" w:fill="auto"/>
            <w:noWrap w:val="0"/>
            <w:vAlign w:val="center"/>
          </w:tcPr>
          <w:p w14:paraId="726C2C71">
            <w:pPr>
              <w:ind w:left="2" w:lef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snapToGrid w:val="0"/>
                <w:color w:val="auto"/>
                <w:sz w:val="21"/>
                <w:szCs w:val="21"/>
                <w:highlight w:val="none"/>
                <w:vertAlign w:val="baseline"/>
                <w:lang w:val="en-US" w:eastAsia="zh-CN"/>
              </w:rPr>
              <w:t>颗粒物、SO</w:t>
            </w:r>
            <w:r>
              <w:rPr>
                <w:rFonts w:hint="eastAsia" w:cs="Times New Roman"/>
                <w:snapToGrid w:val="0"/>
                <w:color w:val="auto"/>
                <w:sz w:val="21"/>
                <w:szCs w:val="21"/>
                <w:highlight w:val="none"/>
                <w:vertAlign w:val="subscript"/>
                <w:lang w:val="en-US" w:eastAsia="zh-CN"/>
              </w:rPr>
              <w:t>2</w:t>
            </w:r>
            <w:r>
              <w:rPr>
                <w:rFonts w:hint="eastAsia" w:cs="Times New Roman"/>
                <w:snapToGrid w:val="0"/>
                <w:color w:val="auto"/>
                <w:sz w:val="21"/>
                <w:szCs w:val="21"/>
                <w:highlight w:val="none"/>
                <w:vertAlign w:val="baseline"/>
                <w:lang w:val="en-US" w:eastAsia="zh-CN"/>
              </w:rPr>
              <w:t>、NO</w:t>
            </w:r>
            <w:r>
              <w:rPr>
                <w:rFonts w:hint="eastAsia" w:cs="Times New Roman"/>
                <w:snapToGrid w:val="0"/>
                <w:color w:val="auto"/>
                <w:sz w:val="21"/>
                <w:szCs w:val="21"/>
                <w:highlight w:val="none"/>
                <w:vertAlign w:val="subscript"/>
                <w:lang w:val="en-US" w:eastAsia="zh-CN"/>
              </w:rPr>
              <w:t>X</w:t>
            </w:r>
          </w:p>
        </w:tc>
        <w:tc>
          <w:tcPr>
            <w:tcW w:w="1097" w:type="pct"/>
            <w:noWrap w:val="0"/>
            <w:vAlign w:val="center"/>
          </w:tcPr>
          <w:p w14:paraId="64478C47">
            <w:pPr>
              <w:adjustRightInd w:val="0"/>
              <w:snapToGrid w:val="0"/>
              <w:spacing w:line="240" w:lineRule="auto"/>
              <w:jc w:val="center"/>
              <w:rPr>
                <w:rFonts w:hint="default" w:ascii="Times New Roman" w:hAnsi="宋体" w:eastAsia="宋体" w:cs="Times New Roman"/>
                <w:color w:val="auto"/>
                <w:kern w:val="0"/>
                <w:sz w:val="21"/>
                <w:szCs w:val="21"/>
                <w:lang w:val="en-US" w:eastAsia="zh-CN" w:bidi="ar-SA"/>
              </w:rPr>
            </w:pPr>
            <w:r>
              <w:rPr>
                <w:rFonts w:hint="eastAsia" w:hAnsi="宋体" w:cs="Times New Roman"/>
                <w:color w:val="auto"/>
                <w:kern w:val="0"/>
                <w:sz w:val="21"/>
                <w:szCs w:val="21"/>
                <w:lang w:val="en-US" w:eastAsia="zh-CN" w:bidi="ar-SA"/>
              </w:rPr>
              <w:t>低氮燃烧技术</w:t>
            </w:r>
          </w:p>
        </w:tc>
        <w:tc>
          <w:tcPr>
            <w:tcW w:w="1208" w:type="pct"/>
            <w:vMerge w:val="continue"/>
            <w:noWrap w:val="0"/>
            <w:vAlign w:val="center"/>
          </w:tcPr>
          <w:p w14:paraId="618AD797">
            <w:pPr>
              <w:adjustRightInd w:val="0"/>
              <w:snapToGrid w:val="0"/>
              <w:spacing w:line="240" w:lineRule="auto"/>
              <w:jc w:val="center"/>
              <w:rPr>
                <w:rFonts w:hint="default" w:ascii="Times New Roman" w:hAnsi="Times New Roman" w:eastAsia="宋体" w:cs="Times New Roman"/>
                <w:color w:val="auto"/>
                <w:kern w:val="0"/>
                <w:sz w:val="21"/>
                <w:szCs w:val="21"/>
                <w:lang w:val="en-US" w:eastAsia="zh-CN" w:bidi="ar"/>
              </w:rPr>
            </w:pPr>
          </w:p>
        </w:tc>
      </w:tr>
      <w:tr w14:paraId="56E8E7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1104" w:hRule="atLeast"/>
          <w:jc w:val="center"/>
        </w:trPr>
        <w:tc>
          <w:tcPr>
            <w:tcW w:w="726" w:type="pct"/>
            <w:vMerge w:val="continue"/>
            <w:noWrap w:val="0"/>
            <w:vAlign w:val="center"/>
          </w:tcPr>
          <w:p w14:paraId="637A658E">
            <w:pPr>
              <w:adjustRightInd w:val="0"/>
              <w:snapToGrid w:val="0"/>
              <w:spacing w:line="240" w:lineRule="auto"/>
              <w:jc w:val="center"/>
              <w:rPr>
                <w:rFonts w:hint="default" w:ascii="Times New Roman" w:hAnsi="Times New Roman" w:cs="Times New Roman"/>
                <w:color w:val="auto"/>
                <w:sz w:val="21"/>
                <w:szCs w:val="21"/>
              </w:rPr>
            </w:pPr>
          </w:p>
        </w:tc>
        <w:tc>
          <w:tcPr>
            <w:tcW w:w="1067" w:type="pct"/>
            <w:shd w:val="clear" w:color="auto" w:fill="auto"/>
            <w:noWrap w:val="0"/>
            <w:vAlign w:val="center"/>
          </w:tcPr>
          <w:p w14:paraId="20F135C2">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DA009</w:t>
            </w:r>
          </w:p>
        </w:tc>
        <w:tc>
          <w:tcPr>
            <w:tcW w:w="900" w:type="pct"/>
            <w:shd w:val="clear" w:color="auto" w:fill="auto"/>
            <w:noWrap w:val="0"/>
            <w:vAlign w:val="center"/>
          </w:tcPr>
          <w:p w14:paraId="1A477BF8">
            <w:pPr>
              <w:ind w:left="2" w:lef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硫酸雾</w:t>
            </w:r>
          </w:p>
        </w:tc>
        <w:tc>
          <w:tcPr>
            <w:tcW w:w="1097" w:type="pct"/>
            <w:noWrap w:val="0"/>
            <w:vAlign w:val="center"/>
          </w:tcPr>
          <w:p w14:paraId="6168C6E1">
            <w:pPr>
              <w:adjustRightInd w:val="0"/>
              <w:snapToGrid w:val="0"/>
              <w:spacing w:line="240" w:lineRule="auto"/>
              <w:jc w:val="center"/>
              <w:rPr>
                <w:rFonts w:hint="default" w:ascii="Times New Roman" w:hAnsi="宋体" w:eastAsia="宋体" w:cs="Times New Roman"/>
                <w:color w:val="auto"/>
                <w:kern w:val="0"/>
                <w:sz w:val="21"/>
                <w:szCs w:val="21"/>
                <w:lang w:val="en-US" w:eastAsia="zh-CN" w:bidi="ar-SA"/>
              </w:rPr>
            </w:pPr>
            <w:r>
              <w:rPr>
                <w:rFonts w:hint="eastAsia" w:hAnsi="宋体" w:cs="Times New Roman"/>
                <w:color w:val="auto"/>
                <w:kern w:val="0"/>
                <w:sz w:val="21"/>
                <w:szCs w:val="21"/>
                <w:lang w:val="en-US" w:eastAsia="zh-CN" w:bidi="ar-SA"/>
              </w:rPr>
              <w:t>碱喷淋</w:t>
            </w:r>
          </w:p>
        </w:tc>
        <w:tc>
          <w:tcPr>
            <w:tcW w:w="1208" w:type="pct"/>
            <w:vMerge w:val="continue"/>
            <w:noWrap w:val="0"/>
            <w:vAlign w:val="center"/>
          </w:tcPr>
          <w:p w14:paraId="63ABDC98">
            <w:pPr>
              <w:adjustRightInd w:val="0"/>
              <w:snapToGrid w:val="0"/>
              <w:spacing w:line="240" w:lineRule="auto"/>
              <w:jc w:val="center"/>
              <w:rPr>
                <w:rFonts w:hint="default" w:ascii="Times New Roman" w:hAnsi="Times New Roman" w:eastAsia="宋体" w:cs="Times New Roman"/>
                <w:color w:val="auto"/>
                <w:kern w:val="0"/>
                <w:sz w:val="21"/>
                <w:szCs w:val="21"/>
                <w:lang w:val="en-US" w:eastAsia="zh-CN" w:bidi="ar"/>
              </w:rPr>
            </w:pPr>
          </w:p>
        </w:tc>
      </w:tr>
      <w:tr w14:paraId="0B6D20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1104" w:hRule="atLeast"/>
          <w:jc w:val="center"/>
        </w:trPr>
        <w:tc>
          <w:tcPr>
            <w:tcW w:w="726" w:type="pct"/>
            <w:vMerge w:val="continue"/>
            <w:noWrap w:val="0"/>
            <w:vAlign w:val="center"/>
          </w:tcPr>
          <w:p w14:paraId="50FD27EC">
            <w:pPr>
              <w:adjustRightInd w:val="0"/>
              <w:snapToGrid w:val="0"/>
              <w:spacing w:line="240" w:lineRule="auto"/>
              <w:jc w:val="center"/>
              <w:rPr>
                <w:rFonts w:hint="default" w:ascii="Times New Roman" w:hAnsi="Times New Roman" w:cs="Times New Roman"/>
                <w:color w:val="auto"/>
                <w:sz w:val="21"/>
                <w:szCs w:val="21"/>
              </w:rPr>
            </w:pPr>
          </w:p>
        </w:tc>
        <w:tc>
          <w:tcPr>
            <w:tcW w:w="1067" w:type="pct"/>
            <w:shd w:val="clear" w:color="auto" w:fill="auto"/>
            <w:noWrap w:val="0"/>
            <w:vAlign w:val="center"/>
          </w:tcPr>
          <w:p w14:paraId="3E6D30D7">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DA010</w:t>
            </w:r>
          </w:p>
        </w:tc>
        <w:tc>
          <w:tcPr>
            <w:tcW w:w="900" w:type="pct"/>
            <w:shd w:val="clear" w:color="auto" w:fill="auto"/>
            <w:noWrap w:val="0"/>
            <w:vAlign w:val="center"/>
          </w:tcPr>
          <w:p w14:paraId="7638C264">
            <w:pPr>
              <w:ind w:left="2" w:lef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颗粒物</w:t>
            </w:r>
          </w:p>
        </w:tc>
        <w:tc>
          <w:tcPr>
            <w:tcW w:w="1097" w:type="pct"/>
            <w:noWrap w:val="0"/>
            <w:vAlign w:val="center"/>
          </w:tcPr>
          <w:p w14:paraId="01F07B2E">
            <w:pPr>
              <w:adjustRightInd w:val="0"/>
              <w:snapToGrid w:val="0"/>
              <w:spacing w:line="240" w:lineRule="auto"/>
              <w:jc w:val="center"/>
              <w:rPr>
                <w:rFonts w:hint="default" w:ascii="Times New Roman" w:hAnsi="宋体" w:eastAsia="宋体" w:cs="Times New Roman"/>
                <w:color w:val="auto"/>
                <w:kern w:val="0"/>
                <w:sz w:val="21"/>
                <w:szCs w:val="21"/>
                <w:lang w:val="en-US" w:eastAsia="zh-CN" w:bidi="ar-SA"/>
              </w:rPr>
            </w:pPr>
            <w:r>
              <w:rPr>
                <w:rFonts w:hint="eastAsia" w:hAnsi="宋体" w:cs="Times New Roman"/>
                <w:color w:val="auto"/>
                <w:kern w:val="0"/>
                <w:sz w:val="21"/>
                <w:szCs w:val="21"/>
                <w:lang w:val="en-US" w:eastAsia="zh-CN" w:bidi="ar-SA"/>
              </w:rPr>
              <w:t>布袋除尘</w:t>
            </w:r>
          </w:p>
        </w:tc>
        <w:tc>
          <w:tcPr>
            <w:tcW w:w="1208" w:type="pct"/>
            <w:vMerge w:val="continue"/>
            <w:noWrap w:val="0"/>
            <w:vAlign w:val="center"/>
          </w:tcPr>
          <w:p w14:paraId="5AD91FBC">
            <w:pPr>
              <w:adjustRightInd w:val="0"/>
              <w:snapToGrid w:val="0"/>
              <w:spacing w:line="240" w:lineRule="auto"/>
              <w:jc w:val="center"/>
              <w:rPr>
                <w:rFonts w:hint="default" w:ascii="Times New Roman" w:hAnsi="Times New Roman" w:eastAsia="宋体" w:cs="Times New Roman"/>
                <w:color w:val="auto"/>
                <w:kern w:val="0"/>
                <w:sz w:val="21"/>
                <w:szCs w:val="21"/>
                <w:lang w:val="en-US" w:eastAsia="zh-CN" w:bidi="ar"/>
              </w:rPr>
            </w:pPr>
          </w:p>
        </w:tc>
      </w:tr>
      <w:tr w14:paraId="69BBA8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1104" w:hRule="atLeast"/>
          <w:jc w:val="center"/>
        </w:trPr>
        <w:tc>
          <w:tcPr>
            <w:tcW w:w="726" w:type="pct"/>
            <w:vMerge w:val="continue"/>
            <w:noWrap w:val="0"/>
            <w:vAlign w:val="center"/>
          </w:tcPr>
          <w:p w14:paraId="0F1C88CA">
            <w:pPr>
              <w:adjustRightInd w:val="0"/>
              <w:snapToGrid w:val="0"/>
              <w:spacing w:line="240" w:lineRule="auto"/>
              <w:jc w:val="center"/>
              <w:rPr>
                <w:rFonts w:hint="default" w:ascii="Times New Roman" w:hAnsi="Times New Roman" w:cs="Times New Roman"/>
                <w:color w:val="auto"/>
                <w:sz w:val="21"/>
                <w:szCs w:val="21"/>
              </w:rPr>
            </w:pPr>
          </w:p>
        </w:tc>
        <w:tc>
          <w:tcPr>
            <w:tcW w:w="1067" w:type="pct"/>
            <w:shd w:val="clear" w:color="auto" w:fill="auto"/>
            <w:noWrap w:val="0"/>
            <w:vAlign w:val="center"/>
          </w:tcPr>
          <w:p w14:paraId="23EE37A7">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DA011</w:t>
            </w:r>
          </w:p>
        </w:tc>
        <w:tc>
          <w:tcPr>
            <w:tcW w:w="900" w:type="pct"/>
            <w:shd w:val="clear" w:color="auto" w:fill="auto"/>
            <w:noWrap w:val="0"/>
            <w:vAlign w:val="center"/>
          </w:tcPr>
          <w:p w14:paraId="1FA8519F">
            <w:pPr>
              <w:ind w:left="2" w:lef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snapToGrid w:val="0"/>
                <w:color w:val="auto"/>
                <w:sz w:val="21"/>
                <w:szCs w:val="21"/>
                <w:highlight w:val="none"/>
                <w:vertAlign w:val="baseline"/>
                <w:lang w:val="en-US" w:eastAsia="zh-CN"/>
              </w:rPr>
              <w:t>颗粒物、SO</w:t>
            </w:r>
            <w:r>
              <w:rPr>
                <w:rFonts w:hint="eastAsia" w:cs="Times New Roman"/>
                <w:snapToGrid w:val="0"/>
                <w:color w:val="auto"/>
                <w:sz w:val="21"/>
                <w:szCs w:val="21"/>
                <w:highlight w:val="none"/>
                <w:vertAlign w:val="subscript"/>
                <w:lang w:val="en-US" w:eastAsia="zh-CN"/>
              </w:rPr>
              <w:t>2</w:t>
            </w:r>
            <w:r>
              <w:rPr>
                <w:rFonts w:hint="eastAsia" w:cs="Times New Roman"/>
                <w:snapToGrid w:val="0"/>
                <w:color w:val="auto"/>
                <w:sz w:val="21"/>
                <w:szCs w:val="21"/>
                <w:highlight w:val="none"/>
                <w:vertAlign w:val="baseline"/>
                <w:lang w:val="en-US" w:eastAsia="zh-CN"/>
              </w:rPr>
              <w:t>、NO</w:t>
            </w:r>
            <w:r>
              <w:rPr>
                <w:rFonts w:hint="eastAsia" w:cs="Times New Roman"/>
                <w:snapToGrid w:val="0"/>
                <w:color w:val="auto"/>
                <w:sz w:val="21"/>
                <w:szCs w:val="21"/>
                <w:highlight w:val="none"/>
                <w:vertAlign w:val="subscript"/>
                <w:lang w:val="en-US" w:eastAsia="zh-CN"/>
              </w:rPr>
              <w:t>X</w:t>
            </w:r>
          </w:p>
        </w:tc>
        <w:tc>
          <w:tcPr>
            <w:tcW w:w="1097" w:type="pct"/>
            <w:noWrap w:val="0"/>
            <w:vAlign w:val="center"/>
          </w:tcPr>
          <w:p w14:paraId="1848263A">
            <w:pPr>
              <w:adjustRightInd w:val="0"/>
              <w:snapToGrid w:val="0"/>
              <w:spacing w:line="240" w:lineRule="auto"/>
              <w:jc w:val="center"/>
              <w:rPr>
                <w:rFonts w:hint="default" w:ascii="Times New Roman" w:hAnsi="宋体" w:eastAsia="宋体" w:cs="Times New Roman"/>
                <w:color w:val="auto"/>
                <w:kern w:val="0"/>
                <w:sz w:val="21"/>
                <w:szCs w:val="21"/>
                <w:lang w:val="en-US" w:eastAsia="zh-CN" w:bidi="ar-SA"/>
              </w:rPr>
            </w:pPr>
            <w:r>
              <w:rPr>
                <w:rFonts w:hint="eastAsia" w:hAnsi="宋体" w:cs="Times New Roman"/>
                <w:color w:val="auto"/>
                <w:kern w:val="0"/>
                <w:sz w:val="21"/>
                <w:szCs w:val="21"/>
                <w:lang w:val="en-US" w:eastAsia="zh-CN" w:bidi="ar-SA"/>
              </w:rPr>
              <w:t>低氮燃烧技术</w:t>
            </w:r>
          </w:p>
        </w:tc>
        <w:tc>
          <w:tcPr>
            <w:tcW w:w="1208" w:type="pct"/>
            <w:vMerge w:val="continue"/>
            <w:noWrap w:val="0"/>
            <w:vAlign w:val="center"/>
          </w:tcPr>
          <w:p w14:paraId="2B97F1C3">
            <w:pPr>
              <w:adjustRightInd w:val="0"/>
              <w:snapToGrid w:val="0"/>
              <w:spacing w:line="240" w:lineRule="auto"/>
              <w:jc w:val="center"/>
              <w:rPr>
                <w:rFonts w:hint="default" w:ascii="Times New Roman" w:hAnsi="Times New Roman" w:eastAsia="宋体" w:cs="Times New Roman"/>
                <w:color w:val="auto"/>
                <w:kern w:val="0"/>
                <w:sz w:val="21"/>
                <w:szCs w:val="21"/>
                <w:lang w:val="en-US" w:eastAsia="zh-CN" w:bidi="ar"/>
              </w:rPr>
            </w:pPr>
          </w:p>
        </w:tc>
      </w:tr>
      <w:tr w14:paraId="4A565E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1104" w:hRule="atLeast"/>
          <w:jc w:val="center"/>
        </w:trPr>
        <w:tc>
          <w:tcPr>
            <w:tcW w:w="726" w:type="pct"/>
            <w:vMerge w:val="continue"/>
            <w:noWrap w:val="0"/>
            <w:vAlign w:val="center"/>
          </w:tcPr>
          <w:p w14:paraId="44818C62">
            <w:pPr>
              <w:adjustRightInd w:val="0"/>
              <w:snapToGrid w:val="0"/>
              <w:spacing w:line="240" w:lineRule="auto"/>
              <w:jc w:val="center"/>
              <w:rPr>
                <w:rFonts w:hint="default" w:ascii="Times New Roman" w:hAnsi="Times New Roman" w:cs="Times New Roman"/>
                <w:color w:val="auto"/>
                <w:sz w:val="21"/>
                <w:szCs w:val="21"/>
              </w:rPr>
            </w:pPr>
          </w:p>
        </w:tc>
        <w:tc>
          <w:tcPr>
            <w:tcW w:w="1067" w:type="pct"/>
            <w:shd w:val="clear" w:color="auto" w:fill="auto"/>
            <w:noWrap w:val="0"/>
            <w:vAlign w:val="center"/>
          </w:tcPr>
          <w:p w14:paraId="7916FB6D">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DA012</w:t>
            </w:r>
          </w:p>
        </w:tc>
        <w:tc>
          <w:tcPr>
            <w:tcW w:w="900" w:type="pct"/>
            <w:shd w:val="clear" w:color="auto" w:fill="auto"/>
            <w:noWrap w:val="0"/>
            <w:vAlign w:val="center"/>
          </w:tcPr>
          <w:p w14:paraId="5FC0DCEF">
            <w:pPr>
              <w:ind w:left="2" w:lef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颗粒物</w:t>
            </w:r>
          </w:p>
        </w:tc>
        <w:tc>
          <w:tcPr>
            <w:tcW w:w="1097" w:type="pct"/>
            <w:noWrap w:val="0"/>
            <w:vAlign w:val="center"/>
          </w:tcPr>
          <w:p w14:paraId="50CF3A24">
            <w:pPr>
              <w:adjustRightInd w:val="0"/>
              <w:snapToGrid w:val="0"/>
              <w:spacing w:line="240" w:lineRule="auto"/>
              <w:jc w:val="center"/>
              <w:rPr>
                <w:rFonts w:hint="default" w:ascii="Times New Roman" w:hAnsi="宋体" w:eastAsia="宋体" w:cs="Times New Roman"/>
                <w:color w:val="auto"/>
                <w:kern w:val="0"/>
                <w:sz w:val="21"/>
                <w:szCs w:val="21"/>
                <w:lang w:val="en-US" w:eastAsia="zh-CN" w:bidi="ar-SA"/>
              </w:rPr>
            </w:pPr>
            <w:r>
              <w:rPr>
                <w:rFonts w:hint="eastAsia" w:hAnsi="宋体" w:cs="Times New Roman"/>
                <w:color w:val="auto"/>
                <w:kern w:val="0"/>
                <w:sz w:val="21"/>
                <w:szCs w:val="21"/>
                <w:lang w:val="en-US" w:eastAsia="zh-CN" w:bidi="ar-SA"/>
              </w:rPr>
              <w:t>布袋除尘</w:t>
            </w:r>
          </w:p>
        </w:tc>
        <w:tc>
          <w:tcPr>
            <w:tcW w:w="1208" w:type="pct"/>
            <w:vMerge w:val="continue"/>
            <w:noWrap w:val="0"/>
            <w:vAlign w:val="center"/>
          </w:tcPr>
          <w:p w14:paraId="00E979C1">
            <w:pPr>
              <w:adjustRightInd w:val="0"/>
              <w:snapToGrid w:val="0"/>
              <w:spacing w:line="240" w:lineRule="auto"/>
              <w:jc w:val="center"/>
              <w:rPr>
                <w:rFonts w:hint="default" w:ascii="Times New Roman" w:hAnsi="Times New Roman" w:eastAsia="宋体" w:cs="Times New Roman"/>
                <w:color w:val="auto"/>
                <w:kern w:val="0"/>
                <w:sz w:val="21"/>
                <w:szCs w:val="21"/>
                <w:lang w:val="en-US" w:eastAsia="zh-CN" w:bidi="ar"/>
              </w:rPr>
            </w:pPr>
          </w:p>
        </w:tc>
      </w:tr>
      <w:tr w14:paraId="7DA3E3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1104" w:hRule="atLeast"/>
          <w:jc w:val="center"/>
        </w:trPr>
        <w:tc>
          <w:tcPr>
            <w:tcW w:w="726" w:type="pct"/>
            <w:vMerge w:val="continue"/>
            <w:noWrap w:val="0"/>
            <w:vAlign w:val="center"/>
          </w:tcPr>
          <w:p w14:paraId="781F4D80">
            <w:pPr>
              <w:adjustRightInd w:val="0"/>
              <w:snapToGrid w:val="0"/>
              <w:spacing w:line="240" w:lineRule="auto"/>
              <w:jc w:val="center"/>
              <w:rPr>
                <w:rFonts w:hint="default" w:ascii="Times New Roman" w:hAnsi="Times New Roman" w:cs="Times New Roman"/>
                <w:color w:val="auto"/>
                <w:sz w:val="21"/>
                <w:szCs w:val="21"/>
              </w:rPr>
            </w:pPr>
          </w:p>
        </w:tc>
        <w:tc>
          <w:tcPr>
            <w:tcW w:w="1067" w:type="pct"/>
            <w:shd w:val="clear" w:color="auto" w:fill="auto"/>
            <w:noWrap w:val="0"/>
            <w:vAlign w:val="center"/>
          </w:tcPr>
          <w:p w14:paraId="3EB81296">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DA014</w:t>
            </w:r>
          </w:p>
        </w:tc>
        <w:tc>
          <w:tcPr>
            <w:tcW w:w="900" w:type="pct"/>
            <w:shd w:val="clear" w:color="auto" w:fill="auto"/>
            <w:noWrap w:val="0"/>
            <w:vAlign w:val="center"/>
          </w:tcPr>
          <w:p w14:paraId="7692ABF0">
            <w:pPr>
              <w:ind w:left="2" w:lef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颗粒物</w:t>
            </w:r>
          </w:p>
        </w:tc>
        <w:tc>
          <w:tcPr>
            <w:tcW w:w="1097" w:type="pct"/>
            <w:shd w:val="clear" w:color="auto" w:fill="auto"/>
            <w:noWrap w:val="0"/>
            <w:vAlign w:val="center"/>
          </w:tcPr>
          <w:p w14:paraId="746E4FBF">
            <w:pPr>
              <w:adjustRightInd w:val="0"/>
              <w:snapToGrid w:val="0"/>
              <w:spacing w:line="240" w:lineRule="auto"/>
              <w:jc w:val="center"/>
              <w:rPr>
                <w:rFonts w:hint="default" w:ascii="Times New Roman" w:hAnsi="宋体" w:eastAsia="宋体" w:cs="Times New Roman"/>
                <w:color w:val="auto"/>
                <w:kern w:val="0"/>
                <w:sz w:val="21"/>
                <w:szCs w:val="21"/>
                <w:lang w:val="en-US" w:eastAsia="zh-CN" w:bidi="ar-SA"/>
              </w:rPr>
            </w:pPr>
            <w:r>
              <w:rPr>
                <w:rFonts w:hint="eastAsia" w:hAnsi="宋体" w:cs="Times New Roman"/>
                <w:color w:val="auto"/>
                <w:kern w:val="0"/>
                <w:sz w:val="21"/>
                <w:szCs w:val="21"/>
                <w:lang w:val="en-US" w:eastAsia="zh-CN" w:bidi="ar-SA"/>
              </w:rPr>
              <w:t>布袋除尘</w:t>
            </w:r>
          </w:p>
        </w:tc>
        <w:tc>
          <w:tcPr>
            <w:tcW w:w="1208" w:type="pct"/>
            <w:vMerge w:val="continue"/>
            <w:noWrap w:val="0"/>
            <w:vAlign w:val="center"/>
          </w:tcPr>
          <w:p w14:paraId="0ACF55D3">
            <w:pPr>
              <w:adjustRightInd w:val="0"/>
              <w:snapToGrid w:val="0"/>
              <w:spacing w:line="240" w:lineRule="auto"/>
              <w:jc w:val="center"/>
              <w:rPr>
                <w:rFonts w:hint="default" w:ascii="Times New Roman" w:hAnsi="Times New Roman" w:eastAsia="宋体" w:cs="Times New Roman"/>
                <w:color w:val="auto"/>
                <w:kern w:val="0"/>
                <w:sz w:val="21"/>
                <w:szCs w:val="21"/>
                <w:lang w:val="en-US" w:eastAsia="zh-CN" w:bidi="ar"/>
              </w:rPr>
            </w:pPr>
          </w:p>
        </w:tc>
      </w:tr>
      <w:tr w14:paraId="125934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1104" w:hRule="atLeast"/>
          <w:jc w:val="center"/>
        </w:trPr>
        <w:tc>
          <w:tcPr>
            <w:tcW w:w="726" w:type="pct"/>
            <w:vMerge w:val="continue"/>
            <w:noWrap w:val="0"/>
            <w:vAlign w:val="center"/>
          </w:tcPr>
          <w:p w14:paraId="2CF3A579">
            <w:pPr>
              <w:adjustRightInd w:val="0"/>
              <w:snapToGrid w:val="0"/>
              <w:spacing w:line="240" w:lineRule="auto"/>
              <w:jc w:val="center"/>
              <w:rPr>
                <w:rFonts w:hint="default" w:ascii="Times New Roman" w:hAnsi="Times New Roman" w:cs="Times New Roman"/>
                <w:color w:val="auto"/>
                <w:sz w:val="21"/>
                <w:szCs w:val="21"/>
              </w:rPr>
            </w:pPr>
          </w:p>
        </w:tc>
        <w:tc>
          <w:tcPr>
            <w:tcW w:w="1067" w:type="pct"/>
            <w:shd w:val="clear" w:color="auto" w:fill="auto"/>
            <w:noWrap w:val="0"/>
            <w:vAlign w:val="center"/>
          </w:tcPr>
          <w:p w14:paraId="2D6BE33F">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DA013</w:t>
            </w:r>
          </w:p>
        </w:tc>
        <w:tc>
          <w:tcPr>
            <w:tcW w:w="900" w:type="pct"/>
            <w:shd w:val="clear" w:color="auto" w:fill="auto"/>
            <w:noWrap w:val="0"/>
            <w:vAlign w:val="center"/>
          </w:tcPr>
          <w:p w14:paraId="06A31ADB">
            <w:pPr>
              <w:ind w:left="2" w:leftChars="0"/>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snapToGrid w:val="0"/>
                <w:color w:val="auto"/>
                <w:sz w:val="21"/>
                <w:szCs w:val="21"/>
                <w:highlight w:val="none"/>
                <w:vertAlign w:val="baseline"/>
                <w:lang w:val="en-US" w:eastAsia="zh-CN"/>
              </w:rPr>
              <w:t>氯化氢</w:t>
            </w:r>
          </w:p>
        </w:tc>
        <w:tc>
          <w:tcPr>
            <w:tcW w:w="1097" w:type="pct"/>
            <w:vMerge w:val="restart"/>
            <w:shd w:val="clear" w:color="auto" w:fill="auto"/>
            <w:noWrap w:val="0"/>
            <w:vAlign w:val="center"/>
          </w:tcPr>
          <w:p w14:paraId="0AFE1FBF">
            <w:pPr>
              <w:adjustRightInd w:val="0"/>
              <w:snapToGrid w:val="0"/>
              <w:spacing w:line="240" w:lineRule="auto"/>
              <w:jc w:val="center"/>
              <w:rPr>
                <w:rFonts w:hint="default" w:ascii="Times New Roman" w:hAnsi="宋体" w:eastAsia="宋体" w:cs="Times New Roman"/>
                <w:color w:val="auto"/>
                <w:kern w:val="0"/>
                <w:sz w:val="21"/>
                <w:szCs w:val="21"/>
                <w:lang w:val="en-US" w:eastAsia="zh-CN" w:bidi="ar-SA"/>
              </w:rPr>
            </w:pPr>
            <w:r>
              <w:rPr>
                <w:rFonts w:hint="default" w:ascii="Times New Roman" w:hAnsi="Times New Roman" w:cs="Times New Roman"/>
                <w:snapToGrid w:val="0"/>
                <w:color w:val="auto"/>
                <w:kern w:val="2"/>
                <w:sz w:val="21"/>
                <w:szCs w:val="21"/>
                <w:highlight w:val="none"/>
                <w:vertAlign w:val="baseline"/>
                <w:lang w:val="en-US" w:eastAsia="zh-CN" w:bidi="ar-SA"/>
              </w:rPr>
              <w:t>低氮燃烧+旋风除尘器+预浓缩器+吸收塔+酸洗塔+水洗塔</w:t>
            </w:r>
          </w:p>
        </w:tc>
        <w:tc>
          <w:tcPr>
            <w:tcW w:w="1208" w:type="pct"/>
            <w:vMerge w:val="continue"/>
            <w:noWrap w:val="0"/>
            <w:vAlign w:val="center"/>
          </w:tcPr>
          <w:p w14:paraId="15BEF7D7">
            <w:pPr>
              <w:adjustRightInd w:val="0"/>
              <w:snapToGrid w:val="0"/>
              <w:spacing w:line="240" w:lineRule="auto"/>
              <w:jc w:val="center"/>
              <w:rPr>
                <w:rFonts w:hint="default" w:ascii="Times New Roman" w:hAnsi="Times New Roman" w:eastAsia="宋体" w:cs="Times New Roman"/>
                <w:color w:val="auto"/>
                <w:kern w:val="0"/>
                <w:sz w:val="21"/>
                <w:szCs w:val="21"/>
                <w:lang w:val="en-US" w:eastAsia="zh-CN" w:bidi="ar"/>
              </w:rPr>
            </w:pPr>
          </w:p>
        </w:tc>
      </w:tr>
      <w:tr w14:paraId="2344E6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1104" w:hRule="atLeast"/>
          <w:jc w:val="center"/>
        </w:trPr>
        <w:tc>
          <w:tcPr>
            <w:tcW w:w="726" w:type="pct"/>
            <w:vMerge w:val="continue"/>
            <w:noWrap w:val="0"/>
            <w:vAlign w:val="center"/>
          </w:tcPr>
          <w:p w14:paraId="589AEB7C">
            <w:pPr>
              <w:adjustRightInd w:val="0"/>
              <w:snapToGrid w:val="0"/>
              <w:spacing w:line="240" w:lineRule="auto"/>
              <w:jc w:val="center"/>
              <w:rPr>
                <w:rFonts w:hint="default" w:ascii="Times New Roman" w:hAnsi="Times New Roman" w:cs="Times New Roman"/>
                <w:color w:val="auto"/>
                <w:sz w:val="21"/>
                <w:szCs w:val="21"/>
              </w:rPr>
            </w:pPr>
          </w:p>
        </w:tc>
        <w:tc>
          <w:tcPr>
            <w:tcW w:w="1067" w:type="pct"/>
            <w:shd w:val="clear" w:color="auto" w:fill="auto"/>
            <w:noWrap w:val="0"/>
            <w:vAlign w:val="center"/>
          </w:tcPr>
          <w:p w14:paraId="1CC5852A">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DA013</w:t>
            </w:r>
          </w:p>
        </w:tc>
        <w:tc>
          <w:tcPr>
            <w:tcW w:w="900" w:type="pct"/>
            <w:shd w:val="clear" w:color="auto" w:fill="auto"/>
            <w:noWrap w:val="0"/>
            <w:vAlign w:val="center"/>
          </w:tcPr>
          <w:p w14:paraId="0E74B6E3">
            <w:pPr>
              <w:ind w:left="2" w:leftChars="0"/>
              <w:jc w:val="center"/>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snapToGrid w:val="0"/>
                <w:color w:val="auto"/>
                <w:sz w:val="21"/>
                <w:szCs w:val="21"/>
                <w:highlight w:val="none"/>
                <w:vertAlign w:val="baseline"/>
                <w:lang w:val="en-US" w:eastAsia="zh-CN"/>
              </w:rPr>
              <w:t>颗粒物、SO</w:t>
            </w:r>
            <w:r>
              <w:rPr>
                <w:rFonts w:hint="eastAsia" w:cs="Times New Roman"/>
                <w:snapToGrid w:val="0"/>
                <w:color w:val="auto"/>
                <w:sz w:val="21"/>
                <w:szCs w:val="21"/>
                <w:highlight w:val="none"/>
                <w:vertAlign w:val="subscript"/>
                <w:lang w:val="en-US" w:eastAsia="zh-CN"/>
              </w:rPr>
              <w:t>2</w:t>
            </w:r>
            <w:r>
              <w:rPr>
                <w:rFonts w:hint="eastAsia" w:cs="Times New Roman"/>
                <w:snapToGrid w:val="0"/>
                <w:color w:val="auto"/>
                <w:sz w:val="21"/>
                <w:szCs w:val="21"/>
                <w:highlight w:val="none"/>
                <w:vertAlign w:val="baseline"/>
                <w:lang w:val="en-US" w:eastAsia="zh-CN"/>
              </w:rPr>
              <w:t>、NO</w:t>
            </w:r>
            <w:r>
              <w:rPr>
                <w:rFonts w:hint="eastAsia" w:cs="Times New Roman"/>
                <w:snapToGrid w:val="0"/>
                <w:color w:val="auto"/>
                <w:sz w:val="21"/>
                <w:szCs w:val="21"/>
                <w:highlight w:val="none"/>
                <w:vertAlign w:val="subscript"/>
                <w:lang w:val="en-US" w:eastAsia="zh-CN"/>
              </w:rPr>
              <w:t>X</w:t>
            </w:r>
          </w:p>
        </w:tc>
        <w:tc>
          <w:tcPr>
            <w:tcW w:w="1097" w:type="pct"/>
            <w:vMerge w:val="continue"/>
            <w:shd w:val="clear" w:color="auto" w:fill="auto"/>
            <w:noWrap w:val="0"/>
            <w:vAlign w:val="center"/>
          </w:tcPr>
          <w:p w14:paraId="04FD0EF3">
            <w:pPr>
              <w:adjustRightInd w:val="0"/>
              <w:snapToGrid w:val="0"/>
              <w:spacing w:line="240" w:lineRule="auto"/>
              <w:jc w:val="center"/>
              <w:rPr>
                <w:rFonts w:hint="default" w:ascii="Times New Roman" w:hAnsi="宋体" w:eastAsia="宋体" w:cs="Times New Roman"/>
                <w:color w:val="auto"/>
                <w:kern w:val="0"/>
                <w:sz w:val="21"/>
                <w:szCs w:val="21"/>
                <w:lang w:val="en-US" w:eastAsia="zh-CN" w:bidi="ar-SA"/>
              </w:rPr>
            </w:pPr>
          </w:p>
        </w:tc>
        <w:tc>
          <w:tcPr>
            <w:tcW w:w="1208" w:type="pct"/>
            <w:shd w:val="clear" w:color="auto" w:fill="auto"/>
            <w:noWrap w:val="0"/>
            <w:vAlign w:val="center"/>
          </w:tcPr>
          <w:p w14:paraId="1A1DD368">
            <w:pPr>
              <w:keepNext w:val="0"/>
              <w:keepLines w:val="0"/>
              <w:widowControl/>
              <w:suppressLineNumbers w:val="0"/>
              <w:spacing w:line="240" w:lineRule="auto"/>
              <w:ind w:firstLine="0" w:firstLineChars="0"/>
              <w:jc w:val="center"/>
              <w:rPr>
                <w:rFonts w:hint="default" w:ascii="Times New Roman" w:hAnsi="Times New Roman" w:eastAsia="宋体" w:cs="Times New Roman"/>
                <w:color w:val="auto"/>
                <w:kern w:val="0"/>
                <w:sz w:val="18"/>
                <w:szCs w:val="18"/>
                <w:lang w:val="en-US" w:eastAsia="zh-CN" w:bidi="ar"/>
              </w:rPr>
            </w:pPr>
            <w:r>
              <w:rPr>
                <w:rFonts w:hint="eastAsia" w:cs="Times New Roman"/>
                <w:color w:val="auto"/>
                <w:kern w:val="0"/>
                <w:sz w:val="21"/>
                <w:szCs w:val="21"/>
                <w:lang w:val="en-US" w:eastAsia="zh-CN" w:bidi="ar"/>
              </w:rPr>
              <w:t>《工业炉窑大气污染物排放标准》（GB9078-1996）表2及</w:t>
            </w:r>
            <w:r>
              <w:rPr>
                <w:rFonts w:hint="default" w:ascii="Times New Roman" w:hAnsi="Times New Roman" w:eastAsia="宋体" w:cs="Times New Roman"/>
                <w:color w:val="auto"/>
                <w:kern w:val="0"/>
                <w:sz w:val="21"/>
                <w:szCs w:val="21"/>
                <w:lang w:val="en-US" w:eastAsia="zh-CN" w:bidi="ar"/>
              </w:rPr>
              <w:t>《新疆维吾尔自治区工业炉窑大气污染综合治理实施方案》</w:t>
            </w:r>
            <w:r>
              <w:rPr>
                <w:rFonts w:hint="eastAsia" w:cs="Times New Roman"/>
                <w:color w:val="auto"/>
                <w:kern w:val="0"/>
                <w:sz w:val="21"/>
                <w:szCs w:val="21"/>
                <w:lang w:val="en-US" w:eastAsia="zh-CN" w:bidi="ar"/>
              </w:rPr>
              <w:t>（新大气发[2019]127号）重点区域排放限值</w:t>
            </w:r>
          </w:p>
        </w:tc>
      </w:tr>
      <w:tr w14:paraId="1F0399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1126" w:hRule="atLeast"/>
          <w:jc w:val="center"/>
        </w:trPr>
        <w:tc>
          <w:tcPr>
            <w:tcW w:w="726" w:type="pct"/>
            <w:noWrap w:val="0"/>
            <w:vAlign w:val="center"/>
          </w:tcPr>
          <w:p w14:paraId="2C50F781">
            <w:pPr>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地表水环境</w:t>
            </w:r>
          </w:p>
        </w:tc>
        <w:tc>
          <w:tcPr>
            <w:tcW w:w="1067" w:type="pct"/>
            <w:noWrap w:val="0"/>
            <w:vAlign w:val="center"/>
          </w:tcPr>
          <w:p w14:paraId="74486553">
            <w:pPr>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lang w:val="en-US" w:eastAsia="zh-CN"/>
              </w:rPr>
              <w:t>酸性</w:t>
            </w:r>
            <w:r>
              <w:rPr>
                <w:rFonts w:hint="default" w:ascii="Times New Roman" w:hAnsi="Times New Roman" w:cs="Times New Roman"/>
                <w:color w:val="auto"/>
              </w:rPr>
              <w:t>废水、</w:t>
            </w:r>
            <w:r>
              <w:rPr>
                <w:rFonts w:hint="eastAsia" w:cs="Times New Roman"/>
                <w:color w:val="auto"/>
                <w:lang w:val="en-US" w:eastAsia="zh-CN"/>
              </w:rPr>
              <w:t>碱性含油和乳化液废水、MgO废水、带钢喷淋冷却清洗废水、</w:t>
            </w:r>
            <w:r>
              <w:rPr>
                <w:rFonts w:hint="default" w:ascii="Times New Roman" w:hAnsi="Times New Roman" w:cs="Times New Roman"/>
                <w:color w:val="auto"/>
              </w:rPr>
              <w:t>锅炉排污水、</w:t>
            </w:r>
            <w:r>
              <w:rPr>
                <w:rFonts w:hint="eastAsia" w:cs="Times New Roman"/>
                <w:color w:val="auto"/>
                <w:lang w:val="en-US" w:eastAsia="zh-CN"/>
              </w:rPr>
              <w:t>脱盐水</w:t>
            </w:r>
            <w:r>
              <w:rPr>
                <w:rFonts w:hint="default" w:ascii="Times New Roman" w:hAnsi="Times New Roman" w:cs="Times New Roman"/>
                <w:color w:val="auto"/>
              </w:rPr>
              <w:t>制备系统排水</w:t>
            </w:r>
            <w:r>
              <w:rPr>
                <w:rFonts w:hint="eastAsia" w:cs="Times New Roman"/>
                <w:color w:val="auto"/>
                <w:lang w:val="en-US" w:eastAsia="zh-CN"/>
              </w:rPr>
              <w:t>、净循环水系统排污水</w:t>
            </w:r>
            <w:r>
              <w:rPr>
                <w:rFonts w:hint="default" w:ascii="Times New Roman" w:hAnsi="Times New Roman" w:cs="Times New Roman"/>
                <w:color w:val="auto"/>
              </w:rPr>
              <w:t>及生活污水</w:t>
            </w:r>
          </w:p>
        </w:tc>
        <w:tc>
          <w:tcPr>
            <w:tcW w:w="900" w:type="pct"/>
            <w:noWrap w:val="0"/>
            <w:vAlign w:val="center"/>
          </w:tcPr>
          <w:p w14:paraId="2E6646D9">
            <w:pPr>
              <w:adjustRightInd w:val="0"/>
              <w:snapToGrid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COD</w:t>
            </w:r>
          </w:p>
          <w:p w14:paraId="6F7DAFE0">
            <w:pPr>
              <w:adjustRightInd w:val="0"/>
              <w:snapToGrid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SS</w:t>
            </w:r>
          </w:p>
          <w:p w14:paraId="53C25016">
            <w:pPr>
              <w:adjustRightInd w:val="0"/>
              <w:snapToGrid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氨氮</w:t>
            </w:r>
          </w:p>
          <w:p w14:paraId="0BDC4C54">
            <w:pPr>
              <w:adjustRightInd w:val="0"/>
              <w:snapToGrid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石油类</w:t>
            </w:r>
          </w:p>
          <w:p w14:paraId="6050EDBC">
            <w:pPr>
              <w:adjustRightInd w:val="0"/>
              <w:snapToGrid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pH等</w:t>
            </w:r>
          </w:p>
        </w:tc>
        <w:tc>
          <w:tcPr>
            <w:tcW w:w="1097" w:type="pct"/>
            <w:noWrap w:val="0"/>
            <w:vAlign w:val="center"/>
          </w:tcPr>
          <w:p w14:paraId="60D22C32">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常化盐酸酸洗后水洗酸洗废水、硫酸酸洗后水洗废水、两座酸性废气洗涤塔排水，排至酸性废水处理站处理。酸性废水处理站处理规模为20m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/h，处理工艺为调节+中和+絮凝沉淀。</w:t>
            </w:r>
          </w:p>
          <w:p w14:paraId="2F2AF963">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碱性、含油废水包括碱洗工序废水、碱洗后水洗废水、碱性废气洗涤塔排水，排至碱性含油废水处理站处理，处理规模为18m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/h，处理工艺为：碱洗工序废水先进行隔油预处理后再与碱洗后水洗废水、碱性废气洗涤塔排水进行调节+中和+絮凝沉淀+MBR接触氧化处理后排至酸性废水处理站进行处理。</w:t>
            </w:r>
          </w:p>
          <w:p w14:paraId="03F34335">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最终经过处理的酸性废水、碱性、含油和乳化液废水与脱盐水系统排污水、锅炉排污水、净循环水系统排污水、生活污水一起经污水管网排至园区污水处理厂（昌吉高新海天污水处理厂）深度处理。</w:t>
            </w:r>
          </w:p>
        </w:tc>
        <w:tc>
          <w:tcPr>
            <w:tcW w:w="1208" w:type="pct"/>
            <w:noWrap w:val="0"/>
            <w:vAlign w:val="center"/>
          </w:tcPr>
          <w:p w14:paraId="195B1112">
            <w:pPr>
              <w:adjustRightInd w:val="0"/>
              <w:snapToGrid w:val="0"/>
              <w:spacing w:line="240" w:lineRule="auto"/>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钢铁工业水污染物排放标准</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GB13456-2012</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及其修改单表3特别排放限值间接排放要求及园区污水处理厂进水水质要求</w:t>
            </w:r>
          </w:p>
        </w:tc>
      </w:tr>
      <w:tr w14:paraId="33B606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1026" w:hRule="atLeast"/>
          <w:jc w:val="center"/>
        </w:trPr>
        <w:tc>
          <w:tcPr>
            <w:tcW w:w="726" w:type="pct"/>
            <w:noWrap w:val="0"/>
            <w:vAlign w:val="center"/>
          </w:tcPr>
          <w:p w14:paraId="08F3B1CB">
            <w:pPr>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声环境</w:t>
            </w:r>
          </w:p>
        </w:tc>
        <w:tc>
          <w:tcPr>
            <w:tcW w:w="1067" w:type="pct"/>
            <w:noWrap w:val="0"/>
            <w:vAlign w:val="center"/>
          </w:tcPr>
          <w:p w14:paraId="33134EA3">
            <w:pPr>
              <w:adjustRightInd w:val="0"/>
              <w:snapToGrid w:val="0"/>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设备噪声</w:t>
            </w:r>
          </w:p>
        </w:tc>
        <w:tc>
          <w:tcPr>
            <w:tcW w:w="900" w:type="pct"/>
            <w:noWrap w:val="0"/>
            <w:vAlign w:val="center"/>
          </w:tcPr>
          <w:p w14:paraId="67B447F2">
            <w:pPr>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w:t>
            </w:r>
          </w:p>
        </w:tc>
        <w:tc>
          <w:tcPr>
            <w:tcW w:w="1097" w:type="pct"/>
            <w:noWrap w:val="0"/>
            <w:vAlign w:val="center"/>
          </w:tcPr>
          <w:p w14:paraId="42E25DE4">
            <w:pPr>
              <w:pStyle w:val="69"/>
              <w:spacing w:before="24" w:after="24" w:line="240" w:lineRule="auto"/>
              <w:ind w:left="-105" w:leftChars="0" w:right="-105" w:right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采取隔</w:t>
            </w:r>
            <w:r>
              <w:rPr>
                <w:rFonts w:hint="eastAsia" w:ascii="Times New Roman" w:cs="Times New Roman"/>
                <w:color w:val="auto"/>
                <w:sz w:val="21"/>
                <w:szCs w:val="21"/>
                <w:lang w:val="en-US" w:eastAsia="zh-CN"/>
              </w:rPr>
              <w:t>声</w:t>
            </w:r>
            <w:r>
              <w:rPr>
                <w:rFonts w:hint="default" w:ascii="Times New Roman" w:hAnsi="Times New Roman" w:cs="Times New Roman"/>
                <w:color w:val="auto"/>
                <w:sz w:val="21"/>
                <w:szCs w:val="21"/>
              </w:rPr>
              <w:t>、</w:t>
            </w:r>
          </w:p>
          <w:p w14:paraId="03143B86">
            <w:pPr>
              <w:pStyle w:val="69"/>
              <w:spacing w:before="24" w:after="24" w:line="240" w:lineRule="auto"/>
              <w:ind w:left="-105" w:leftChars="0" w:right="-105" w:rightChars="0"/>
              <w:jc w:val="center"/>
              <w:rPr>
                <w:rFonts w:hint="default" w:ascii="Times New Roman" w:hAnsi="宋体" w:eastAsia="宋体" w:cs="Times New Roman"/>
                <w:color w:val="auto"/>
                <w:kern w:val="0"/>
                <w:sz w:val="21"/>
                <w:szCs w:val="21"/>
                <w:lang w:val="en-US" w:eastAsia="zh-CN" w:bidi="ar-SA"/>
              </w:rPr>
            </w:pPr>
            <w:r>
              <w:rPr>
                <w:rFonts w:hint="default" w:ascii="Times New Roman" w:hAnsi="Times New Roman" w:cs="Times New Roman"/>
                <w:color w:val="auto"/>
                <w:sz w:val="21"/>
                <w:szCs w:val="21"/>
              </w:rPr>
              <w:t>减振</w:t>
            </w:r>
            <w:r>
              <w:rPr>
                <w:rFonts w:hint="eastAsia" w:ascii="Times New Roman" w:cs="Times New Roman"/>
                <w:color w:val="auto"/>
                <w:sz w:val="21"/>
                <w:szCs w:val="21"/>
                <w:lang w:eastAsia="zh-CN"/>
              </w:rPr>
              <w:t>、</w:t>
            </w:r>
            <w:r>
              <w:rPr>
                <w:rFonts w:hint="eastAsia" w:ascii="Times New Roman" w:cs="Times New Roman"/>
                <w:color w:val="auto"/>
                <w:sz w:val="21"/>
                <w:szCs w:val="21"/>
                <w:lang w:val="en-US" w:eastAsia="zh-CN"/>
              </w:rPr>
              <w:t>消声</w:t>
            </w:r>
            <w:r>
              <w:rPr>
                <w:rFonts w:hint="default" w:ascii="Times New Roman" w:hAnsi="Times New Roman" w:cs="Times New Roman"/>
                <w:color w:val="auto"/>
                <w:sz w:val="21"/>
                <w:szCs w:val="21"/>
              </w:rPr>
              <w:t>等</w:t>
            </w:r>
          </w:p>
        </w:tc>
        <w:tc>
          <w:tcPr>
            <w:tcW w:w="1208" w:type="pct"/>
            <w:noWrap w:val="0"/>
            <w:vAlign w:val="center"/>
          </w:tcPr>
          <w:p w14:paraId="7F63AE5A">
            <w:pPr>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《工业企业厂界噪声排放标准》（GB12348-2008）</w:t>
            </w:r>
            <w:r>
              <w:rPr>
                <w:rFonts w:hint="eastAsia" w:cs="Times New Roman"/>
                <w:color w:val="auto"/>
                <w:sz w:val="21"/>
                <w:szCs w:val="21"/>
                <w:lang w:val="en-US" w:eastAsia="zh-CN"/>
              </w:rPr>
              <w:t>3</w:t>
            </w:r>
            <w:r>
              <w:rPr>
                <w:rFonts w:hint="default" w:ascii="Times New Roman" w:hAnsi="Times New Roman" w:cs="Times New Roman"/>
                <w:color w:val="auto"/>
                <w:sz w:val="21"/>
                <w:szCs w:val="21"/>
              </w:rPr>
              <w:t>类标准</w:t>
            </w:r>
          </w:p>
        </w:tc>
      </w:tr>
      <w:tr w14:paraId="1960D7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367" w:hRule="atLeast"/>
          <w:jc w:val="center"/>
        </w:trPr>
        <w:tc>
          <w:tcPr>
            <w:tcW w:w="726" w:type="pct"/>
            <w:noWrap w:val="0"/>
            <w:vAlign w:val="center"/>
          </w:tcPr>
          <w:p w14:paraId="364ED149">
            <w:pPr>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电磁辐射</w:t>
            </w:r>
          </w:p>
        </w:tc>
        <w:tc>
          <w:tcPr>
            <w:tcW w:w="1067" w:type="pct"/>
            <w:noWrap w:val="0"/>
            <w:vAlign w:val="center"/>
          </w:tcPr>
          <w:p w14:paraId="23298D12">
            <w:pPr>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900" w:type="pct"/>
            <w:noWrap w:val="0"/>
            <w:vAlign w:val="center"/>
          </w:tcPr>
          <w:p w14:paraId="203133D9">
            <w:pPr>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97" w:type="pct"/>
            <w:noWrap w:val="0"/>
            <w:vAlign w:val="center"/>
          </w:tcPr>
          <w:p w14:paraId="65D3341F">
            <w:pPr>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208" w:type="pct"/>
            <w:noWrap w:val="0"/>
            <w:vAlign w:val="center"/>
          </w:tcPr>
          <w:p w14:paraId="22953D78">
            <w:pPr>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18284A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466" w:hRule="atLeast"/>
          <w:jc w:val="center"/>
        </w:trPr>
        <w:tc>
          <w:tcPr>
            <w:tcW w:w="726" w:type="pct"/>
            <w:noWrap w:val="0"/>
            <w:vAlign w:val="center"/>
          </w:tcPr>
          <w:p w14:paraId="23713ED0">
            <w:pPr>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固体废物</w:t>
            </w:r>
          </w:p>
        </w:tc>
        <w:tc>
          <w:tcPr>
            <w:tcW w:w="4273" w:type="pct"/>
            <w:gridSpan w:val="4"/>
            <w:noWrap w:val="0"/>
            <w:vAlign w:val="center"/>
          </w:tcPr>
          <w:p w14:paraId="5365941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contextualSpacing/>
              <w:jc w:val="both"/>
              <w:textAlignment w:val="auto"/>
              <w:rPr>
                <w:rFonts w:hint="default"/>
                <w:color w:val="auto"/>
                <w:sz w:val="21"/>
                <w:szCs w:val="21"/>
                <w:highlight w:val="none"/>
                <w:lang w:val="en-US" w:eastAsia="zh-CN"/>
              </w:rPr>
            </w:pPr>
            <w:r>
              <w:rPr>
                <w:rFonts w:hint="eastAsia"/>
                <w:color w:val="auto"/>
                <w:sz w:val="21"/>
                <w:szCs w:val="21"/>
                <w:highlight w:val="none"/>
                <w:lang w:val="en-US" w:eastAsia="zh-CN"/>
              </w:rPr>
              <w:t>各工序切头切尾边角料</w:t>
            </w:r>
            <w:r>
              <w:rPr>
                <w:rFonts w:hint="eastAsia" w:ascii="Times New Roman" w:hAnsi="Times New Roman"/>
                <w:color w:val="auto"/>
                <w:sz w:val="21"/>
                <w:szCs w:val="21"/>
                <w:highlight w:val="none"/>
              </w:rPr>
              <w:t>、</w:t>
            </w:r>
            <w:r>
              <w:rPr>
                <w:rFonts w:hint="eastAsia"/>
                <w:color w:val="auto"/>
                <w:sz w:val="21"/>
                <w:szCs w:val="21"/>
                <w:highlight w:val="none"/>
                <w:lang w:val="en-US" w:eastAsia="zh-CN"/>
              </w:rPr>
              <w:t>焊渣、废耐火材料、MgO废水沉淀池沉渣、带钢喷淋冷却废水沉淀池沉渣、废布袋及除尘灰、浊循环系统废过滤器、脱盐水系统产生的废多介质及活性炭过滤器、废包装材料、滤渣及氧化铁粉收集后外售综合利用；废反渗透膜厂家回收；制氮系统废分子筛委托第三方处置；</w:t>
            </w:r>
          </w:p>
          <w:p w14:paraId="5B31F5B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contextualSpacing/>
              <w:jc w:val="both"/>
              <w:textAlignment w:val="auto"/>
              <w:rPr>
                <w:rFonts w:hint="default"/>
                <w:color w:val="auto"/>
                <w:sz w:val="21"/>
                <w:szCs w:val="21"/>
                <w:highlight w:val="none"/>
                <w:lang w:val="en-US" w:eastAsia="zh-CN"/>
              </w:rPr>
            </w:pPr>
            <w:r>
              <w:rPr>
                <w:rFonts w:hint="eastAsia"/>
                <w:color w:val="auto"/>
                <w:sz w:val="21"/>
                <w:szCs w:val="21"/>
                <w:highlight w:val="none"/>
                <w:lang w:val="en-US" w:eastAsia="zh-CN"/>
              </w:rPr>
              <w:t>酸洗废液进行再生，酸再生废滤渣、油雾净化器废油及废滤网、碱洗槽滤渣及槽渣、酸洗槽滤渣及槽渣、酸性废水污水站污泥、碱性含油及乳化液废水污水站浮油及污泥、废液压油、废齿轮油、废弃的含油抹布和劳保用品、废透平油委托有资质单位处置。</w:t>
            </w:r>
          </w:p>
        </w:tc>
      </w:tr>
      <w:tr w14:paraId="0637A7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792" w:hRule="atLeast"/>
          <w:jc w:val="center"/>
        </w:trPr>
        <w:tc>
          <w:tcPr>
            <w:tcW w:w="726" w:type="pct"/>
            <w:noWrap w:val="0"/>
            <w:vAlign w:val="center"/>
          </w:tcPr>
          <w:p w14:paraId="282FB63A">
            <w:pPr>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土壤及地下水</w:t>
            </w:r>
          </w:p>
          <w:p w14:paraId="51930AFD">
            <w:pPr>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污染防治措施</w:t>
            </w:r>
          </w:p>
        </w:tc>
        <w:tc>
          <w:tcPr>
            <w:tcW w:w="4273" w:type="pct"/>
            <w:gridSpan w:val="4"/>
            <w:noWrap w:val="0"/>
            <w:vAlign w:val="center"/>
          </w:tcPr>
          <w:p w14:paraId="62AC9F94">
            <w:pPr>
              <w:pStyle w:val="20"/>
              <w:adjustRightInd w:val="0"/>
              <w:spacing w:after="0" w:line="360" w:lineRule="auto"/>
              <w:ind w:left="0" w:leftChars="0" w:firstLine="420" w:firstLineChars="200"/>
              <w:rPr>
                <w:rFonts w:hint="default" w:ascii="Times New Roman" w:hAnsi="Times New Roman" w:eastAsia="宋体"/>
                <w:color w:val="auto"/>
                <w:sz w:val="21"/>
                <w:szCs w:val="21"/>
                <w:lang w:val="en-US"/>
              </w:rPr>
            </w:pPr>
            <w:r>
              <w:rPr>
                <w:rFonts w:hint="eastAsia" w:ascii="Times New Roman" w:hAnsi="Times New Roman" w:eastAsia="宋体"/>
                <w:color w:val="auto"/>
                <w:sz w:val="21"/>
                <w:szCs w:val="21"/>
                <w:lang w:val="en-US" w:eastAsia="zh-CN"/>
              </w:rPr>
              <w:t>对于地下水</w:t>
            </w:r>
            <w:r>
              <w:rPr>
                <w:rFonts w:hint="eastAsia"/>
                <w:color w:val="auto"/>
                <w:sz w:val="21"/>
                <w:szCs w:val="21"/>
                <w:lang w:val="en-US" w:eastAsia="zh-CN"/>
              </w:rPr>
              <w:t>污染</w:t>
            </w:r>
            <w:r>
              <w:rPr>
                <w:rFonts w:hint="eastAsia" w:ascii="Times New Roman" w:hAnsi="Times New Roman" w:eastAsia="宋体"/>
                <w:color w:val="auto"/>
                <w:sz w:val="21"/>
                <w:szCs w:val="21"/>
                <w:lang w:val="en-US" w:eastAsia="zh-CN"/>
              </w:rPr>
              <w:t>和土</w:t>
            </w:r>
            <w:r>
              <w:rPr>
                <w:rFonts w:hint="eastAsia"/>
                <w:color w:val="auto"/>
                <w:sz w:val="21"/>
                <w:szCs w:val="21"/>
                <w:lang w:val="en-US" w:eastAsia="zh-CN"/>
              </w:rPr>
              <w:t>壤污</w:t>
            </w:r>
            <w:r>
              <w:rPr>
                <w:rFonts w:hint="eastAsia" w:ascii="Times New Roman" w:hAnsi="Times New Roman" w:eastAsia="宋体"/>
                <w:color w:val="auto"/>
                <w:sz w:val="21"/>
                <w:szCs w:val="21"/>
                <w:lang w:val="en-US" w:eastAsia="zh-CN"/>
              </w:rPr>
              <w:t>染防治首先进行源头控制，主要包括提出实施清洁生产及各类废物循环利用的具体方案，减少污染物的产生量；提出工艺、管道、设备、污水储存及处理构筑物应采取的控制措施或防渗措施，防止污染物的跑、冒、滴、漏，将污染物泄漏导致的环境风险事故降到最低限度。本项目应对可能造成地下水污染的装置或设施所在位置及周边进行防渗。管线敷设尽量采用“可视化”原则，即管道尽可</w:t>
            </w:r>
            <w:r>
              <w:rPr>
                <w:rFonts w:hint="eastAsia"/>
                <w:color w:val="auto"/>
                <w:sz w:val="21"/>
                <w:szCs w:val="21"/>
                <w:lang w:val="en-US" w:eastAsia="zh-CN"/>
              </w:rPr>
              <w:t>能在</w:t>
            </w:r>
            <w:r>
              <w:rPr>
                <w:rFonts w:hint="eastAsia" w:ascii="Times New Roman" w:hAnsi="Times New Roman" w:eastAsia="宋体"/>
                <w:color w:val="auto"/>
                <w:sz w:val="21"/>
                <w:szCs w:val="21"/>
                <w:lang w:val="en-US" w:eastAsia="zh-CN"/>
              </w:rPr>
              <w:t>地上敷设或布置在可视化的管沟内，做到污染物“早发现、早处理”，减少由于埋地管道泄漏而造成的地下水污染。</w:t>
            </w:r>
            <w:r>
              <w:rPr>
                <w:rFonts w:hint="eastAsia"/>
                <w:color w:val="auto"/>
                <w:sz w:val="21"/>
                <w:szCs w:val="21"/>
                <w:lang w:val="en-US" w:eastAsia="zh-CN"/>
              </w:rPr>
              <w:t>应按照</w:t>
            </w:r>
            <w:r>
              <w:rPr>
                <w:rFonts w:hint="eastAsia" w:ascii="Times New Roman" w:hAnsi="Times New Roman" w:eastAsia="宋体"/>
                <w:color w:val="auto"/>
                <w:sz w:val="21"/>
                <w:szCs w:val="21"/>
                <w:lang w:val="en-US" w:eastAsia="zh-CN"/>
              </w:rPr>
              <w:t>《环境影响评价技术导则地下水环境》（HJ610-2016）</w:t>
            </w:r>
            <w:r>
              <w:rPr>
                <w:rFonts w:hint="eastAsia"/>
                <w:color w:val="auto"/>
                <w:sz w:val="21"/>
                <w:szCs w:val="21"/>
                <w:lang w:val="en-US" w:eastAsia="zh-CN"/>
              </w:rPr>
              <w:t>做好防渗分区。</w:t>
            </w:r>
          </w:p>
          <w:p w14:paraId="5E548980">
            <w:pPr>
              <w:pStyle w:val="20"/>
              <w:adjustRightInd w:val="0"/>
              <w:spacing w:after="0" w:line="360" w:lineRule="auto"/>
              <w:ind w:left="0" w:leftChars="0" w:firstLine="420" w:firstLineChars="200"/>
              <w:rPr>
                <w:rFonts w:hint="default" w:ascii="Times New Roman" w:hAnsi="Times New Roman" w:eastAsia="宋体" w:cs="Times New Roman"/>
                <w:color w:val="auto"/>
                <w:sz w:val="21"/>
                <w:szCs w:val="21"/>
                <w:lang w:val="en-US" w:eastAsia="zh-CN"/>
              </w:rPr>
            </w:pPr>
            <w:r>
              <w:rPr>
                <w:rFonts w:ascii="Times New Roman" w:hAnsi="Times New Roman" w:eastAsia="宋体"/>
                <w:color w:val="auto"/>
                <w:sz w:val="21"/>
                <w:szCs w:val="21"/>
              </w:rPr>
              <w:t>为防止项目建成运营后对周围土壤环境造成污染，企业应定期维护、检修废气处理设施；加强环境保护工作，制定环境管理制度，同时强化风险防范意识，如遇生产设施不能正常运转，企业应立即停产检修。</w:t>
            </w:r>
          </w:p>
        </w:tc>
      </w:tr>
      <w:tr w14:paraId="6DDDD6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585" w:hRule="atLeast"/>
          <w:jc w:val="center"/>
        </w:trPr>
        <w:tc>
          <w:tcPr>
            <w:tcW w:w="726" w:type="pct"/>
            <w:noWrap w:val="0"/>
            <w:vAlign w:val="center"/>
          </w:tcPr>
          <w:p w14:paraId="001B6128">
            <w:pPr>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生态保护措施</w:t>
            </w:r>
          </w:p>
        </w:tc>
        <w:tc>
          <w:tcPr>
            <w:tcW w:w="4273" w:type="pct"/>
            <w:gridSpan w:val="4"/>
            <w:noWrap w:val="0"/>
            <w:vAlign w:val="center"/>
          </w:tcPr>
          <w:p w14:paraId="2C3481F9">
            <w:pPr>
              <w:adjustRightInd w:val="0"/>
              <w:snapToGrid w:val="0"/>
              <w:spacing w:line="240" w:lineRule="auto"/>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w:t>
            </w:r>
          </w:p>
        </w:tc>
      </w:tr>
      <w:tr w14:paraId="7F99E2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0" w:hRule="atLeast"/>
          <w:jc w:val="center"/>
        </w:trPr>
        <w:tc>
          <w:tcPr>
            <w:tcW w:w="726" w:type="pct"/>
            <w:noWrap w:val="0"/>
            <w:vAlign w:val="center"/>
          </w:tcPr>
          <w:p w14:paraId="24414158">
            <w:pPr>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w:t>
            </w:r>
          </w:p>
          <w:p w14:paraId="4D77D630">
            <w:pPr>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防范措施</w:t>
            </w:r>
          </w:p>
        </w:tc>
        <w:tc>
          <w:tcPr>
            <w:tcW w:w="4273" w:type="pct"/>
            <w:gridSpan w:val="4"/>
            <w:noWrap w:val="0"/>
            <w:vAlign w:val="center"/>
          </w:tcPr>
          <w:p w14:paraId="4E306AC3">
            <w:pPr>
              <w:spacing w:line="360" w:lineRule="auto"/>
              <w:ind w:firstLine="420" w:firstLineChars="200"/>
              <w:rPr>
                <w:rFonts w:hint="eastAsia" w:ascii="Times New Roman" w:hAnsi="Times New Roman" w:eastAsia="宋体" w:cs="Times New Roman"/>
                <w:color w:val="auto"/>
                <w:sz w:val="21"/>
                <w:szCs w:val="21"/>
                <w:lang w:val="en-US" w:eastAsia="zh-CN"/>
              </w:rPr>
            </w:pPr>
            <w:r>
              <w:rPr>
                <w:rFonts w:hint="eastAsia" w:cs="Times New Roman"/>
                <w:color w:val="auto"/>
                <w:szCs w:val="21"/>
                <w:highlight w:val="none"/>
                <w:lang w:val="en-US" w:eastAsia="zh-CN"/>
              </w:rPr>
              <w:t>1、</w:t>
            </w:r>
            <w:r>
              <w:rPr>
                <w:rFonts w:hint="eastAsia" w:ascii="Times New Roman" w:hAnsi="Times New Roman" w:eastAsia="宋体" w:cs="Times New Roman"/>
                <w:color w:val="auto"/>
                <w:szCs w:val="21"/>
                <w:highlight w:val="none"/>
              </w:rPr>
              <w:t>按《建筑设计防火规范》等规范要求进行设计，设备选型符合国家有关设备安全规范要求，各风险单元配套完善的消防设施；2、各危险单元针对危险物质特性和风险类型设置可燃或有毒气体报警装置；3、建设厂区三级防控体系，确保事故水有效收集；4、制定企业应急预案，并与园区应急预案体系相衔接，形成联动应急预案体系</w:t>
            </w:r>
            <w:r>
              <w:rPr>
                <w:rFonts w:hint="eastAsia" w:ascii="Times New Roman" w:hAnsi="Times New Roman" w:eastAsia="宋体" w:cs="Times New Roman"/>
                <w:color w:val="auto"/>
                <w:szCs w:val="21"/>
                <w:highlight w:val="none"/>
                <w:lang w:val="en-US" w:eastAsia="zh-CN"/>
              </w:rPr>
              <w:t>等</w:t>
            </w:r>
            <w:r>
              <w:rPr>
                <w:rFonts w:hint="eastAsia" w:cs="Times New Roman"/>
                <w:color w:val="auto"/>
                <w:szCs w:val="21"/>
                <w:highlight w:val="none"/>
                <w:lang w:val="en-US" w:eastAsia="zh-CN"/>
              </w:rPr>
              <w:t>。</w:t>
            </w:r>
          </w:p>
        </w:tc>
      </w:tr>
      <w:tr w14:paraId="4B84F8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57" w:type="dxa"/>
            <w:bottom w:w="57" w:type="dxa"/>
            <w:right w:w="57" w:type="dxa"/>
          </w:tblCellMar>
        </w:tblPrEx>
        <w:trPr>
          <w:trHeight w:val="0" w:hRule="atLeast"/>
          <w:jc w:val="center"/>
        </w:trPr>
        <w:tc>
          <w:tcPr>
            <w:tcW w:w="726" w:type="pct"/>
            <w:noWrap w:val="0"/>
            <w:vAlign w:val="center"/>
          </w:tcPr>
          <w:p w14:paraId="3972EF99">
            <w:pPr>
              <w:adjustRightInd w:val="0"/>
              <w:snapToGrid w:val="0"/>
              <w:spacing w:line="240" w:lineRule="auto"/>
              <w:jc w:val="center"/>
              <w:rPr>
                <w:rFonts w:hint="default" w:ascii="Times New Roman" w:hAnsi="Times New Roman" w:cs="Times New Roman"/>
                <w:color w:val="auto"/>
                <w:spacing w:val="-8"/>
                <w:sz w:val="21"/>
                <w:szCs w:val="21"/>
              </w:rPr>
            </w:pPr>
            <w:r>
              <w:rPr>
                <w:rFonts w:hint="default" w:ascii="Times New Roman" w:hAnsi="Times New Roman" w:cs="Times New Roman"/>
                <w:color w:val="auto"/>
                <w:spacing w:val="-8"/>
                <w:sz w:val="21"/>
                <w:szCs w:val="21"/>
              </w:rPr>
              <w:t>其他环境</w:t>
            </w:r>
          </w:p>
          <w:p w14:paraId="31755300">
            <w:pPr>
              <w:adjustRightInd w:val="0"/>
              <w:snapToGrid w:val="0"/>
              <w:spacing w:line="240" w:lineRule="auto"/>
              <w:jc w:val="center"/>
              <w:rPr>
                <w:rFonts w:hint="eastAsia" w:ascii="Times New Roman" w:hAnsi="Times New Roman" w:eastAsia="宋体" w:cs="Times New Roman"/>
                <w:color w:val="auto"/>
                <w:spacing w:val="-8"/>
                <w:sz w:val="21"/>
                <w:szCs w:val="21"/>
                <w:lang w:val="en-US" w:eastAsia="zh-CN"/>
              </w:rPr>
            </w:pPr>
            <w:r>
              <w:rPr>
                <w:rFonts w:hint="default" w:ascii="Times New Roman" w:hAnsi="Times New Roman" w:cs="Times New Roman"/>
                <w:color w:val="auto"/>
                <w:spacing w:val="-8"/>
                <w:sz w:val="21"/>
                <w:szCs w:val="21"/>
              </w:rPr>
              <w:t>管理要求</w:t>
            </w:r>
          </w:p>
        </w:tc>
        <w:tc>
          <w:tcPr>
            <w:tcW w:w="4273" w:type="pct"/>
            <w:gridSpan w:val="4"/>
            <w:noWrap w:val="0"/>
            <w:vAlign w:val="center"/>
          </w:tcPr>
          <w:p w14:paraId="73573AD7">
            <w:pPr>
              <w:pStyle w:val="203"/>
              <w:keepNext w:val="0"/>
              <w:keepLines w:val="0"/>
              <w:pageBreakBefore w:val="0"/>
              <w:widowControl/>
              <w:kinsoku/>
              <w:wordWrap/>
              <w:overflowPunct/>
              <w:topLinePunct w:val="0"/>
              <w:autoSpaceDE/>
              <w:autoSpaceDN/>
              <w:bidi w:val="0"/>
              <w:adjustRightInd w:val="0"/>
              <w:snapToGrid w:val="0"/>
              <w:spacing w:line="360" w:lineRule="auto"/>
              <w:ind w:right="0" w:firstLine="420" w:firstLineChars="200"/>
              <w:jc w:val="both"/>
              <w:textAlignment w:val="auto"/>
              <w:rPr>
                <w:rFonts w:hint="default" w:ascii="Times New Roman" w:hAnsi="Times New Roman" w:eastAsia="宋体" w:cs="Times New Roman"/>
                <w:b w:val="0"/>
                <w:bCs w:val="0"/>
                <w:snapToGrid/>
                <w:color w:val="auto"/>
                <w:kern w:val="2"/>
                <w:sz w:val="21"/>
                <w:szCs w:val="21"/>
                <w:highlight w:val="none"/>
                <w:lang w:val="en-US" w:eastAsia="zh-CN" w:bidi="ar-SA"/>
              </w:rPr>
            </w:pPr>
            <w:r>
              <w:rPr>
                <w:rFonts w:hint="default" w:ascii="Times New Roman" w:hAnsi="Times New Roman" w:eastAsia="宋体" w:cs="Times New Roman"/>
                <w:b w:val="0"/>
                <w:bCs w:val="0"/>
                <w:snapToGrid/>
                <w:color w:val="auto"/>
                <w:kern w:val="2"/>
                <w:sz w:val="21"/>
                <w:szCs w:val="21"/>
                <w:highlight w:val="none"/>
                <w:lang w:val="en-US" w:eastAsia="zh-CN" w:bidi="ar-SA"/>
              </w:rPr>
              <w:t>（1）排污口规范化内容</w:t>
            </w:r>
          </w:p>
          <w:p w14:paraId="14AE196E">
            <w:pPr>
              <w:keepNext w:val="0"/>
              <w:keepLines w:val="0"/>
              <w:pageBreakBefore w:val="0"/>
              <w:kinsoku/>
              <w:wordWrap/>
              <w:overflowPunct/>
              <w:topLinePunct w:val="0"/>
              <w:autoSpaceDE/>
              <w:autoSpaceDN/>
              <w:bidi w:val="0"/>
              <w:adjustRightInd w:val="0"/>
              <w:snapToGrid w:val="0"/>
              <w:spacing w:line="360" w:lineRule="auto"/>
              <w:ind w:right="0" w:firstLine="420" w:firstLineChars="200"/>
              <w:jc w:val="both"/>
              <w:textAlignment w:val="auto"/>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按《环境保护图形标志—排放口（源）》（GB15562.1-1995）规定的图形，在各气、水、声排污口（源）挂牌标识，做到各排污口（源）的环保标志明显，便于企业管理和公众监督。</w:t>
            </w:r>
          </w:p>
          <w:p w14:paraId="2094F9A3">
            <w:pPr>
              <w:keepNext w:val="0"/>
              <w:keepLines w:val="0"/>
              <w:pageBreakBefore w:val="0"/>
              <w:kinsoku/>
              <w:wordWrap/>
              <w:overflowPunct/>
              <w:topLinePunct w:val="0"/>
              <w:autoSpaceDE/>
              <w:autoSpaceDN/>
              <w:bidi w:val="0"/>
              <w:adjustRightInd w:val="0"/>
              <w:snapToGrid w:val="0"/>
              <w:spacing w:line="360" w:lineRule="auto"/>
              <w:ind w:right="0" w:firstLine="420" w:firstLineChars="200"/>
              <w:jc w:val="both"/>
              <w:textAlignment w:val="auto"/>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污染物排放口的环保图形标志牌应设置在靠近采样点的醒目位置处，标志牌设置高度为其上缘距地面约2m。</w:t>
            </w:r>
            <w:r>
              <w:rPr>
                <w:rFonts w:hint="default" w:ascii="Times New Roman" w:hAnsi="Times New Roman" w:eastAsia="宋体" w:cs="Times New Roman"/>
                <w:b w:val="0"/>
                <w:bCs w:val="0"/>
                <w:color w:val="auto"/>
                <w:spacing w:val="0"/>
                <w:w w:val="100"/>
                <w:position w:val="0"/>
                <w:sz w:val="21"/>
                <w:szCs w:val="21"/>
                <w:highlight w:val="none"/>
                <w:lang w:eastAsia="zh-CN"/>
              </w:rPr>
              <w:t>本项目为</w:t>
            </w:r>
            <w:r>
              <w:rPr>
                <w:rFonts w:hint="default" w:ascii="Times New Roman" w:hAnsi="Times New Roman" w:eastAsia="宋体" w:cs="Times New Roman"/>
                <w:b w:val="0"/>
                <w:bCs w:val="0"/>
                <w:color w:val="auto"/>
                <w:spacing w:val="0"/>
                <w:w w:val="100"/>
                <w:position w:val="0"/>
                <w:sz w:val="21"/>
                <w:szCs w:val="21"/>
                <w:highlight w:val="none"/>
              </w:rPr>
              <w:t>一般排污单位</w:t>
            </w:r>
            <w:r>
              <w:rPr>
                <w:rFonts w:hint="default" w:ascii="Times New Roman" w:hAnsi="Times New Roman" w:eastAsia="宋体" w:cs="Times New Roman"/>
                <w:b w:val="0"/>
                <w:bCs w:val="0"/>
                <w:color w:val="auto"/>
                <w:spacing w:val="0"/>
                <w:w w:val="100"/>
                <w:position w:val="0"/>
                <w:sz w:val="21"/>
                <w:szCs w:val="21"/>
                <w:highlight w:val="none"/>
                <w:lang w:eastAsia="zh-CN"/>
              </w:rPr>
              <w:t>，</w:t>
            </w:r>
            <w:r>
              <w:rPr>
                <w:rFonts w:hint="default" w:ascii="Times New Roman" w:hAnsi="Times New Roman" w:eastAsia="宋体" w:cs="Times New Roman"/>
                <w:b w:val="0"/>
                <w:bCs w:val="0"/>
                <w:color w:val="auto"/>
                <w:spacing w:val="0"/>
                <w:w w:val="100"/>
                <w:position w:val="0"/>
                <w:sz w:val="21"/>
                <w:szCs w:val="21"/>
                <w:highlight w:val="none"/>
              </w:rPr>
              <w:t>污染物排放口或固体废物贮存处置场地可以根据情况设置立式或平面固定式标志牌。一般污染物排放口、固体废物贮存堆放场地设置提示性环境保护图形标志牌。</w:t>
            </w:r>
          </w:p>
          <w:p w14:paraId="7D6D9C3A">
            <w:pPr>
              <w:keepNext w:val="0"/>
              <w:keepLines w:val="0"/>
              <w:pageBreakBefore w:val="0"/>
              <w:kinsoku/>
              <w:wordWrap/>
              <w:overflowPunct/>
              <w:topLinePunct w:val="0"/>
              <w:autoSpaceDE/>
              <w:autoSpaceDN/>
              <w:bidi w:val="0"/>
              <w:adjustRightInd w:val="0"/>
              <w:snapToGrid w:val="0"/>
              <w:spacing w:line="360" w:lineRule="auto"/>
              <w:ind w:right="0" w:rightChars="0" w:firstLine="420" w:firstLineChars="200"/>
              <w:jc w:val="both"/>
              <w:textAlignment w:val="auto"/>
              <w:rPr>
                <w:rFonts w:hint="eastAsia" w:ascii="Times New Roman" w:hAnsi="Times New Roman" w:eastAsia="宋体" w:cs="Times New Roman"/>
                <w:b w:val="0"/>
                <w:bCs w:val="0"/>
                <w:color w:val="auto"/>
                <w:spacing w:val="0"/>
                <w:w w:val="100"/>
                <w:position w:val="0"/>
                <w:sz w:val="21"/>
                <w:szCs w:val="21"/>
                <w:highlight w:val="none"/>
                <w:lang w:eastAsia="zh-CN"/>
              </w:rPr>
            </w:pPr>
            <w:r>
              <w:rPr>
                <w:rFonts w:hint="default" w:ascii="Times New Roman" w:hAnsi="Times New Roman" w:eastAsia="宋体" w:cs="Times New Roman"/>
                <w:b w:val="0"/>
                <w:bCs w:val="0"/>
                <w:color w:val="auto"/>
                <w:spacing w:val="0"/>
                <w:w w:val="100"/>
                <w:position w:val="0"/>
                <w:sz w:val="21"/>
                <w:szCs w:val="21"/>
                <w:highlight w:val="none"/>
              </w:rPr>
              <w:t>环境保护图形标志具体设置图形见表</w:t>
            </w:r>
            <w:r>
              <w:rPr>
                <w:rFonts w:hint="default" w:ascii="Times New Roman" w:hAnsi="Times New Roman" w:eastAsia="宋体" w:cs="Times New Roman"/>
                <w:b w:val="0"/>
                <w:bCs w:val="0"/>
                <w:color w:val="auto"/>
                <w:spacing w:val="0"/>
                <w:w w:val="100"/>
                <w:position w:val="0"/>
                <w:sz w:val="21"/>
                <w:szCs w:val="21"/>
                <w:highlight w:val="none"/>
                <w:lang w:val="en-US" w:eastAsia="zh-CN"/>
              </w:rPr>
              <w:t>5</w:t>
            </w:r>
            <w:r>
              <w:rPr>
                <w:rFonts w:hint="default" w:ascii="Times New Roman" w:hAnsi="Times New Roman" w:eastAsia="宋体" w:cs="Times New Roman"/>
                <w:b w:val="0"/>
                <w:bCs w:val="0"/>
                <w:color w:val="auto"/>
                <w:spacing w:val="0"/>
                <w:w w:val="100"/>
                <w:position w:val="0"/>
                <w:sz w:val="21"/>
                <w:szCs w:val="21"/>
                <w:highlight w:val="none"/>
              </w:rPr>
              <w:t>-1</w:t>
            </w:r>
            <w:r>
              <w:rPr>
                <w:rFonts w:hint="eastAsia" w:ascii="Times New Roman" w:hAnsi="Times New Roman" w:eastAsia="宋体" w:cs="Times New Roman"/>
                <w:b w:val="0"/>
                <w:bCs w:val="0"/>
                <w:color w:val="auto"/>
                <w:spacing w:val="0"/>
                <w:w w:val="100"/>
                <w:position w:val="0"/>
                <w:sz w:val="21"/>
                <w:szCs w:val="21"/>
                <w:highlight w:val="none"/>
                <w:lang w:eastAsia="zh-CN"/>
              </w:rPr>
              <w:t>。</w:t>
            </w:r>
          </w:p>
          <w:p w14:paraId="63A4C696">
            <w:pPr>
              <w:spacing w:line="360" w:lineRule="auto"/>
              <w:jc w:val="center"/>
              <w:rPr>
                <w:rFonts w:ascii="Times New Roman" w:hAnsi="Times New Roman" w:eastAsia="黑体"/>
                <w:bCs/>
                <w:color w:val="auto"/>
                <w:spacing w:val="2"/>
                <w:sz w:val="21"/>
                <w:szCs w:val="21"/>
              </w:rPr>
            </w:pPr>
            <w:r>
              <w:rPr>
                <w:rFonts w:ascii="Times New Roman" w:hAnsi="Times New Roman" w:eastAsia="黑体"/>
                <w:bCs/>
                <w:color w:val="auto"/>
                <w:spacing w:val="2"/>
                <w:sz w:val="21"/>
                <w:szCs w:val="21"/>
              </w:rPr>
              <w:t>表</w:t>
            </w:r>
            <w:r>
              <w:rPr>
                <w:rFonts w:hint="eastAsia" w:ascii="Times New Roman" w:hAnsi="Times New Roman" w:eastAsia="黑体"/>
                <w:bCs/>
                <w:color w:val="auto"/>
                <w:spacing w:val="2"/>
                <w:sz w:val="21"/>
                <w:szCs w:val="21"/>
                <w:lang w:val="en-US" w:eastAsia="zh-CN"/>
              </w:rPr>
              <w:t>5-1</w:t>
            </w:r>
            <w:r>
              <w:rPr>
                <w:rFonts w:ascii="Times New Roman" w:hAnsi="Times New Roman" w:eastAsia="黑体"/>
                <w:bCs/>
                <w:color w:val="auto"/>
                <w:spacing w:val="2"/>
                <w:sz w:val="21"/>
                <w:szCs w:val="21"/>
              </w:rPr>
              <w:t>标志的形状及颜色说明</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796"/>
              <w:gridCol w:w="1798"/>
              <w:gridCol w:w="1799"/>
              <w:gridCol w:w="2116"/>
            </w:tblGrid>
            <w:tr w14:paraId="6394CB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9" w:type="pct"/>
                  <w:noWrap w:val="0"/>
                  <w:vAlign w:val="center"/>
                </w:tcPr>
                <w:p w14:paraId="2BDB66E5">
                  <w:pPr>
                    <w:adjustRightInd w:val="0"/>
                    <w:snapToGrid w:val="0"/>
                    <w:jc w:val="center"/>
                    <w:rPr>
                      <w:rFonts w:ascii="Times New Roman" w:hAnsi="Times New Roman"/>
                      <w:color w:val="auto"/>
                      <w:sz w:val="21"/>
                      <w:szCs w:val="21"/>
                    </w:rPr>
                  </w:pPr>
                  <w:r>
                    <w:rPr>
                      <w:rFonts w:ascii="Times New Roman" w:hAnsi="Times New Roman"/>
                      <w:color w:val="auto"/>
                      <w:kern w:val="0"/>
                      <w:sz w:val="21"/>
                      <w:szCs w:val="21"/>
                    </w:rPr>
                    <w:t>标志</w:t>
                  </w:r>
                </w:p>
              </w:tc>
              <w:tc>
                <w:tcPr>
                  <w:tcW w:w="1251" w:type="pct"/>
                  <w:noWrap w:val="0"/>
                  <w:vAlign w:val="center"/>
                </w:tcPr>
                <w:p w14:paraId="1F5A29AB">
                  <w:pPr>
                    <w:adjustRightInd w:val="0"/>
                    <w:snapToGrid w:val="0"/>
                    <w:jc w:val="center"/>
                    <w:rPr>
                      <w:rFonts w:ascii="Times New Roman" w:hAnsi="Times New Roman"/>
                      <w:color w:val="auto"/>
                      <w:kern w:val="0"/>
                      <w:sz w:val="21"/>
                      <w:szCs w:val="21"/>
                    </w:rPr>
                  </w:pPr>
                  <w:r>
                    <w:rPr>
                      <w:rFonts w:ascii="Times New Roman" w:hAnsi="Times New Roman"/>
                      <w:color w:val="auto"/>
                      <w:kern w:val="0"/>
                      <w:sz w:val="21"/>
                      <w:szCs w:val="21"/>
                    </w:rPr>
                    <w:t>形状</w:t>
                  </w:r>
                </w:p>
              </w:tc>
              <w:tc>
                <w:tcPr>
                  <w:tcW w:w="1251" w:type="pct"/>
                  <w:noWrap w:val="0"/>
                  <w:vAlign w:val="center"/>
                </w:tcPr>
                <w:p w14:paraId="50AD020A">
                  <w:pPr>
                    <w:adjustRightInd w:val="0"/>
                    <w:snapToGrid w:val="0"/>
                    <w:jc w:val="center"/>
                    <w:rPr>
                      <w:rFonts w:ascii="Times New Roman" w:hAnsi="Times New Roman"/>
                      <w:color w:val="auto"/>
                      <w:sz w:val="21"/>
                      <w:szCs w:val="21"/>
                    </w:rPr>
                  </w:pPr>
                  <w:r>
                    <w:rPr>
                      <w:rFonts w:ascii="Times New Roman" w:hAnsi="Times New Roman"/>
                      <w:color w:val="auto"/>
                      <w:kern w:val="0"/>
                      <w:sz w:val="21"/>
                      <w:szCs w:val="21"/>
                    </w:rPr>
                    <w:t>背景颜色</w:t>
                  </w:r>
                </w:p>
              </w:tc>
              <w:tc>
                <w:tcPr>
                  <w:tcW w:w="1249" w:type="pct"/>
                  <w:noWrap w:val="0"/>
                  <w:vAlign w:val="center"/>
                </w:tcPr>
                <w:p w14:paraId="0208D863">
                  <w:pPr>
                    <w:adjustRightInd w:val="0"/>
                    <w:snapToGrid w:val="0"/>
                    <w:jc w:val="center"/>
                    <w:rPr>
                      <w:rFonts w:ascii="Times New Roman" w:hAnsi="Times New Roman"/>
                      <w:color w:val="auto"/>
                      <w:kern w:val="0"/>
                      <w:sz w:val="21"/>
                      <w:szCs w:val="21"/>
                    </w:rPr>
                  </w:pPr>
                  <w:r>
                    <w:rPr>
                      <w:rFonts w:ascii="Times New Roman" w:hAnsi="Times New Roman"/>
                      <w:color w:val="auto"/>
                      <w:kern w:val="0"/>
                      <w:sz w:val="21"/>
                      <w:szCs w:val="21"/>
                    </w:rPr>
                    <w:t>图形颜色</w:t>
                  </w:r>
                </w:p>
              </w:tc>
            </w:tr>
            <w:tr w14:paraId="671677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9" w:type="pct"/>
                  <w:noWrap w:val="0"/>
                  <w:vAlign w:val="center"/>
                </w:tcPr>
                <w:p w14:paraId="375AE02B">
                  <w:pPr>
                    <w:adjustRightInd w:val="0"/>
                    <w:snapToGrid w:val="0"/>
                    <w:jc w:val="center"/>
                    <w:rPr>
                      <w:rFonts w:ascii="Times New Roman" w:hAnsi="Times New Roman"/>
                      <w:color w:val="auto"/>
                      <w:kern w:val="0"/>
                      <w:sz w:val="21"/>
                      <w:szCs w:val="21"/>
                    </w:rPr>
                  </w:pPr>
                  <w:r>
                    <w:rPr>
                      <w:rFonts w:ascii="Times New Roman" w:hAnsi="Times New Roman"/>
                      <w:color w:val="auto"/>
                      <w:kern w:val="0"/>
                      <w:sz w:val="21"/>
                      <w:szCs w:val="21"/>
                    </w:rPr>
                    <w:t>警告标志</w:t>
                  </w:r>
                </w:p>
              </w:tc>
              <w:tc>
                <w:tcPr>
                  <w:tcW w:w="1251" w:type="pct"/>
                  <w:noWrap w:val="0"/>
                  <w:vAlign w:val="center"/>
                </w:tcPr>
                <w:p w14:paraId="7A9261B5">
                  <w:pPr>
                    <w:adjustRightInd w:val="0"/>
                    <w:snapToGrid w:val="0"/>
                    <w:jc w:val="center"/>
                    <w:rPr>
                      <w:rFonts w:ascii="Times New Roman" w:hAnsi="Times New Roman"/>
                      <w:color w:val="auto"/>
                      <w:kern w:val="0"/>
                      <w:sz w:val="21"/>
                      <w:szCs w:val="21"/>
                    </w:rPr>
                  </w:pPr>
                  <w:r>
                    <w:rPr>
                      <w:rFonts w:ascii="Times New Roman" w:hAnsi="Times New Roman"/>
                      <w:color w:val="auto"/>
                      <w:kern w:val="0"/>
                      <w:sz w:val="21"/>
                      <w:szCs w:val="21"/>
                    </w:rPr>
                    <w:t>三角形边框</w:t>
                  </w:r>
                </w:p>
              </w:tc>
              <w:tc>
                <w:tcPr>
                  <w:tcW w:w="1251" w:type="pct"/>
                  <w:noWrap w:val="0"/>
                  <w:vAlign w:val="center"/>
                </w:tcPr>
                <w:p w14:paraId="4BDB82B8">
                  <w:pPr>
                    <w:adjustRightInd w:val="0"/>
                    <w:snapToGrid w:val="0"/>
                    <w:jc w:val="center"/>
                    <w:rPr>
                      <w:rFonts w:ascii="Times New Roman" w:hAnsi="Times New Roman"/>
                      <w:color w:val="auto"/>
                      <w:kern w:val="0"/>
                      <w:sz w:val="21"/>
                      <w:szCs w:val="21"/>
                    </w:rPr>
                  </w:pPr>
                  <w:r>
                    <w:rPr>
                      <w:rFonts w:ascii="Times New Roman" w:hAnsi="Times New Roman"/>
                      <w:color w:val="auto"/>
                      <w:kern w:val="0"/>
                      <w:sz w:val="21"/>
                      <w:szCs w:val="21"/>
                    </w:rPr>
                    <w:t>黄色</w:t>
                  </w:r>
                </w:p>
              </w:tc>
              <w:tc>
                <w:tcPr>
                  <w:tcW w:w="1249" w:type="pct"/>
                  <w:noWrap w:val="0"/>
                  <w:vAlign w:val="center"/>
                </w:tcPr>
                <w:p w14:paraId="325A8C9C">
                  <w:pPr>
                    <w:adjustRightInd w:val="0"/>
                    <w:snapToGrid w:val="0"/>
                    <w:jc w:val="center"/>
                    <w:rPr>
                      <w:rFonts w:ascii="Times New Roman" w:hAnsi="Times New Roman"/>
                      <w:color w:val="auto"/>
                      <w:kern w:val="0"/>
                      <w:sz w:val="21"/>
                      <w:szCs w:val="21"/>
                    </w:rPr>
                  </w:pPr>
                  <w:r>
                    <w:rPr>
                      <w:rFonts w:ascii="Times New Roman" w:hAnsi="Times New Roman"/>
                      <w:color w:val="auto"/>
                      <w:kern w:val="0"/>
                      <w:sz w:val="21"/>
                      <w:szCs w:val="21"/>
                    </w:rPr>
                    <w:t>黑色</w:t>
                  </w:r>
                </w:p>
              </w:tc>
            </w:tr>
            <w:tr w14:paraId="6C2EFA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9" w:type="pct"/>
                  <w:noWrap w:val="0"/>
                  <w:vAlign w:val="center"/>
                </w:tcPr>
                <w:p w14:paraId="7BCBAE2F">
                  <w:pPr>
                    <w:adjustRightInd w:val="0"/>
                    <w:snapToGrid w:val="0"/>
                    <w:jc w:val="center"/>
                    <w:rPr>
                      <w:rFonts w:ascii="Times New Roman" w:hAnsi="Times New Roman"/>
                      <w:color w:val="auto"/>
                      <w:kern w:val="0"/>
                      <w:sz w:val="21"/>
                      <w:szCs w:val="21"/>
                    </w:rPr>
                  </w:pPr>
                  <w:r>
                    <w:rPr>
                      <w:rFonts w:ascii="Times New Roman" w:hAnsi="Times New Roman"/>
                      <w:color w:val="auto"/>
                      <w:kern w:val="0"/>
                      <w:sz w:val="21"/>
                      <w:szCs w:val="21"/>
                    </w:rPr>
                    <w:t>提示标志</w:t>
                  </w:r>
                </w:p>
              </w:tc>
              <w:tc>
                <w:tcPr>
                  <w:tcW w:w="1251" w:type="pct"/>
                  <w:noWrap w:val="0"/>
                  <w:vAlign w:val="center"/>
                </w:tcPr>
                <w:p w14:paraId="7E82B160">
                  <w:pPr>
                    <w:adjustRightInd w:val="0"/>
                    <w:snapToGrid w:val="0"/>
                    <w:jc w:val="center"/>
                    <w:rPr>
                      <w:rFonts w:ascii="Times New Roman" w:hAnsi="Times New Roman"/>
                      <w:color w:val="auto"/>
                      <w:kern w:val="0"/>
                      <w:sz w:val="21"/>
                      <w:szCs w:val="21"/>
                    </w:rPr>
                  </w:pPr>
                  <w:r>
                    <w:rPr>
                      <w:rFonts w:ascii="Times New Roman" w:hAnsi="Times New Roman"/>
                      <w:color w:val="auto"/>
                      <w:kern w:val="0"/>
                      <w:sz w:val="21"/>
                      <w:szCs w:val="21"/>
                    </w:rPr>
                    <w:t>正方形边框</w:t>
                  </w:r>
                </w:p>
              </w:tc>
              <w:tc>
                <w:tcPr>
                  <w:tcW w:w="1251" w:type="pct"/>
                  <w:noWrap w:val="0"/>
                  <w:vAlign w:val="center"/>
                </w:tcPr>
                <w:p w14:paraId="1C40250C">
                  <w:pPr>
                    <w:adjustRightInd w:val="0"/>
                    <w:snapToGrid w:val="0"/>
                    <w:jc w:val="center"/>
                    <w:rPr>
                      <w:rFonts w:ascii="Times New Roman" w:hAnsi="Times New Roman"/>
                      <w:color w:val="auto"/>
                      <w:kern w:val="0"/>
                      <w:sz w:val="21"/>
                      <w:szCs w:val="21"/>
                    </w:rPr>
                  </w:pPr>
                  <w:r>
                    <w:rPr>
                      <w:rFonts w:ascii="Times New Roman" w:hAnsi="Times New Roman"/>
                      <w:color w:val="auto"/>
                      <w:kern w:val="0"/>
                      <w:sz w:val="21"/>
                      <w:szCs w:val="21"/>
                    </w:rPr>
                    <w:t>绿色</w:t>
                  </w:r>
                </w:p>
              </w:tc>
              <w:tc>
                <w:tcPr>
                  <w:tcW w:w="1249" w:type="pct"/>
                  <w:noWrap w:val="0"/>
                  <w:vAlign w:val="center"/>
                </w:tcPr>
                <w:p w14:paraId="1DFD8F7D">
                  <w:pPr>
                    <w:adjustRightInd w:val="0"/>
                    <w:snapToGrid w:val="0"/>
                    <w:jc w:val="center"/>
                    <w:rPr>
                      <w:rFonts w:ascii="Times New Roman" w:hAnsi="Times New Roman"/>
                      <w:color w:val="auto"/>
                      <w:kern w:val="0"/>
                      <w:sz w:val="21"/>
                      <w:szCs w:val="21"/>
                    </w:rPr>
                  </w:pPr>
                  <w:r>
                    <w:rPr>
                      <w:rFonts w:ascii="Times New Roman" w:hAnsi="Times New Roman"/>
                      <w:color w:val="auto"/>
                      <w:kern w:val="0"/>
                      <w:sz w:val="21"/>
                      <w:szCs w:val="21"/>
                    </w:rPr>
                    <w:t>白色</w:t>
                  </w:r>
                </w:p>
              </w:tc>
            </w:tr>
            <w:tr w14:paraId="5FF189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9" w:type="pct"/>
                  <w:noWrap w:val="0"/>
                  <w:vAlign w:val="center"/>
                </w:tcPr>
                <w:p w14:paraId="6FA5D169">
                  <w:pPr>
                    <w:adjustRightInd w:val="0"/>
                    <w:snapToGrid w:val="0"/>
                    <w:jc w:val="center"/>
                    <w:rPr>
                      <w:rFonts w:ascii="Times New Roman" w:hAnsi="Times New Roman"/>
                      <w:color w:val="auto"/>
                      <w:kern w:val="0"/>
                      <w:sz w:val="21"/>
                      <w:szCs w:val="21"/>
                    </w:rPr>
                  </w:pPr>
                  <w:r>
                    <w:rPr>
                      <w:rFonts w:ascii="Times New Roman" w:hAnsi="Times New Roman"/>
                      <w:color w:val="auto"/>
                      <w:kern w:val="0"/>
                      <w:sz w:val="21"/>
                      <w:szCs w:val="21"/>
                    </w:rPr>
                    <w:drawing>
                      <wp:inline distT="0" distB="0" distL="114300" distR="114300">
                        <wp:extent cx="1003300" cy="1003300"/>
                        <wp:effectExtent l="0" t="0" r="0" b="0"/>
                        <wp:docPr id="10" name="图片 14" descr="HP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4" descr="HP003"/>
                                <pic:cNvPicPr>
                                  <a:picLocks noChangeAspect="1"/>
                                </pic:cNvPicPr>
                              </pic:nvPicPr>
                              <pic:blipFill>
                                <a:blip r:embed="rId45"/>
                                <a:stretch>
                                  <a:fillRect/>
                                </a:stretch>
                              </pic:blipFill>
                              <pic:spPr>
                                <a:xfrm>
                                  <a:off x="0" y="0"/>
                                  <a:ext cx="1003300" cy="1003300"/>
                                </a:xfrm>
                                <a:prstGeom prst="rect">
                                  <a:avLst/>
                                </a:prstGeom>
                                <a:noFill/>
                                <a:ln>
                                  <a:noFill/>
                                </a:ln>
                              </pic:spPr>
                            </pic:pic>
                          </a:graphicData>
                        </a:graphic>
                      </wp:inline>
                    </w:drawing>
                  </w:r>
                </w:p>
              </w:tc>
              <w:tc>
                <w:tcPr>
                  <w:tcW w:w="1251" w:type="pct"/>
                  <w:noWrap w:val="0"/>
                  <w:vAlign w:val="center"/>
                </w:tcPr>
                <w:p w14:paraId="530897DC">
                  <w:pPr>
                    <w:adjustRightInd w:val="0"/>
                    <w:snapToGrid w:val="0"/>
                    <w:jc w:val="center"/>
                    <w:rPr>
                      <w:rFonts w:ascii="Times New Roman" w:hAnsi="Times New Roman"/>
                      <w:color w:val="auto"/>
                      <w:kern w:val="0"/>
                      <w:sz w:val="21"/>
                      <w:szCs w:val="21"/>
                    </w:rPr>
                  </w:pPr>
                  <w:r>
                    <w:rPr>
                      <w:rFonts w:ascii="Times New Roman" w:hAnsi="Times New Roman"/>
                      <w:color w:val="auto"/>
                      <w:kern w:val="0"/>
                      <w:sz w:val="21"/>
                      <w:szCs w:val="21"/>
                    </w:rPr>
                    <w:drawing>
                      <wp:inline distT="0" distB="0" distL="114300" distR="114300">
                        <wp:extent cx="1003300" cy="886460"/>
                        <wp:effectExtent l="0" t="0" r="0" b="2540"/>
                        <wp:docPr id="5" name="图片 15" descr="HP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5" descr="HP004"/>
                                <pic:cNvPicPr>
                                  <a:picLocks noChangeAspect="1"/>
                                </pic:cNvPicPr>
                              </pic:nvPicPr>
                              <pic:blipFill>
                                <a:blip r:embed="rId46"/>
                                <a:stretch>
                                  <a:fillRect/>
                                </a:stretch>
                              </pic:blipFill>
                              <pic:spPr>
                                <a:xfrm>
                                  <a:off x="0" y="0"/>
                                  <a:ext cx="1003300" cy="886460"/>
                                </a:xfrm>
                                <a:prstGeom prst="rect">
                                  <a:avLst/>
                                </a:prstGeom>
                                <a:noFill/>
                                <a:ln>
                                  <a:noFill/>
                                </a:ln>
                              </pic:spPr>
                            </pic:pic>
                          </a:graphicData>
                        </a:graphic>
                      </wp:inline>
                    </w:drawing>
                  </w:r>
                </w:p>
              </w:tc>
              <w:tc>
                <w:tcPr>
                  <w:tcW w:w="1251" w:type="pct"/>
                  <w:noWrap w:val="0"/>
                  <w:vAlign w:val="center"/>
                </w:tcPr>
                <w:p w14:paraId="743F4393">
                  <w:pPr>
                    <w:adjustRightInd w:val="0"/>
                    <w:snapToGrid w:val="0"/>
                    <w:jc w:val="center"/>
                    <w:rPr>
                      <w:rFonts w:ascii="Times New Roman" w:hAnsi="Times New Roman"/>
                      <w:color w:val="auto"/>
                      <w:kern w:val="0"/>
                      <w:sz w:val="21"/>
                      <w:szCs w:val="21"/>
                    </w:rPr>
                  </w:pPr>
                  <w:r>
                    <w:rPr>
                      <w:rFonts w:ascii="Times New Roman" w:hAnsi="Times New Roman"/>
                      <w:color w:val="auto"/>
                      <w:kern w:val="0"/>
                      <w:sz w:val="21"/>
                      <w:szCs w:val="21"/>
                    </w:rPr>
                    <w:drawing>
                      <wp:inline distT="0" distB="0" distL="114300" distR="114300">
                        <wp:extent cx="1003300" cy="1003300"/>
                        <wp:effectExtent l="0" t="0" r="0" b="0"/>
                        <wp:docPr id="9" name="图片 16" descr="HP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6" descr="HP001"/>
                                <pic:cNvPicPr>
                                  <a:picLocks noChangeAspect="1"/>
                                </pic:cNvPicPr>
                              </pic:nvPicPr>
                              <pic:blipFill>
                                <a:blip r:embed="rId47"/>
                                <a:stretch>
                                  <a:fillRect/>
                                </a:stretch>
                              </pic:blipFill>
                              <pic:spPr>
                                <a:xfrm>
                                  <a:off x="0" y="0"/>
                                  <a:ext cx="1003300" cy="1003300"/>
                                </a:xfrm>
                                <a:prstGeom prst="rect">
                                  <a:avLst/>
                                </a:prstGeom>
                                <a:noFill/>
                                <a:ln>
                                  <a:noFill/>
                                </a:ln>
                              </pic:spPr>
                            </pic:pic>
                          </a:graphicData>
                        </a:graphic>
                      </wp:inline>
                    </w:drawing>
                  </w:r>
                </w:p>
              </w:tc>
              <w:tc>
                <w:tcPr>
                  <w:tcW w:w="1249" w:type="pct"/>
                  <w:noWrap w:val="0"/>
                  <w:vAlign w:val="center"/>
                </w:tcPr>
                <w:p w14:paraId="6E94D560">
                  <w:pPr>
                    <w:adjustRightInd w:val="0"/>
                    <w:snapToGrid w:val="0"/>
                    <w:jc w:val="center"/>
                    <w:rPr>
                      <w:rFonts w:ascii="Times New Roman" w:hAnsi="Times New Roman"/>
                      <w:color w:val="auto"/>
                      <w:kern w:val="0"/>
                      <w:sz w:val="21"/>
                      <w:szCs w:val="21"/>
                    </w:rPr>
                  </w:pPr>
                  <w:r>
                    <w:rPr>
                      <w:rFonts w:ascii="Times New Roman" w:hAnsi="Times New Roman"/>
                      <w:color w:val="auto"/>
                      <w:kern w:val="0"/>
                      <w:sz w:val="21"/>
                      <w:szCs w:val="21"/>
                    </w:rPr>
                    <w:drawing>
                      <wp:inline distT="0" distB="0" distL="114300" distR="114300">
                        <wp:extent cx="1003300" cy="900430"/>
                        <wp:effectExtent l="0" t="0" r="0" b="1270"/>
                        <wp:docPr id="7" name="图片 17" descr="HP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7" descr="HP002"/>
                                <pic:cNvPicPr>
                                  <a:picLocks noChangeAspect="1"/>
                                </pic:cNvPicPr>
                              </pic:nvPicPr>
                              <pic:blipFill>
                                <a:blip r:embed="rId48"/>
                                <a:stretch>
                                  <a:fillRect/>
                                </a:stretch>
                              </pic:blipFill>
                              <pic:spPr>
                                <a:xfrm>
                                  <a:off x="0" y="0"/>
                                  <a:ext cx="1003300" cy="900430"/>
                                </a:xfrm>
                                <a:prstGeom prst="rect">
                                  <a:avLst/>
                                </a:prstGeom>
                                <a:noFill/>
                                <a:ln>
                                  <a:noFill/>
                                </a:ln>
                              </pic:spPr>
                            </pic:pic>
                          </a:graphicData>
                        </a:graphic>
                      </wp:inline>
                    </w:drawing>
                  </w:r>
                </w:p>
              </w:tc>
            </w:tr>
            <w:tr w14:paraId="3BD0A6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9" w:type="pct"/>
                  <w:noWrap w:val="0"/>
                  <w:vAlign w:val="center"/>
                </w:tcPr>
                <w:p w14:paraId="77039F24">
                  <w:pPr>
                    <w:widowControl/>
                    <w:jc w:val="center"/>
                    <w:rPr>
                      <w:rFonts w:ascii="Times New Roman" w:hAnsi="Times New Roman"/>
                      <w:color w:val="auto"/>
                      <w:kern w:val="0"/>
                      <w:sz w:val="21"/>
                      <w:szCs w:val="21"/>
                    </w:rPr>
                  </w:pPr>
                  <w:r>
                    <w:rPr>
                      <w:rFonts w:ascii="Times New Roman" w:hAnsi="Times New Roman"/>
                      <w:color w:val="auto"/>
                      <w:kern w:val="0"/>
                      <w:sz w:val="21"/>
                      <w:szCs w:val="21"/>
                    </w:rPr>
                    <w:t>废气排放口</w:t>
                  </w:r>
                </w:p>
              </w:tc>
              <w:tc>
                <w:tcPr>
                  <w:tcW w:w="1251" w:type="pct"/>
                  <w:noWrap w:val="0"/>
                  <w:vAlign w:val="center"/>
                </w:tcPr>
                <w:p w14:paraId="6908034A">
                  <w:pPr>
                    <w:widowControl/>
                    <w:jc w:val="center"/>
                    <w:rPr>
                      <w:rFonts w:ascii="Times New Roman" w:hAnsi="Times New Roman"/>
                      <w:color w:val="auto"/>
                      <w:kern w:val="0"/>
                      <w:sz w:val="21"/>
                      <w:szCs w:val="21"/>
                    </w:rPr>
                  </w:pPr>
                  <w:r>
                    <w:rPr>
                      <w:rFonts w:ascii="Times New Roman" w:hAnsi="Times New Roman"/>
                      <w:color w:val="auto"/>
                      <w:kern w:val="0"/>
                      <w:sz w:val="21"/>
                      <w:szCs w:val="21"/>
                    </w:rPr>
                    <w:t>废气排放口</w:t>
                  </w:r>
                </w:p>
              </w:tc>
              <w:tc>
                <w:tcPr>
                  <w:tcW w:w="1251" w:type="pct"/>
                  <w:noWrap w:val="0"/>
                  <w:vAlign w:val="center"/>
                </w:tcPr>
                <w:p w14:paraId="2EB21E76">
                  <w:pPr>
                    <w:widowControl/>
                    <w:jc w:val="center"/>
                    <w:rPr>
                      <w:rFonts w:ascii="Times New Roman" w:hAnsi="Times New Roman"/>
                      <w:color w:val="auto"/>
                      <w:kern w:val="0"/>
                      <w:sz w:val="21"/>
                      <w:szCs w:val="21"/>
                    </w:rPr>
                  </w:pPr>
                  <w:r>
                    <w:rPr>
                      <w:rFonts w:ascii="Times New Roman" w:hAnsi="Times New Roman"/>
                      <w:color w:val="auto"/>
                      <w:kern w:val="0"/>
                      <w:sz w:val="21"/>
                      <w:szCs w:val="21"/>
                    </w:rPr>
                    <w:t>污水排放口</w:t>
                  </w:r>
                </w:p>
              </w:tc>
              <w:tc>
                <w:tcPr>
                  <w:tcW w:w="1249" w:type="pct"/>
                  <w:noWrap w:val="0"/>
                  <w:vAlign w:val="center"/>
                </w:tcPr>
                <w:p w14:paraId="1E9EF1F7">
                  <w:pPr>
                    <w:widowControl/>
                    <w:jc w:val="center"/>
                    <w:rPr>
                      <w:rFonts w:ascii="Times New Roman" w:hAnsi="Times New Roman"/>
                      <w:color w:val="auto"/>
                      <w:kern w:val="0"/>
                      <w:sz w:val="21"/>
                      <w:szCs w:val="21"/>
                    </w:rPr>
                  </w:pPr>
                  <w:r>
                    <w:rPr>
                      <w:rFonts w:ascii="Times New Roman" w:hAnsi="Times New Roman"/>
                      <w:color w:val="auto"/>
                      <w:kern w:val="0"/>
                      <w:sz w:val="21"/>
                      <w:szCs w:val="21"/>
                    </w:rPr>
                    <w:t>污水排放口</w:t>
                  </w:r>
                </w:p>
              </w:tc>
            </w:tr>
            <w:tr w14:paraId="20D538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9" w:type="pct"/>
                  <w:noWrap w:val="0"/>
                  <w:vAlign w:val="center"/>
                </w:tcPr>
                <w:p w14:paraId="4C45310D">
                  <w:pPr>
                    <w:adjustRightInd w:val="0"/>
                    <w:snapToGrid w:val="0"/>
                    <w:jc w:val="center"/>
                    <w:rPr>
                      <w:rFonts w:ascii="Times New Roman" w:hAnsi="Times New Roman"/>
                      <w:color w:val="auto"/>
                      <w:kern w:val="0"/>
                      <w:sz w:val="21"/>
                      <w:szCs w:val="21"/>
                    </w:rPr>
                  </w:pPr>
                  <w:r>
                    <w:rPr>
                      <w:rFonts w:ascii="Times New Roman" w:hAnsi="Times New Roman"/>
                      <w:color w:val="auto"/>
                      <w:kern w:val="0"/>
                      <w:sz w:val="21"/>
                      <w:szCs w:val="21"/>
                    </w:rPr>
                    <w:drawing>
                      <wp:inline distT="0" distB="0" distL="114300" distR="114300">
                        <wp:extent cx="1003300" cy="1003300"/>
                        <wp:effectExtent l="0" t="0" r="0" b="0"/>
                        <wp:docPr id="2" name="图片 18" descr="HP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8" descr="HP005"/>
                                <pic:cNvPicPr>
                                  <a:picLocks noChangeAspect="1"/>
                                </pic:cNvPicPr>
                              </pic:nvPicPr>
                              <pic:blipFill>
                                <a:blip r:embed="rId49"/>
                                <a:stretch>
                                  <a:fillRect/>
                                </a:stretch>
                              </pic:blipFill>
                              <pic:spPr>
                                <a:xfrm>
                                  <a:off x="0" y="0"/>
                                  <a:ext cx="1003300" cy="1003300"/>
                                </a:xfrm>
                                <a:prstGeom prst="rect">
                                  <a:avLst/>
                                </a:prstGeom>
                                <a:noFill/>
                                <a:ln>
                                  <a:noFill/>
                                </a:ln>
                              </pic:spPr>
                            </pic:pic>
                          </a:graphicData>
                        </a:graphic>
                      </wp:inline>
                    </w:drawing>
                  </w:r>
                </w:p>
              </w:tc>
              <w:tc>
                <w:tcPr>
                  <w:tcW w:w="1251" w:type="pct"/>
                  <w:noWrap w:val="0"/>
                  <w:vAlign w:val="center"/>
                </w:tcPr>
                <w:p w14:paraId="4BCFFB98">
                  <w:pPr>
                    <w:adjustRightInd w:val="0"/>
                    <w:snapToGrid w:val="0"/>
                    <w:jc w:val="center"/>
                    <w:rPr>
                      <w:rFonts w:ascii="Times New Roman" w:hAnsi="Times New Roman"/>
                      <w:color w:val="auto"/>
                      <w:kern w:val="0"/>
                      <w:sz w:val="21"/>
                      <w:szCs w:val="21"/>
                    </w:rPr>
                  </w:pPr>
                  <w:r>
                    <w:rPr>
                      <w:rFonts w:ascii="Times New Roman" w:hAnsi="Times New Roman"/>
                      <w:color w:val="auto"/>
                      <w:kern w:val="0"/>
                      <w:sz w:val="21"/>
                      <w:szCs w:val="21"/>
                    </w:rPr>
                    <w:drawing>
                      <wp:inline distT="0" distB="0" distL="114300" distR="114300">
                        <wp:extent cx="1003300" cy="886460"/>
                        <wp:effectExtent l="0" t="0" r="0" b="2540"/>
                        <wp:docPr id="3" name="图片 19" descr="HP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9" descr="HP006"/>
                                <pic:cNvPicPr>
                                  <a:picLocks noChangeAspect="1"/>
                                </pic:cNvPicPr>
                              </pic:nvPicPr>
                              <pic:blipFill>
                                <a:blip r:embed="rId50"/>
                                <a:stretch>
                                  <a:fillRect/>
                                </a:stretch>
                              </pic:blipFill>
                              <pic:spPr>
                                <a:xfrm>
                                  <a:off x="0" y="0"/>
                                  <a:ext cx="1003300" cy="886460"/>
                                </a:xfrm>
                                <a:prstGeom prst="rect">
                                  <a:avLst/>
                                </a:prstGeom>
                                <a:noFill/>
                                <a:ln>
                                  <a:noFill/>
                                </a:ln>
                              </pic:spPr>
                            </pic:pic>
                          </a:graphicData>
                        </a:graphic>
                      </wp:inline>
                    </w:drawing>
                  </w:r>
                </w:p>
              </w:tc>
              <w:tc>
                <w:tcPr>
                  <w:tcW w:w="1251" w:type="pct"/>
                  <w:noWrap w:val="0"/>
                  <w:vAlign w:val="center"/>
                </w:tcPr>
                <w:p w14:paraId="3B196ADA">
                  <w:pPr>
                    <w:adjustRightInd w:val="0"/>
                    <w:snapToGrid w:val="0"/>
                    <w:jc w:val="center"/>
                    <w:rPr>
                      <w:rFonts w:ascii="Times New Roman" w:hAnsi="Times New Roman"/>
                      <w:color w:val="auto"/>
                      <w:kern w:val="0"/>
                      <w:sz w:val="21"/>
                      <w:szCs w:val="21"/>
                    </w:rPr>
                  </w:pPr>
                  <w:r>
                    <w:rPr>
                      <w:rFonts w:ascii="Times New Roman" w:hAnsi="Times New Roman"/>
                      <w:color w:val="auto"/>
                      <w:kern w:val="0"/>
                      <w:sz w:val="21"/>
                      <w:szCs w:val="21"/>
                    </w:rPr>
                    <w:drawing>
                      <wp:inline distT="0" distB="0" distL="114300" distR="114300">
                        <wp:extent cx="1003300" cy="1003300"/>
                        <wp:effectExtent l="0" t="0" r="0" b="0"/>
                        <wp:docPr id="8" name="图片 20" descr="HP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0" descr="HP007"/>
                                <pic:cNvPicPr>
                                  <a:picLocks noChangeAspect="1"/>
                                </pic:cNvPicPr>
                              </pic:nvPicPr>
                              <pic:blipFill>
                                <a:blip r:embed="rId51"/>
                                <a:stretch>
                                  <a:fillRect/>
                                </a:stretch>
                              </pic:blipFill>
                              <pic:spPr>
                                <a:xfrm>
                                  <a:off x="0" y="0"/>
                                  <a:ext cx="1003300" cy="1003300"/>
                                </a:xfrm>
                                <a:prstGeom prst="rect">
                                  <a:avLst/>
                                </a:prstGeom>
                                <a:noFill/>
                                <a:ln>
                                  <a:noFill/>
                                </a:ln>
                              </pic:spPr>
                            </pic:pic>
                          </a:graphicData>
                        </a:graphic>
                      </wp:inline>
                    </w:drawing>
                  </w:r>
                </w:p>
              </w:tc>
              <w:tc>
                <w:tcPr>
                  <w:tcW w:w="1249" w:type="pct"/>
                  <w:noWrap w:val="0"/>
                  <w:vAlign w:val="center"/>
                </w:tcPr>
                <w:p w14:paraId="4A29B598">
                  <w:pPr>
                    <w:adjustRightInd w:val="0"/>
                    <w:snapToGrid w:val="0"/>
                    <w:jc w:val="center"/>
                    <w:rPr>
                      <w:rFonts w:ascii="Times New Roman" w:hAnsi="Times New Roman"/>
                      <w:color w:val="auto"/>
                      <w:kern w:val="0"/>
                      <w:sz w:val="21"/>
                      <w:szCs w:val="21"/>
                    </w:rPr>
                  </w:pPr>
                  <w:r>
                    <w:rPr>
                      <w:rFonts w:ascii="Times New Roman" w:hAnsi="Times New Roman"/>
                      <w:color w:val="auto"/>
                      <w:sz w:val="21"/>
                      <w:szCs w:val="21"/>
                    </w:rPr>
                    <w:drawing>
                      <wp:inline distT="0" distB="0" distL="114300" distR="114300">
                        <wp:extent cx="1205865" cy="950595"/>
                        <wp:effectExtent l="0" t="0" r="635" b="1905"/>
                        <wp:docPr id="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1"/>
                                <pic:cNvPicPr>
                                  <a:picLocks noChangeAspect="1"/>
                                </pic:cNvPicPr>
                              </pic:nvPicPr>
                              <pic:blipFill>
                                <a:blip r:embed="rId52"/>
                                <a:stretch>
                                  <a:fillRect/>
                                </a:stretch>
                              </pic:blipFill>
                              <pic:spPr>
                                <a:xfrm>
                                  <a:off x="0" y="0"/>
                                  <a:ext cx="1205865" cy="950595"/>
                                </a:xfrm>
                                <a:prstGeom prst="rect">
                                  <a:avLst/>
                                </a:prstGeom>
                                <a:noFill/>
                                <a:ln>
                                  <a:noFill/>
                                </a:ln>
                              </pic:spPr>
                            </pic:pic>
                          </a:graphicData>
                        </a:graphic>
                      </wp:inline>
                    </w:drawing>
                  </w:r>
                </w:p>
              </w:tc>
            </w:tr>
            <w:tr w14:paraId="1F710C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49" w:type="pct"/>
                  <w:noWrap w:val="0"/>
                  <w:vAlign w:val="center"/>
                </w:tcPr>
                <w:p w14:paraId="44C45823">
                  <w:pPr>
                    <w:widowControl/>
                    <w:jc w:val="center"/>
                    <w:rPr>
                      <w:rFonts w:ascii="Times New Roman" w:hAnsi="Times New Roman"/>
                      <w:color w:val="auto"/>
                      <w:kern w:val="0"/>
                      <w:sz w:val="21"/>
                      <w:szCs w:val="21"/>
                    </w:rPr>
                  </w:pPr>
                  <w:r>
                    <w:rPr>
                      <w:rFonts w:ascii="Times New Roman" w:hAnsi="Times New Roman"/>
                      <w:color w:val="auto"/>
                      <w:kern w:val="0"/>
                      <w:sz w:val="21"/>
                      <w:szCs w:val="21"/>
                    </w:rPr>
                    <w:t>噪声排放源</w:t>
                  </w:r>
                </w:p>
              </w:tc>
              <w:tc>
                <w:tcPr>
                  <w:tcW w:w="1251" w:type="pct"/>
                  <w:noWrap w:val="0"/>
                  <w:vAlign w:val="center"/>
                </w:tcPr>
                <w:p w14:paraId="59272435">
                  <w:pPr>
                    <w:widowControl/>
                    <w:jc w:val="center"/>
                    <w:rPr>
                      <w:rFonts w:ascii="Times New Roman" w:hAnsi="Times New Roman"/>
                      <w:color w:val="auto"/>
                      <w:kern w:val="0"/>
                      <w:sz w:val="21"/>
                      <w:szCs w:val="21"/>
                    </w:rPr>
                  </w:pPr>
                  <w:r>
                    <w:rPr>
                      <w:rFonts w:ascii="Times New Roman" w:hAnsi="Times New Roman"/>
                      <w:color w:val="auto"/>
                      <w:kern w:val="0"/>
                      <w:sz w:val="21"/>
                      <w:szCs w:val="21"/>
                    </w:rPr>
                    <w:t>噪声排放源</w:t>
                  </w:r>
                </w:p>
              </w:tc>
              <w:tc>
                <w:tcPr>
                  <w:tcW w:w="1251" w:type="pct"/>
                  <w:noWrap w:val="0"/>
                  <w:vAlign w:val="center"/>
                </w:tcPr>
                <w:p w14:paraId="37832B25">
                  <w:pPr>
                    <w:widowControl/>
                    <w:jc w:val="center"/>
                    <w:rPr>
                      <w:rFonts w:ascii="Times New Roman" w:hAnsi="Times New Roman"/>
                      <w:color w:val="auto"/>
                      <w:kern w:val="0"/>
                      <w:sz w:val="21"/>
                      <w:szCs w:val="21"/>
                    </w:rPr>
                  </w:pPr>
                  <w:r>
                    <w:rPr>
                      <w:rFonts w:ascii="Times New Roman" w:hAnsi="Times New Roman"/>
                      <w:color w:val="auto"/>
                      <w:kern w:val="0"/>
                      <w:sz w:val="21"/>
                      <w:szCs w:val="21"/>
                    </w:rPr>
                    <w:t>一般固体废物</w:t>
                  </w:r>
                </w:p>
              </w:tc>
              <w:tc>
                <w:tcPr>
                  <w:tcW w:w="1249" w:type="pct"/>
                  <w:noWrap w:val="0"/>
                  <w:vAlign w:val="center"/>
                </w:tcPr>
                <w:p w14:paraId="72F9D9EC">
                  <w:pPr>
                    <w:widowControl/>
                    <w:jc w:val="center"/>
                    <w:rPr>
                      <w:rFonts w:ascii="Times New Roman" w:hAnsi="Times New Roman"/>
                      <w:color w:val="auto"/>
                      <w:kern w:val="0"/>
                      <w:sz w:val="21"/>
                      <w:szCs w:val="21"/>
                    </w:rPr>
                  </w:pPr>
                  <w:r>
                    <w:rPr>
                      <w:rFonts w:ascii="Times New Roman" w:hAnsi="Times New Roman"/>
                      <w:color w:val="auto"/>
                      <w:kern w:val="0"/>
                      <w:sz w:val="21"/>
                      <w:szCs w:val="21"/>
                    </w:rPr>
                    <w:t>危险废物</w:t>
                  </w:r>
                </w:p>
              </w:tc>
            </w:tr>
          </w:tbl>
          <w:p w14:paraId="23B92D6E">
            <w:pPr>
              <w:pStyle w:val="203"/>
              <w:keepNext w:val="0"/>
              <w:keepLines w:val="0"/>
              <w:pageBreakBefore w:val="0"/>
              <w:widowControl/>
              <w:kinsoku/>
              <w:wordWrap/>
              <w:overflowPunct/>
              <w:topLinePunct w:val="0"/>
              <w:autoSpaceDE/>
              <w:autoSpaceDN/>
              <w:bidi w:val="0"/>
              <w:adjustRightInd w:val="0"/>
              <w:snapToGrid w:val="0"/>
              <w:spacing w:line="360" w:lineRule="auto"/>
              <w:ind w:right="0" w:firstLine="420" w:firstLineChars="200"/>
              <w:jc w:val="both"/>
              <w:textAlignment w:val="auto"/>
              <w:rPr>
                <w:rFonts w:hint="default" w:ascii="Times New Roman" w:hAnsi="Times New Roman" w:eastAsia="宋体" w:cs="Times New Roman"/>
                <w:b w:val="0"/>
                <w:bCs w:val="0"/>
                <w:snapToGrid/>
                <w:color w:val="auto"/>
                <w:kern w:val="2"/>
                <w:sz w:val="21"/>
                <w:szCs w:val="21"/>
                <w:highlight w:val="none"/>
                <w:lang w:val="en-US" w:eastAsia="zh-CN" w:bidi="ar-SA"/>
              </w:rPr>
            </w:pPr>
            <w:r>
              <w:rPr>
                <w:rFonts w:hint="default" w:ascii="Times New Roman" w:hAnsi="Times New Roman" w:eastAsia="宋体" w:cs="Times New Roman"/>
                <w:b w:val="0"/>
                <w:bCs w:val="0"/>
                <w:snapToGrid/>
                <w:color w:val="auto"/>
                <w:kern w:val="2"/>
                <w:sz w:val="21"/>
                <w:szCs w:val="21"/>
                <w:highlight w:val="none"/>
                <w:lang w:val="en-US" w:eastAsia="zh-CN" w:bidi="ar-SA"/>
              </w:rPr>
              <w:t>（2）排污口管理要求</w:t>
            </w:r>
          </w:p>
          <w:p w14:paraId="1BC8F082">
            <w:pPr>
              <w:pStyle w:val="203"/>
              <w:keepNext w:val="0"/>
              <w:keepLines w:val="0"/>
              <w:pageBreakBefore w:val="0"/>
              <w:widowControl/>
              <w:kinsoku/>
              <w:wordWrap/>
              <w:overflowPunct/>
              <w:topLinePunct w:val="0"/>
              <w:autoSpaceDE/>
              <w:autoSpaceDN/>
              <w:bidi w:val="0"/>
              <w:adjustRightInd w:val="0"/>
              <w:snapToGrid w:val="0"/>
              <w:spacing w:line="360" w:lineRule="auto"/>
              <w:ind w:right="0" w:firstLine="420" w:firstLineChars="200"/>
              <w:jc w:val="both"/>
              <w:textAlignment w:val="auto"/>
              <w:rPr>
                <w:rFonts w:hint="default" w:ascii="Times New Roman" w:hAnsi="Times New Roman" w:eastAsia="宋体" w:cs="Times New Roman"/>
                <w:b w:val="0"/>
                <w:bCs w:val="0"/>
                <w:snapToGrid/>
                <w:color w:val="auto"/>
                <w:kern w:val="2"/>
                <w:sz w:val="21"/>
                <w:szCs w:val="21"/>
                <w:highlight w:val="none"/>
                <w:lang w:val="en-US" w:eastAsia="zh-CN" w:bidi="ar-SA"/>
              </w:rPr>
            </w:pPr>
            <w:r>
              <w:rPr>
                <w:rFonts w:hint="default" w:ascii="Times New Roman" w:hAnsi="Times New Roman" w:eastAsia="宋体" w:cs="Times New Roman"/>
                <w:b w:val="0"/>
                <w:bCs w:val="0"/>
                <w:snapToGrid/>
                <w:color w:val="auto"/>
                <w:kern w:val="2"/>
                <w:sz w:val="21"/>
                <w:szCs w:val="21"/>
                <w:highlight w:val="none"/>
                <w:lang w:val="en-US" w:eastAsia="zh-CN" w:bidi="ar-SA"/>
              </w:rPr>
              <w:t>①建设单位应如实填写《中华人民共和国规范化排污口标志登记证》的有关内容，由环保主管部门签发登记证</w:t>
            </w:r>
            <w:r>
              <w:rPr>
                <w:rFonts w:hint="eastAsia" w:ascii="Times New Roman" w:hAnsi="Times New Roman" w:cs="Times New Roman"/>
                <w:b w:val="0"/>
                <w:bCs w:val="0"/>
                <w:snapToGrid/>
                <w:color w:val="auto"/>
                <w:kern w:val="2"/>
                <w:sz w:val="21"/>
                <w:szCs w:val="21"/>
                <w:highlight w:val="none"/>
                <w:lang w:val="en-US" w:eastAsia="zh-CN" w:bidi="ar-SA"/>
              </w:rPr>
              <w:t>；</w:t>
            </w:r>
          </w:p>
          <w:p w14:paraId="323C8B9B">
            <w:pPr>
              <w:pStyle w:val="203"/>
              <w:keepNext w:val="0"/>
              <w:keepLines w:val="0"/>
              <w:pageBreakBefore w:val="0"/>
              <w:widowControl/>
              <w:kinsoku/>
              <w:wordWrap/>
              <w:overflowPunct/>
              <w:topLinePunct w:val="0"/>
              <w:autoSpaceDE/>
              <w:autoSpaceDN/>
              <w:bidi w:val="0"/>
              <w:adjustRightInd w:val="0"/>
              <w:snapToGrid w:val="0"/>
              <w:spacing w:line="360" w:lineRule="auto"/>
              <w:ind w:right="0" w:firstLine="420" w:firstLineChars="200"/>
              <w:jc w:val="both"/>
              <w:textAlignment w:val="auto"/>
              <w:rPr>
                <w:rFonts w:hint="default" w:ascii="Times New Roman" w:hAnsi="Times New Roman" w:eastAsia="宋体" w:cs="Times New Roman"/>
                <w:b w:val="0"/>
                <w:bCs w:val="0"/>
                <w:snapToGrid/>
                <w:color w:val="auto"/>
                <w:kern w:val="2"/>
                <w:sz w:val="21"/>
                <w:szCs w:val="21"/>
                <w:highlight w:val="none"/>
                <w:lang w:val="en-US" w:eastAsia="zh-CN" w:bidi="ar-SA"/>
              </w:rPr>
            </w:pPr>
            <w:r>
              <w:rPr>
                <w:rFonts w:hint="default" w:ascii="Times New Roman" w:hAnsi="Times New Roman" w:eastAsia="宋体" w:cs="Times New Roman"/>
                <w:b w:val="0"/>
                <w:bCs w:val="0"/>
                <w:snapToGrid/>
                <w:color w:val="auto"/>
                <w:kern w:val="2"/>
                <w:sz w:val="21"/>
                <w:szCs w:val="21"/>
                <w:highlight w:val="none"/>
                <w:lang w:val="en-US" w:eastAsia="zh-CN" w:bidi="ar-SA"/>
              </w:rPr>
              <w:t>②建设单位应将有关排污口的情况</w:t>
            </w:r>
            <w:r>
              <w:rPr>
                <w:rFonts w:hint="eastAsia" w:ascii="Times New Roman" w:hAnsi="Times New Roman" w:cs="Times New Roman"/>
                <w:b w:val="0"/>
                <w:bCs w:val="0"/>
                <w:snapToGrid/>
                <w:color w:val="auto"/>
                <w:kern w:val="2"/>
                <w:sz w:val="21"/>
                <w:szCs w:val="21"/>
                <w:highlight w:val="none"/>
                <w:lang w:val="en-US" w:eastAsia="zh-CN" w:bidi="ar-SA"/>
              </w:rPr>
              <w:t>如下</w:t>
            </w:r>
            <w:r>
              <w:rPr>
                <w:rFonts w:hint="default" w:ascii="Times New Roman" w:hAnsi="Times New Roman" w:eastAsia="宋体" w:cs="Times New Roman"/>
                <w:b w:val="0"/>
                <w:bCs w:val="0"/>
                <w:snapToGrid/>
                <w:color w:val="auto"/>
                <w:kern w:val="2"/>
                <w:sz w:val="21"/>
                <w:szCs w:val="21"/>
                <w:highlight w:val="none"/>
                <w:lang w:val="en-US" w:eastAsia="zh-CN" w:bidi="ar-SA"/>
              </w:rPr>
              <w:t>：排污口的性质、编号、排污口的位置；</w:t>
            </w:r>
          </w:p>
          <w:p w14:paraId="019F0C26">
            <w:pPr>
              <w:pStyle w:val="203"/>
              <w:keepNext w:val="0"/>
              <w:keepLines w:val="0"/>
              <w:pageBreakBefore w:val="0"/>
              <w:widowControl/>
              <w:kinsoku/>
              <w:wordWrap/>
              <w:overflowPunct/>
              <w:topLinePunct w:val="0"/>
              <w:autoSpaceDE/>
              <w:autoSpaceDN/>
              <w:bidi w:val="0"/>
              <w:adjustRightInd w:val="0"/>
              <w:snapToGrid w:val="0"/>
              <w:spacing w:line="360" w:lineRule="auto"/>
              <w:ind w:right="0" w:firstLine="420" w:firstLineChars="200"/>
              <w:jc w:val="both"/>
              <w:textAlignment w:val="auto"/>
              <w:rPr>
                <w:rFonts w:hint="default" w:ascii="Times New Roman" w:hAnsi="Times New Roman" w:eastAsia="宋体" w:cs="Times New Roman"/>
                <w:b w:val="0"/>
                <w:bCs w:val="0"/>
                <w:snapToGrid/>
                <w:color w:val="auto"/>
                <w:kern w:val="2"/>
                <w:sz w:val="21"/>
                <w:szCs w:val="21"/>
                <w:highlight w:val="none"/>
                <w:lang w:val="en-US" w:eastAsia="zh-CN" w:bidi="ar-SA"/>
              </w:rPr>
            </w:pPr>
            <w:r>
              <w:rPr>
                <w:rFonts w:hint="default" w:ascii="Times New Roman" w:hAnsi="Times New Roman" w:eastAsia="宋体" w:cs="Times New Roman"/>
                <w:b w:val="0"/>
                <w:bCs w:val="0"/>
                <w:snapToGrid/>
                <w:color w:val="auto"/>
                <w:kern w:val="2"/>
                <w:sz w:val="21"/>
                <w:szCs w:val="21"/>
                <w:highlight w:val="none"/>
                <w:lang w:val="en-US" w:eastAsia="zh-CN" w:bidi="ar-SA"/>
              </w:rPr>
              <w:t>③主要排放的污染物种类、数量、浓度、排放规律、排放去向；污染治理设施的运行情况等进行建档管理，并报送生态环境主管部门备案。</w:t>
            </w:r>
          </w:p>
          <w:p w14:paraId="3C0EFF26">
            <w:pPr>
              <w:pStyle w:val="203"/>
              <w:keepNext w:val="0"/>
              <w:keepLines w:val="0"/>
              <w:pageBreakBefore w:val="0"/>
              <w:widowControl/>
              <w:kinsoku/>
              <w:wordWrap/>
              <w:overflowPunct/>
              <w:topLinePunct w:val="0"/>
              <w:autoSpaceDE/>
              <w:autoSpaceDN/>
              <w:bidi w:val="0"/>
              <w:adjustRightInd w:val="0"/>
              <w:snapToGrid w:val="0"/>
              <w:spacing w:line="360" w:lineRule="auto"/>
              <w:ind w:right="0" w:firstLine="420" w:firstLineChars="200"/>
              <w:jc w:val="both"/>
              <w:textAlignment w:val="auto"/>
              <w:rPr>
                <w:rFonts w:hint="default" w:ascii="Times New Roman" w:hAnsi="Times New Roman" w:eastAsia="宋体" w:cs="Times New Roman"/>
                <w:b w:val="0"/>
                <w:bCs w:val="0"/>
                <w:snapToGrid/>
                <w:color w:val="auto"/>
                <w:kern w:val="2"/>
                <w:sz w:val="21"/>
                <w:szCs w:val="21"/>
                <w:highlight w:val="none"/>
                <w:lang w:val="en-US" w:eastAsia="zh-CN" w:bidi="ar-SA"/>
              </w:rPr>
            </w:pPr>
            <w:r>
              <w:rPr>
                <w:rFonts w:hint="default" w:ascii="Times New Roman" w:hAnsi="Times New Roman" w:eastAsia="宋体" w:cs="Times New Roman"/>
                <w:b w:val="0"/>
                <w:bCs w:val="0"/>
                <w:snapToGrid/>
                <w:color w:val="auto"/>
                <w:kern w:val="2"/>
                <w:sz w:val="21"/>
                <w:szCs w:val="21"/>
                <w:highlight w:val="none"/>
                <w:lang w:val="en-US" w:eastAsia="zh-CN" w:bidi="ar-SA"/>
              </w:rPr>
              <w:t>（3）严格执行排污许可制度</w:t>
            </w:r>
          </w:p>
          <w:p w14:paraId="61DF5D1C">
            <w:pPr>
              <w:pStyle w:val="203"/>
              <w:keepNext w:val="0"/>
              <w:keepLines w:val="0"/>
              <w:pageBreakBefore w:val="0"/>
              <w:widowControl/>
              <w:kinsoku/>
              <w:wordWrap/>
              <w:overflowPunct/>
              <w:topLinePunct w:val="0"/>
              <w:autoSpaceDE/>
              <w:autoSpaceDN/>
              <w:bidi w:val="0"/>
              <w:adjustRightInd w:val="0"/>
              <w:snapToGrid w:val="0"/>
              <w:spacing w:line="360" w:lineRule="auto"/>
              <w:ind w:right="0" w:firstLine="420" w:firstLineChars="200"/>
              <w:jc w:val="both"/>
              <w:textAlignment w:val="auto"/>
              <w:rPr>
                <w:rFonts w:hint="default" w:ascii="Times New Roman" w:hAnsi="Times New Roman" w:cs="Times New Roman"/>
                <w:b w:val="0"/>
                <w:bCs w:val="0"/>
                <w:snapToGrid/>
                <w:color w:val="auto"/>
                <w:kern w:val="2"/>
                <w:sz w:val="21"/>
                <w:szCs w:val="21"/>
                <w:highlight w:val="none"/>
                <w:lang w:val="en-US" w:eastAsia="zh-CN" w:bidi="ar-SA"/>
              </w:rPr>
            </w:pPr>
            <w:r>
              <w:rPr>
                <w:rFonts w:hint="eastAsia" w:ascii="Times New Roman" w:hAnsi="Times New Roman" w:eastAsia="宋体" w:cs="Times New Roman"/>
                <w:b w:val="0"/>
                <w:bCs w:val="0"/>
                <w:snapToGrid/>
                <w:color w:val="auto"/>
                <w:kern w:val="2"/>
                <w:sz w:val="21"/>
                <w:szCs w:val="21"/>
                <w:highlight w:val="none"/>
                <w:lang w:val="en-US" w:eastAsia="zh-CN" w:bidi="ar-SA"/>
              </w:rPr>
              <w:t>根据排污许可分类管理名录，</w:t>
            </w:r>
            <w:r>
              <w:rPr>
                <w:rFonts w:hint="default" w:ascii="Times New Roman" w:hAnsi="Times New Roman" w:eastAsia="宋体" w:cs="Times New Roman"/>
                <w:b w:val="0"/>
                <w:bCs w:val="0"/>
                <w:snapToGrid/>
                <w:color w:val="auto"/>
                <w:kern w:val="2"/>
                <w:sz w:val="21"/>
                <w:szCs w:val="21"/>
                <w:highlight w:val="none"/>
                <w:lang w:val="en-US" w:eastAsia="zh-CN" w:bidi="ar-SA"/>
              </w:rPr>
              <w:t>项目</w:t>
            </w:r>
            <w:r>
              <w:rPr>
                <w:rFonts w:hint="eastAsia" w:ascii="Times New Roman" w:hAnsi="Times New Roman" w:eastAsia="宋体" w:cs="Times New Roman"/>
                <w:b w:val="0"/>
                <w:bCs w:val="0"/>
                <w:snapToGrid/>
                <w:color w:val="auto"/>
                <w:kern w:val="2"/>
                <w:sz w:val="21"/>
                <w:szCs w:val="21"/>
                <w:highlight w:val="none"/>
                <w:lang w:val="en-US" w:eastAsia="zh-CN" w:bidi="ar-SA"/>
              </w:rPr>
              <w:t>在</w:t>
            </w:r>
            <w:r>
              <w:rPr>
                <w:rFonts w:hint="default" w:ascii="Times New Roman" w:hAnsi="Times New Roman" w:eastAsia="宋体" w:cs="Times New Roman"/>
                <w:b w:val="0"/>
                <w:bCs w:val="0"/>
                <w:snapToGrid/>
                <w:color w:val="auto"/>
                <w:kern w:val="2"/>
                <w:sz w:val="21"/>
                <w:szCs w:val="21"/>
                <w:highlight w:val="none"/>
                <w:lang w:val="en-US" w:eastAsia="zh-CN" w:bidi="ar-SA"/>
              </w:rPr>
              <w:t>发生实际排污行为之前，</w:t>
            </w:r>
            <w:r>
              <w:rPr>
                <w:rFonts w:hint="eastAsia" w:ascii="Times New Roman" w:hAnsi="Times New Roman" w:eastAsia="宋体" w:cs="Times New Roman"/>
                <w:b w:val="0"/>
                <w:bCs w:val="0"/>
                <w:snapToGrid/>
                <w:color w:val="auto"/>
                <w:kern w:val="2"/>
                <w:sz w:val="21"/>
                <w:szCs w:val="21"/>
                <w:highlight w:val="none"/>
                <w:lang w:val="en-US" w:eastAsia="zh-CN" w:bidi="ar-SA"/>
              </w:rPr>
              <w:t>按照</w:t>
            </w:r>
            <w:r>
              <w:rPr>
                <w:rFonts w:hint="default" w:ascii="Times New Roman" w:hAnsi="Times New Roman" w:eastAsia="宋体" w:cs="Times New Roman"/>
                <w:b w:val="0"/>
                <w:bCs w:val="0"/>
                <w:snapToGrid/>
                <w:color w:val="auto"/>
                <w:kern w:val="2"/>
                <w:sz w:val="21"/>
                <w:szCs w:val="21"/>
                <w:highlight w:val="none"/>
                <w:lang w:val="en-US" w:eastAsia="zh-CN" w:bidi="ar-SA"/>
              </w:rPr>
              <w:t>《排污许可证申请与核发技术规范总则》（HJ942-2018）</w:t>
            </w:r>
            <w:r>
              <w:rPr>
                <w:rFonts w:hint="default" w:ascii="Times New Roman" w:hAnsi="Times New Roman" w:cs="Times New Roman"/>
                <w:b w:val="0"/>
                <w:bCs w:val="0"/>
                <w:snapToGrid/>
                <w:color w:val="auto"/>
                <w:kern w:val="2"/>
                <w:sz w:val="21"/>
                <w:szCs w:val="21"/>
                <w:highlight w:val="none"/>
                <w:lang w:val="en-US" w:eastAsia="zh-CN" w:bidi="ar-SA"/>
              </w:rPr>
              <w:t>、</w:t>
            </w:r>
            <w:r>
              <w:rPr>
                <w:rFonts w:hint="default" w:ascii="Times New Roman" w:hAnsi="Times New Roman" w:cs="Times New Roman"/>
                <w:color w:val="auto"/>
                <w:sz w:val="21"/>
                <w:szCs w:val="21"/>
              </w:rPr>
              <w:t>《排污许可证申请与核发技术规范</w:t>
            </w:r>
            <w:r>
              <w:rPr>
                <w:rFonts w:hint="default" w:ascii="Times New Roman" w:hAnsi="Times New Roman" w:cs="Times New Roman"/>
                <w:color w:val="auto"/>
                <w:sz w:val="21"/>
                <w:szCs w:val="21"/>
                <w:lang w:val="en-US" w:eastAsia="zh-CN"/>
              </w:rPr>
              <w:t>钢铁工业</w:t>
            </w:r>
            <w:r>
              <w:rPr>
                <w:rFonts w:hint="default" w:ascii="Times New Roman" w:hAnsi="Times New Roman" w:cs="Times New Roman"/>
                <w:color w:val="auto"/>
                <w:sz w:val="21"/>
                <w:szCs w:val="21"/>
              </w:rPr>
              <w:t>》（HJ</w:t>
            </w:r>
            <w:r>
              <w:rPr>
                <w:rFonts w:hint="default" w:ascii="Times New Roman" w:hAnsi="Times New Roman" w:cs="Times New Roman"/>
                <w:color w:val="auto"/>
                <w:sz w:val="21"/>
                <w:szCs w:val="21"/>
                <w:lang w:val="en-US" w:eastAsia="zh-CN"/>
              </w:rPr>
              <w:t>846</w:t>
            </w:r>
            <w:r>
              <w:rPr>
                <w:rFonts w:hint="default" w:ascii="Times New Roman" w:hAnsi="Times New Roman" w:cs="Times New Roman"/>
                <w:color w:val="auto"/>
                <w:sz w:val="21"/>
                <w:szCs w:val="21"/>
              </w:rPr>
              <w:t>-201</w:t>
            </w:r>
            <w:r>
              <w:rPr>
                <w:rFonts w:hint="default" w:ascii="Times New Roman" w:hAnsi="Times New Roman" w:cs="Times New Roman"/>
                <w:color w:val="auto"/>
                <w:sz w:val="21"/>
                <w:szCs w:val="21"/>
                <w:lang w:val="en-US" w:eastAsia="zh-CN"/>
              </w:rPr>
              <w:t>7</w:t>
            </w:r>
            <w:r>
              <w:rPr>
                <w:rFonts w:hint="default" w:ascii="Times New Roman" w:hAnsi="Times New Roman" w:cs="Times New Roman"/>
                <w:color w:val="auto"/>
                <w:sz w:val="21"/>
                <w:szCs w:val="21"/>
              </w:rPr>
              <w:t>）</w:t>
            </w:r>
            <w:r>
              <w:rPr>
                <w:rFonts w:hint="default" w:ascii="Times New Roman" w:hAnsi="Times New Roman" w:eastAsia="宋体" w:cs="Times New Roman"/>
                <w:b w:val="0"/>
                <w:bCs w:val="0"/>
                <w:snapToGrid/>
                <w:color w:val="auto"/>
                <w:kern w:val="2"/>
                <w:sz w:val="21"/>
                <w:szCs w:val="21"/>
                <w:highlight w:val="none"/>
                <w:lang w:val="en-US" w:eastAsia="zh-CN" w:bidi="ar-SA"/>
              </w:rPr>
              <w:t>中</w:t>
            </w:r>
            <w:r>
              <w:rPr>
                <w:rFonts w:hint="default" w:ascii="Times New Roman" w:hAnsi="Times New Roman" w:cs="Times New Roman"/>
                <w:b w:val="0"/>
                <w:bCs w:val="0"/>
                <w:snapToGrid/>
                <w:color w:val="auto"/>
                <w:kern w:val="2"/>
                <w:sz w:val="21"/>
                <w:szCs w:val="21"/>
                <w:highlight w:val="none"/>
                <w:lang w:val="en-US" w:eastAsia="zh-CN" w:bidi="ar-SA"/>
              </w:rPr>
              <w:t>简化管理</w:t>
            </w:r>
            <w:r>
              <w:rPr>
                <w:rFonts w:hint="default" w:ascii="Times New Roman" w:hAnsi="Times New Roman" w:eastAsia="宋体" w:cs="Times New Roman"/>
                <w:b w:val="0"/>
                <w:bCs w:val="0"/>
                <w:snapToGrid/>
                <w:color w:val="auto"/>
                <w:kern w:val="2"/>
                <w:sz w:val="21"/>
                <w:szCs w:val="21"/>
                <w:highlight w:val="none"/>
                <w:lang w:val="en-US" w:eastAsia="zh-CN" w:bidi="ar-SA"/>
              </w:rPr>
              <w:t>相关</w:t>
            </w:r>
            <w:r>
              <w:rPr>
                <w:rFonts w:hint="default" w:ascii="Times New Roman" w:hAnsi="Times New Roman" w:cs="Times New Roman"/>
                <w:b w:val="0"/>
                <w:bCs w:val="0"/>
                <w:snapToGrid/>
                <w:color w:val="auto"/>
                <w:kern w:val="2"/>
                <w:sz w:val="21"/>
                <w:szCs w:val="21"/>
                <w:highlight w:val="none"/>
                <w:lang w:val="en-US" w:eastAsia="zh-CN" w:bidi="ar-SA"/>
              </w:rPr>
              <w:t>要求开展排污许可申报，并按要求执行台账管理、自行监测等要求。</w:t>
            </w:r>
          </w:p>
          <w:p w14:paraId="7721EB6A">
            <w:pPr>
              <w:pStyle w:val="203"/>
              <w:keepNext w:val="0"/>
              <w:keepLines w:val="0"/>
              <w:pageBreakBefore w:val="0"/>
              <w:widowControl/>
              <w:kinsoku/>
              <w:wordWrap/>
              <w:overflowPunct/>
              <w:topLinePunct w:val="0"/>
              <w:autoSpaceDE/>
              <w:autoSpaceDN/>
              <w:bidi w:val="0"/>
              <w:adjustRightInd w:val="0"/>
              <w:snapToGrid w:val="0"/>
              <w:spacing w:line="360" w:lineRule="auto"/>
              <w:ind w:right="0" w:firstLine="420" w:firstLineChars="200"/>
              <w:jc w:val="both"/>
              <w:textAlignment w:val="auto"/>
              <w:rPr>
                <w:rFonts w:hint="default" w:ascii="Times New Roman" w:hAnsi="Times New Roman" w:eastAsia="宋体" w:cs="Times New Roman"/>
                <w:b w:val="0"/>
                <w:bCs w:val="0"/>
                <w:snapToGrid/>
                <w:color w:val="auto"/>
                <w:kern w:val="2"/>
                <w:sz w:val="21"/>
                <w:szCs w:val="21"/>
                <w:highlight w:val="none"/>
                <w:lang w:val="en-US" w:eastAsia="zh-CN" w:bidi="ar-SA"/>
              </w:rPr>
            </w:pPr>
            <w:r>
              <w:rPr>
                <w:rFonts w:hint="eastAsia" w:ascii="Times New Roman" w:hAnsi="Times New Roman" w:cs="Times New Roman"/>
                <w:b w:val="0"/>
                <w:bCs w:val="0"/>
                <w:snapToGrid/>
                <w:color w:val="auto"/>
                <w:kern w:val="2"/>
                <w:sz w:val="21"/>
                <w:szCs w:val="21"/>
                <w:highlight w:val="none"/>
                <w:lang w:val="en-US" w:eastAsia="zh-CN" w:bidi="ar-SA"/>
              </w:rPr>
              <w:t>（4）竣工环境保护验收</w:t>
            </w:r>
          </w:p>
          <w:p w14:paraId="4D57E047">
            <w:pPr>
              <w:pStyle w:val="203"/>
              <w:keepNext w:val="0"/>
              <w:keepLines w:val="0"/>
              <w:pageBreakBefore w:val="0"/>
              <w:widowControl/>
              <w:kinsoku/>
              <w:wordWrap/>
              <w:overflowPunct/>
              <w:topLinePunct w:val="0"/>
              <w:autoSpaceDE/>
              <w:autoSpaceDN/>
              <w:bidi w:val="0"/>
              <w:adjustRightInd w:val="0"/>
              <w:snapToGrid w:val="0"/>
              <w:spacing w:line="360" w:lineRule="auto"/>
              <w:ind w:right="0" w:firstLine="420" w:firstLineChars="200"/>
              <w:jc w:val="both"/>
              <w:textAlignment w:val="auto"/>
              <w:rPr>
                <w:rFonts w:hint="default" w:ascii="Times New Roman" w:hAnsi="Times New Roman" w:eastAsia="宋体" w:cs="Times New Roman"/>
                <w:b w:val="0"/>
                <w:bCs w:val="0"/>
                <w:snapToGrid/>
                <w:color w:val="auto"/>
                <w:kern w:val="2"/>
                <w:sz w:val="21"/>
                <w:szCs w:val="21"/>
                <w:highlight w:val="none"/>
                <w:lang w:val="en-US" w:eastAsia="zh-CN" w:bidi="ar-SA"/>
              </w:rPr>
            </w:pPr>
            <w:r>
              <w:rPr>
                <w:rFonts w:hint="default" w:ascii="Times New Roman" w:hAnsi="Times New Roman" w:eastAsia="宋体" w:cs="Times New Roman"/>
                <w:b w:val="0"/>
                <w:bCs w:val="0"/>
                <w:snapToGrid/>
                <w:color w:val="auto"/>
                <w:kern w:val="2"/>
                <w:sz w:val="21"/>
                <w:szCs w:val="21"/>
                <w:highlight w:val="none"/>
                <w:lang w:val="en-US" w:eastAsia="zh-CN" w:bidi="ar-SA"/>
              </w:rPr>
              <w:t>根据建设项目环境管理办法，污染防治设施必须与主体工程同时设计、同时施工、同时投入使用。</w:t>
            </w:r>
            <w:r>
              <w:rPr>
                <w:rFonts w:hint="eastAsia" w:ascii="Times New Roman" w:hAnsi="Times New Roman" w:eastAsia="宋体" w:cs="Times New Roman"/>
                <w:b w:val="0"/>
                <w:bCs w:val="0"/>
                <w:snapToGrid/>
                <w:color w:val="auto"/>
                <w:kern w:val="2"/>
                <w:sz w:val="21"/>
                <w:szCs w:val="21"/>
                <w:highlight w:val="none"/>
                <w:lang w:val="en-US" w:eastAsia="zh-CN" w:bidi="ar-SA"/>
              </w:rPr>
              <w:t>本项目已建成，在满足竣工环境保护验收</w:t>
            </w:r>
            <w:r>
              <w:rPr>
                <w:rFonts w:hint="eastAsia" w:ascii="Times New Roman" w:hAnsi="Times New Roman" w:cs="Times New Roman"/>
                <w:b w:val="0"/>
                <w:bCs w:val="0"/>
                <w:snapToGrid/>
                <w:color w:val="auto"/>
                <w:kern w:val="2"/>
                <w:sz w:val="21"/>
                <w:szCs w:val="21"/>
                <w:highlight w:val="none"/>
                <w:lang w:val="en-US" w:eastAsia="zh-CN" w:bidi="ar-SA"/>
              </w:rPr>
              <w:t>条件</w:t>
            </w:r>
            <w:r>
              <w:rPr>
                <w:rFonts w:hint="eastAsia" w:ascii="Times New Roman" w:hAnsi="Times New Roman" w:eastAsia="宋体" w:cs="Times New Roman"/>
                <w:b w:val="0"/>
                <w:bCs w:val="0"/>
                <w:snapToGrid/>
                <w:color w:val="auto"/>
                <w:kern w:val="2"/>
                <w:sz w:val="21"/>
                <w:szCs w:val="21"/>
                <w:highlight w:val="none"/>
                <w:lang w:val="en-US" w:eastAsia="zh-CN" w:bidi="ar-SA"/>
              </w:rPr>
              <w:t>后，应</w:t>
            </w:r>
            <w:r>
              <w:rPr>
                <w:rFonts w:hint="default" w:ascii="Times New Roman" w:hAnsi="Times New Roman" w:eastAsia="宋体" w:cs="Times New Roman"/>
                <w:b w:val="0"/>
                <w:bCs w:val="0"/>
                <w:snapToGrid/>
                <w:color w:val="auto"/>
                <w:kern w:val="2"/>
                <w:sz w:val="21"/>
                <w:szCs w:val="21"/>
                <w:highlight w:val="none"/>
                <w:lang w:val="en-US" w:eastAsia="zh-CN" w:bidi="ar-SA"/>
              </w:rPr>
              <w:t>积极开展环保设施竣工验收</w:t>
            </w:r>
            <w:r>
              <w:rPr>
                <w:rFonts w:hint="eastAsia" w:ascii="Times New Roman" w:hAnsi="Times New Roman" w:eastAsia="宋体" w:cs="Times New Roman"/>
                <w:b w:val="0"/>
                <w:bCs w:val="0"/>
                <w:snapToGrid/>
                <w:color w:val="auto"/>
                <w:kern w:val="2"/>
                <w:sz w:val="21"/>
                <w:szCs w:val="21"/>
                <w:highlight w:val="none"/>
                <w:lang w:val="en-US" w:eastAsia="zh-CN" w:bidi="ar-SA"/>
              </w:rPr>
              <w:t>工作</w:t>
            </w:r>
            <w:r>
              <w:rPr>
                <w:rFonts w:hint="default" w:ascii="Times New Roman" w:hAnsi="Times New Roman" w:eastAsia="宋体" w:cs="Times New Roman"/>
                <w:b w:val="0"/>
                <w:bCs w:val="0"/>
                <w:snapToGrid/>
                <w:color w:val="auto"/>
                <w:kern w:val="2"/>
                <w:sz w:val="21"/>
                <w:szCs w:val="21"/>
                <w:highlight w:val="none"/>
                <w:lang w:val="en-US" w:eastAsia="zh-CN" w:bidi="ar-SA"/>
              </w:rPr>
              <w:t>。</w:t>
            </w:r>
            <w:bookmarkStart w:id="17" w:name="_Toc12656"/>
          </w:p>
          <w:p w14:paraId="0BF614CD">
            <w:pPr>
              <w:pStyle w:val="203"/>
              <w:keepNext w:val="0"/>
              <w:keepLines w:val="0"/>
              <w:pageBreakBefore w:val="0"/>
              <w:widowControl/>
              <w:kinsoku/>
              <w:wordWrap/>
              <w:overflowPunct/>
              <w:topLinePunct w:val="0"/>
              <w:autoSpaceDE/>
              <w:autoSpaceDN/>
              <w:bidi w:val="0"/>
              <w:adjustRightInd w:val="0"/>
              <w:snapToGrid w:val="0"/>
              <w:spacing w:line="360" w:lineRule="auto"/>
              <w:ind w:right="0" w:firstLine="420" w:firstLineChars="200"/>
              <w:jc w:val="both"/>
              <w:textAlignment w:val="auto"/>
              <w:rPr>
                <w:rFonts w:hint="eastAsia" w:ascii="Times New Roman" w:hAnsi="Times New Roman" w:eastAsia="宋体" w:cs="Times New Roman"/>
                <w:b w:val="0"/>
                <w:bCs w:val="0"/>
                <w:snapToGrid/>
                <w:color w:val="auto"/>
                <w:kern w:val="2"/>
                <w:sz w:val="21"/>
                <w:szCs w:val="21"/>
                <w:highlight w:val="none"/>
                <w:lang w:val="en-US" w:eastAsia="zh-CN" w:bidi="ar-SA"/>
              </w:rPr>
            </w:pPr>
            <w:r>
              <w:rPr>
                <w:rFonts w:hint="eastAsia" w:ascii="Times New Roman" w:hAnsi="Times New Roman" w:eastAsia="宋体" w:cs="Times New Roman"/>
                <w:b w:val="0"/>
                <w:bCs w:val="0"/>
                <w:snapToGrid/>
                <w:color w:val="auto"/>
                <w:kern w:val="2"/>
                <w:sz w:val="21"/>
                <w:szCs w:val="21"/>
                <w:highlight w:val="none"/>
                <w:lang w:val="en-US" w:eastAsia="zh-CN" w:bidi="ar-SA"/>
              </w:rPr>
              <w:t>（5）例行监测</w:t>
            </w:r>
            <w:bookmarkEnd w:id="17"/>
          </w:p>
          <w:p w14:paraId="67733D79">
            <w:pPr>
              <w:pStyle w:val="203"/>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Chars="0" w:right="0" w:rightChars="0" w:firstLine="420" w:firstLineChars="200"/>
              <w:jc w:val="both"/>
              <w:textAlignment w:val="auto"/>
              <w:rPr>
                <w:rFonts w:hint="eastAsia" w:ascii="Times New Roman" w:hAnsi="Times New Roman" w:eastAsia="宋体" w:cs="Times New Roman"/>
                <w:b w:val="0"/>
                <w:bCs w:val="0"/>
                <w:snapToGrid/>
                <w:color w:val="auto"/>
                <w:kern w:val="2"/>
                <w:sz w:val="21"/>
                <w:szCs w:val="21"/>
                <w:highlight w:val="none"/>
                <w:lang w:val="en-US" w:eastAsia="zh-CN" w:bidi="ar-SA"/>
              </w:rPr>
            </w:pPr>
            <w:r>
              <w:rPr>
                <w:rFonts w:hint="eastAsia" w:ascii="Times New Roman" w:hAnsi="Times New Roman" w:eastAsia="宋体" w:cs="Times New Roman"/>
                <w:b w:val="0"/>
                <w:bCs w:val="0"/>
                <w:snapToGrid/>
                <w:color w:val="auto"/>
                <w:kern w:val="2"/>
                <w:sz w:val="21"/>
                <w:szCs w:val="21"/>
                <w:highlight w:val="none"/>
                <w:lang w:val="en-US" w:eastAsia="zh-CN" w:bidi="ar-SA"/>
              </w:rPr>
              <w:t>根据报告中提出的废气、噪声的监测计划要求开展本项目的例行监测。</w:t>
            </w:r>
          </w:p>
          <w:p w14:paraId="3A33E6F2">
            <w:pPr>
              <w:pStyle w:val="203"/>
              <w:keepNext w:val="0"/>
              <w:keepLines w:val="0"/>
              <w:pageBreakBefore w:val="0"/>
              <w:widowControl/>
              <w:numPr>
                <w:ilvl w:val="0"/>
                <w:numId w:val="6"/>
              </w:numPr>
              <w:kinsoku/>
              <w:wordWrap/>
              <w:overflowPunct/>
              <w:topLinePunct w:val="0"/>
              <w:autoSpaceDE/>
              <w:autoSpaceDN/>
              <w:bidi w:val="0"/>
              <w:adjustRightInd w:val="0"/>
              <w:snapToGrid w:val="0"/>
              <w:spacing w:line="360" w:lineRule="auto"/>
              <w:ind w:leftChars="0" w:right="0" w:rightChars="0" w:firstLine="420" w:firstLineChars="200"/>
              <w:jc w:val="both"/>
              <w:textAlignment w:val="auto"/>
              <w:rPr>
                <w:rFonts w:hint="eastAsia" w:ascii="Times New Roman" w:hAnsi="Times New Roman" w:cs="Times New Roman"/>
                <w:b w:val="0"/>
                <w:bCs w:val="0"/>
                <w:snapToGrid/>
                <w:color w:val="auto"/>
                <w:kern w:val="2"/>
                <w:sz w:val="21"/>
                <w:szCs w:val="21"/>
                <w:highlight w:val="none"/>
                <w:lang w:val="en-US" w:eastAsia="zh-CN" w:bidi="ar-SA"/>
              </w:rPr>
            </w:pPr>
            <w:r>
              <w:rPr>
                <w:rFonts w:hint="eastAsia" w:ascii="Times New Roman" w:hAnsi="Times New Roman" w:cs="Times New Roman"/>
                <w:b w:val="0"/>
                <w:bCs w:val="0"/>
                <w:snapToGrid/>
                <w:color w:val="auto"/>
                <w:kern w:val="2"/>
                <w:sz w:val="21"/>
                <w:szCs w:val="21"/>
                <w:highlight w:val="none"/>
                <w:lang w:val="en-US" w:eastAsia="zh-CN" w:bidi="ar-SA"/>
              </w:rPr>
              <w:t>清洁生产</w:t>
            </w:r>
            <w:r>
              <w:rPr>
                <w:rFonts w:hint="eastAsia"/>
                <w:color w:val="auto"/>
                <w:sz w:val="21"/>
                <w:szCs w:val="24"/>
                <w:lang w:val="en-US" w:eastAsia="zh-CN"/>
              </w:rPr>
              <w:t>分析</w:t>
            </w:r>
          </w:p>
          <w:p w14:paraId="2D8F41E2">
            <w:pPr>
              <w:pStyle w:val="203"/>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Chars="0" w:right="0" w:rightChars="0" w:firstLine="420" w:firstLineChars="200"/>
              <w:jc w:val="both"/>
              <w:textAlignment w:val="auto"/>
              <w:rPr>
                <w:rFonts w:hint="eastAsia" w:ascii="Times New Roman" w:hAnsi="Times New Roman" w:eastAsia="宋体" w:cs="Times New Roman"/>
                <w:b w:val="0"/>
                <w:bCs w:val="0"/>
                <w:snapToGrid/>
                <w:color w:val="auto"/>
                <w:kern w:val="2"/>
                <w:sz w:val="21"/>
                <w:szCs w:val="21"/>
                <w:highlight w:val="none"/>
                <w:lang w:val="en-US" w:eastAsia="zh-CN" w:bidi="ar-SA"/>
              </w:rPr>
            </w:pPr>
            <w:r>
              <w:rPr>
                <w:rFonts w:hint="eastAsia" w:ascii="Times New Roman" w:hAnsi="Times New Roman" w:eastAsia="宋体" w:cs="Times New Roman"/>
                <w:b w:val="0"/>
                <w:bCs w:val="0"/>
                <w:snapToGrid/>
                <w:color w:val="auto"/>
                <w:kern w:val="2"/>
                <w:sz w:val="21"/>
                <w:szCs w:val="21"/>
                <w:highlight w:val="none"/>
                <w:lang w:val="en-US" w:eastAsia="zh-CN" w:bidi="ar-SA"/>
              </w:rPr>
              <w:t>本项目含废酸再生工序，新酸耗比率15%左右，MgO涂层收集槽清洗后废水及带钢喷淋冷却废水经沉淀后循环利用，蒸汽冷凝水回用蒸汽锅炉，项目水重复利用率98%左右，通过废酸再生，可大大降低新酸采购成本，并减少危险废物处置量，减少危废处置费用；通过水循环利用，可减少污水外排，降低污水处置成本，循环水系统优化可降低设备腐蚀与结垢，延长其寿命，减少维修成本，同时废酸再生、水循环利用可减少污水排放对土壤、地下水的污染，降低生态修复成本，提升企业绿色形象，助力企业达双碳</w:t>
            </w:r>
            <w:r>
              <w:rPr>
                <w:rFonts w:hint="eastAsia" w:ascii="Times New Roman" w:hAnsi="Times New Roman" w:cs="Times New Roman"/>
                <w:b w:val="0"/>
                <w:bCs w:val="0"/>
                <w:snapToGrid/>
                <w:color w:val="auto"/>
                <w:kern w:val="2"/>
                <w:sz w:val="21"/>
                <w:szCs w:val="21"/>
                <w:highlight w:val="none"/>
                <w:lang w:val="en-US" w:eastAsia="zh-CN" w:bidi="ar-SA"/>
              </w:rPr>
              <w:t>、节能、环保</w:t>
            </w:r>
            <w:r>
              <w:rPr>
                <w:rFonts w:hint="eastAsia" w:ascii="Times New Roman" w:hAnsi="Times New Roman" w:eastAsia="宋体" w:cs="Times New Roman"/>
                <w:b w:val="0"/>
                <w:bCs w:val="0"/>
                <w:snapToGrid/>
                <w:color w:val="auto"/>
                <w:kern w:val="2"/>
                <w:sz w:val="21"/>
                <w:szCs w:val="21"/>
                <w:highlight w:val="none"/>
                <w:lang w:val="en-US" w:eastAsia="zh-CN" w:bidi="ar-SA"/>
              </w:rPr>
              <w:t>目标。</w:t>
            </w:r>
          </w:p>
          <w:p w14:paraId="557BDC34">
            <w:pPr>
              <w:pStyle w:val="203"/>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Chars="0" w:right="0" w:rightChars="0" w:firstLine="420" w:firstLineChars="200"/>
              <w:jc w:val="both"/>
              <w:textAlignment w:val="auto"/>
              <w:rPr>
                <w:rFonts w:hint="eastAsia" w:ascii="Times New Roman" w:hAnsi="Times New Roman" w:eastAsia="宋体" w:cs="Times New Roman"/>
                <w:b w:val="0"/>
                <w:bCs w:val="0"/>
                <w:snapToGrid/>
                <w:color w:val="auto"/>
                <w:kern w:val="2"/>
                <w:sz w:val="21"/>
                <w:szCs w:val="21"/>
                <w:highlight w:val="none"/>
                <w:lang w:val="en-US" w:eastAsia="zh-CN" w:bidi="ar-SA"/>
              </w:rPr>
            </w:pPr>
          </w:p>
          <w:p w14:paraId="21618914">
            <w:pPr>
              <w:pStyle w:val="203"/>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right="0" w:rightChars="0"/>
              <w:jc w:val="both"/>
              <w:textAlignment w:val="auto"/>
              <w:rPr>
                <w:rFonts w:hint="default" w:ascii="Times New Roman" w:hAnsi="Times New Roman" w:eastAsia="宋体" w:cs="Times New Roman"/>
                <w:b w:val="0"/>
                <w:bCs w:val="0"/>
                <w:snapToGrid/>
                <w:color w:val="auto"/>
                <w:kern w:val="2"/>
                <w:sz w:val="21"/>
                <w:szCs w:val="21"/>
                <w:highlight w:val="none"/>
                <w:lang w:val="en-US" w:eastAsia="zh-CN" w:bidi="ar-SA"/>
              </w:rPr>
            </w:pPr>
          </w:p>
        </w:tc>
      </w:tr>
    </w:tbl>
    <w:p w14:paraId="21023A68">
      <w:pPr>
        <w:pStyle w:val="29"/>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textAlignment w:val="auto"/>
        <w:outlineLvl w:val="0"/>
        <w:rPr>
          <w:rFonts w:hint="default" w:ascii="Times New Roman" w:hAnsi="Times New Roman" w:eastAsia="黑体" w:cs="Times New Roman"/>
          <w:snapToGrid w:val="0"/>
          <w:color w:val="auto"/>
          <w:sz w:val="32"/>
          <w:szCs w:val="32"/>
        </w:rPr>
        <w:sectPr>
          <w:footerReference r:id="rId4" w:type="default"/>
          <w:pgSz w:w="11906" w:h="16838"/>
          <w:pgMar w:top="1701" w:right="1531" w:bottom="1701" w:left="1531" w:header="851" w:footer="850" w:gutter="0"/>
          <w:pgBorders>
            <w:top w:val="none" w:sz="0" w:space="0"/>
            <w:left w:val="none" w:sz="0" w:space="0"/>
            <w:bottom w:val="none" w:sz="0" w:space="0"/>
            <w:right w:val="none" w:sz="0" w:space="0"/>
          </w:pgBorders>
          <w:pgNumType w:fmt="numberInDash"/>
          <w:cols w:space="0" w:num="1"/>
          <w:rtlGutter w:val="0"/>
          <w:docGrid w:linePitch="312" w:charSpace="0"/>
        </w:sectPr>
      </w:pPr>
      <w:bookmarkStart w:id="18" w:name="_Toc17995"/>
    </w:p>
    <w:p w14:paraId="26BBDD65">
      <w:pPr>
        <w:pStyle w:val="29"/>
        <w:jc w:val="center"/>
        <w:outlineLvl w:val="0"/>
        <w:rPr>
          <w:rFonts w:hint="default" w:ascii="Times New Roman" w:hAnsi="Times New Roman" w:eastAsia="黑体" w:cs="Times New Roman"/>
          <w:snapToGrid w:val="0"/>
          <w:color w:val="auto"/>
          <w:sz w:val="30"/>
          <w:szCs w:val="30"/>
        </w:rPr>
      </w:pPr>
      <w:bookmarkStart w:id="19" w:name="_Toc21996"/>
      <w:r>
        <w:rPr>
          <w:rFonts w:hint="default" w:ascii="Times New Roman" w:hAnsi="Times New Roman" w:eastAsia="黑体" w:cs="Times New Roman"/>
          <w:snapToGrid w:val="0"/>
          <w:color w:val="auto"/>
          <w:sz w:val="30"/>
          <w:szCs w:val="30"/>
        </w:rPr>
        <w:t>六、结论</w:t>
      </w:r>
      <w:bookmarkEnd w:id="19"/>
    </w:p>
    <w:tbl>
      <w:tblPr>
        <w:tblStyle w:val="3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368D26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22" w:hRule="atLeast"/>
          <w:jc w:val="center"/>
        </w:trPr>
        <w:tc>
          <w:tcPr>
            <w:tcW w:w="8865" w:type="dxa"/>
            <w:noWrap w:val="0"/>
            <w:vAlign w:val="top"/>
          </w:tcPr>
          <w:p w14:paraId="63F1281F">
            <w:pPr>
              <w:pStyle w:val="166"/>
              <w:keepNext w:val="0"/>
              <w:keepLines w:val="0"/>
              <w:pageBreakBefore w:val="0"/>
              <w:widowControl w:val="0"/>
              <w:kinsoku/>
              <w:wordWrap/>
              <w:overflowPunct/>
              <w:topLinePunct w:val="0"/>
              <w:autoSpaceDE/>
              <w:autoSpaceDN/>
              <w:bidi w:val="0"/>
              <w:adjustRightInd/>
              <w:snapToGrid/>
              <w:textAlignment w:val="baseline"/>
              <w:rPr>
                <w:rFonts w:hint="default" w:ascii="Times New Roman" w:hAnsi="Times New Roman" w:eastAsia="Times New Roman" w:cs="Times New Roman"/>
                <w:color w:val="auto"/>
                <w:sz w:val="21"/>
                <w:szCs w:val="21"/>
                <w:lang w:val="en-US" w:eastAsia="zh-CN"/>
              </w:rPr>
            </w:pPr>
            <w:r>
              <w:rPr>
                <w:rFonts w:hint="default" w:ascii="Times New Roman" w:hAnsi="Times New Roman" w:eastAsia="Times New Roman" w:cs="Times New Roman"/>
                <w:color w:val="auto"/>
                <w:sz w:val="21"/>
                <w:szCs w:val="21"/>
                <w:lang w:val="en-US" w:eastAsia="zh-CN"/>
              </w:rPr>
              <w:t>本项目建设符合国家产业政策要求，符合“三线一单”</w:t>
            </w:r>
            <w:r>
              <w:rPr>
                <w:rFonts w:hint="eastAsia" w:cs="Times New Roman"/>
                <w:color w:val="auto"/>
                <w:sz w:val="21"/>
                <w:szCs w:val="21"/>
                <w:lang w:val="en-US" w:eastAsia="zh-CN"/>
              </w:rPr>
              <w:t>分区管控要求</w:t>
            </w:r>
            <w:r>
              <w:rPr>
                <w:rFonts w:hint="default" w:ascii="Times New Roman" w:hAnsi="Times New Roman" w:eastAsia="Times New Roman" w:cs="Times New Roman"/>
                <w:color w:val="auto"/>
                <w:sz w:val="21"/>
                <w:szCs w:val="21"/>
                <w:lang w:val="en-US" w:eastAsia="zh-CN"/>
              </w:rPr>
              <w:t>及相关环保规划要求，项目用地性质属于</w:t>
            </w:r>
            <w:r>
              <w:rPr>
                <w:rFonts w:hint="eastAsia" w:cs="Times New Roman"/>
                <w:color w:val="auto"/>
                <w:sz w:val="21"/>
                <w:szCs w:val="21"/>
                <w:lang w:val="en-US" w:eastAsia="zh-CN"/>
              </w:rPr>
              <w:t>工业用地</w:t>
            </w:r>
            <w:r>
              <w:rPr>
                <w:rFonts w:hint="default" w:ascii="Times New Roman" w:hAnsi="Times New Roman" w:eastAsia="Times New Roman" w:cs="Times New Roman"/>
                <w:color w:val="auto"/>
                <w:sz w:val="21"/>
                <w:szCs w:val="21"/>
                <w:lang w:val="en-US" w:eastAsia="zh-CN"/>
              </w:rPr>
              <w:t>。本项目实施后产生的废气污染物经相应的环保措施治理后均可实现达标排放，厂界噪声可实现达标排放，</w:t>
            </w:r>
            <w:r>
              <w:rPr>
                <w:rFonts w:hint="eastAsia" w:cs="Times New Roman"/>
                <w:color w:val="auto"/>
                <w:sz w:val="21"/>
                <w:szCs w:val="21"/>
                <w:lang w:val="en-US" w:eastAsia="zh-CN"/>
              </w:rPr>
              <w:t>废水、</w:t>
            </w:r>
            <w:r>
              <w:rPr>
                <w:rFonts w:hint="default" w:ascii="Times New Roman" w:hAnsi="Times New Roman" w:eastAsia="Times New Roman" w:cs="Times New Roman"/>
                <w:color w:val="auto"/>
                <w:sz w:val="21"/>
                <w:szCs w:val="21"/>
                <w:lang w:val="en-US" w:eastAsia="zh-CN"/>
              </w:rPr>
              <w:t>固体废物处置去向合理，针对可能的环境风险采取必要的事故防范措施和应急措施，预计不会对环境产生明显不利影响。</w:t>
            </w:r>
          </w:p>
          <w:p w14:paraId="344C975E">
            <w:pPr>
              <w:pStyle w:val="166"/>
              <w:bidi w:val="0"/>
              <w:rPr>
                <w:rFonts w:hint="default" w:ascii="Times New Roman" w:hAnsi="Times New Roman" w:cs="Times New Roman"/>
                <w:color w:val="auto"/>
                <w:sz w:val="24"/>
              </w:rPr>
            </w:pPr>
            <w:r>
              <w:rPr>
                <w:rFonts w:hint="default" w:ascii="Times New Roman" w:hAnsi="Times New Roman" w:eastAsia="Times New Roman" w:cs="Times New Roman"/>
                <w:color w:val="auto"/>
                <w:sz w:val="21"/>
                <w:szCs w:val="21"/>
                <w:lang w:val="en-US" w:eastAsia="zh-CN"/>
              </w:rPr>
              <w:t>因此，从环境保护角度考虑，本项目的建设是合理、可行的。</w:t>
            </w:r>
          </w:p>
        </w:tc>
      </w:tr>
    </w:tbl>
    <w:p w14:paraId="79E594DE">
      <w:pPr>
        <w:rPr>
          <w:rFonts w:hint="default" w:ascii="Times New Roman" w:hAnsi="Times New Roman" w:cs="Times New Roman"/>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4F8EB175">
      <w:pPr>
        <w:pStyle w:val="29"/>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textAlignment w:val="auto"/>
        <w:outlineLvl w:val="0"/>
        <w:rPr>
          <w:rFonts w:hint="default" w:ascii="Times New Roman" w:hAnsi="Times New Roman" w:eastAsia="黑体" w:cs="Times New Roman"/>
          <w:snapToGrid w:val="0"/>
          <w:color w:val="auto"/>
          <w:sz w:val="32"/>
          <w:szCs w:val="32"/>
        </w:rPr>
      </w:pPr>
      <w:r>
        <w:rPr>
          <w:rFonts w:hint="default" w:ascii="Times New Roman" w:hAnsi="Times New Roman" w:eastAsia="黑体" w:cs="Times New Roman"/>
          <w:snapToGrid w:val="0"/>
          <w:color w:val="auto"/>
          <w:sz w:val="32"/>
          <w:szCs w:val="32"/>
        </w:rPr>
        <w:t>附表</w:t>
      </w:r>
      <w:bookmarkEnd w:id="18"/>
    </w:p>
    <w:p w14:paraId="127CA9A2">
      <w:pPr>
        <w:pStyle w:val="29"/>
        <w:adjustRightInd w:val="0"/>
        <w:snapToGrid w:val="0"/>
        <w:spacing w:before="0" w:beforeAutospacing="0" w:after="0" w:afterAutospacing="0" w:line="240" w:lineRule="auto"/>
        <w:jc w:val="center"/>
        <w:outlineLvl w:val="0"/>
        <w:rPr>
          <w:rFonts w:hint="default" w:ascii="Times New Roman" w:hAnsi="Times New Roman" w:eastAsia="方正小标宋_GBK" w:cs="Times New Roman"/>
          <w:snapToGrid w:val="0"/>
          <w:color w:val="auto"/>
          <w:sz w:val="32"/>
          <w:szCs w:val="32"/>
          <w:lang w:val="en-US" w:eastAsia="zh-CN"/>
        </w:rPr>
      </w:pPr>
      <w:bookmarkStart w:id="20" w:name="_Toc6922"/>
      <w:r>
        <w:rPr>
          <w:rFonts w:hint="default" w:ascii="Times New Roman" w:hAnsi="Times New Roman" w:eastAsia="方正小标宋_GBK" w:cs="Times New Roman"/>
          <w:snapToGrid w:val="0"/>
          <w:color w:val="auto"/>
          <w:sz w:val="32"/>
          <w:szCs w:val="32"/>
        </w:rPr>
        <w:t>建设项目污染物排放量汇总表</w:t>
      </w:r>
      <w:bookmarkEnd w:id="20"/>
      <w:r>
        <w:rPr>
          <w:rFonts w:hint="eastAsia" w:ascii="Times New Roman" w:hAnsi="Times New Roman" w:eastAsia="方正小标宋_GBK" w:cs="Times New Roman"/>
          <w:snapToGrid w:val="0"/>
          <w:color w:val="auto"/>
          <w:sz w:val="32"/>
          <w:szCs w:val="32"/>
          <w:lang w:val="en-US" w:eastAsia="zh-CN"/>
        </w:rPr>
        <w:t xml:space="preserve">  单位：t/a</w:t>
      </w:r>
    </w:p>
    <w:tbl>
      <w:tblPr>
        <w:tblStyle w:val="33"/>
        <w:tblW w:w="1341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90"/>
        <w:gridCol w:w="1328"/>
        <w:gridCol w:w="1594"/>
        <w:gridCol w:w="1195"/>
        <w:gridCol w:w="1594"/>
        <w:gridCol w:w="1462"/>
        <w:gridCol w:w="1651"/>
        <w:gridCol w:w="1838"/>
        <w:gridCol w:w="1264"/>
      </w:tblGrid>
      <w:tr w14:paraId="402D4C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2" w:hRule="atLeast"/>
        </w:trPr>
        <w:tc>
          <w:tcPr>
            <w:tcW w:w="1490" w:type="dxa"/>
            <w:tcBorders>
              <w:tl2br w:val="single" w:color="auto" w:sz="4" w:space="0"/>
            </w:tcBorders>
            <w:noWrap w:val="0"/>
            <w:tcMar>
              <w:left w:w="28" w:type="dxa"/>
              <w:right w:w="28" w:type="dxa"/>
            </w:tcMar>
            <w:vAlign w:val="center"/>
          </w:tcPr>
          <w:p w14:paraId="22EE6AA8">
            <w:pPr>
              <w:pStyle w:val="69"/>
              <w:keepNext w:val="0"/>
              <w:keepLines w:val="0"/>
              <w:pageBreakBefore w:val="0"/>
              <w:widowControl w:val="0"/>
              <w:kinsoku/>
              <w:wordWrap/>
              <w:overflowPunct/>
              <w:topLinePunct w:val="0"/>
              <w:autoSpaceDE/>
              <w:autoSpaceDN/>
              <w:bidi w:val="0"/>
              <w:spacing w:beforeLines="0" w:afterLines="0" w:line="320" w:lineRule="exact"/>
              <w:jc w:val="right"/>
              <w:textAlignment w:val="auto"/>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t>项目</w:t>
            </w:r>
          </w:p>
          <w:p w14:paraId="7C9035B3">
            <w:pPr>
              <w:pStyle w:val="69"/>
              <w:keepNext w:val="0"/>
              <w:keepLines w:val="0"/>
              <w:pageBreakBefore w:val="0"/>
              <w:widowControl w:val="0"/>
              <w:kinsoku/>
              <w:wordWrap/>
              <w:overflowPunct/>
              <w:topLinePunct w:val="0"/>
              <w:autoSpaceDE/>
              <w:autoSpaceDN/>
              <w:bidi w:val="0"/>
              <w:spacing w:beforeLines="0" w:afterLines="0" w:line="320" w:lineRule="exact"/>
              <w:jc w:val="left"/>
              <w:textAlignment w:val="auto"/>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t>分类</w:t>
            </w:r>
          </w:p>
        </w:tc>
        <w:tc>
          <w:tcPr>
            <w:tcW w:w="1328" w:type="dxa"/>
            <w:noWrap w:val="0"/>
            <w:tcMar>
              <w:left w:w="28" w:type="dxa"/>
              <w:right w:w="28" w:type="dxa"/>
            </w:tcMar>
            <w:vAlign w:val="center"/>
          </w:tcPr>
          <w:p w14:paraId="587356B2">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t>污染物名称</w:t>
            </w:r>
          </w:p>
        </w:tc>
        <w:tc>
          <w:tcPr>
            <w:tcW w:w="1594" w:type="dxa"/>
            <w:noWrap w:val="0"/>
            <w:tcMar>
              <w:left w:w="28" w:type="dxa"/>
              <w:right w:w="28" w:type="dxa"/>
            </w:tcMar>
            <w:vAlign w:val="center"/>
          </w:tcPr>
          <w:p w14:paraId="4CAD48D2">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t>现有工程</w:t>
            </w:r>
          </w:p>
          <w:p w14:paraId="3CD0FCFC">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t>排放量（固体废物产生量）</w:t>
            </w:r>
            <w:r>
              <w:rPr>
                <w:rFonts w:hint="default" w:ascii="Times New Roman" w:hAnsi="Times New Roman" w:eastAsia="黑体" w:cs="Times New Roman"/>
                <w:snapToGrid w:val="0"/>
                <w:color w:val="auto"/>
                <w:spacing w:val="-6"/>
                <w:kern w:val="21"/>
                <w:sz w:val="21"/>
                <w:szCs w:val="21"/>
              </w:rPr>
              <w:fldChar w:fldCharType="begin"/>
            </w:r>
            <w:r>
              <w:rPr>
                <w:rFonts w:hint="default" w:ascii="Times New Roman" w:hAnsi="Times New Roman" w:eastAsia="黑体" w:cs="Times New Roman"/>
                <w:snapToGrid w:val="0"/>
                <w:color w:val="auto"/>
                <w:spacing w:val="-6"/>
                <w:kern w:val="21"/>
                <w:sz w:val="21"/>
                <w:szCs w:val="21"/>
              </w:rPr>
              <w:instrText xml:space="preserve"> = 1 \* GB3 \* MERGEFORMAT </w:instrText>
            </w:r>
            <w:r>
              <w:rPr>
                <w:rFonts w:hint="default" w:ascii="Times New Roman" w:hAnsi="Times New Roman" w:eastAsia="黑体" w:cs="Times New Roman"/>
                <w:snapToGrid w:val="0"/>
                <w:color w:val="auto"/>
                <w:spacing w:val="-6"/>
                <w:kern w:val="21"/>
                <w:sz w:val="21"/>
                <w:szCs w:val="21"/>
              </w:rPr>
              <w:fldChar w:fldCharType="separate"/>
            </w:r>
            <w:r>
              <w:rPr>
                <w:rFonts w:hint="default" w:ascii="Times New Roman" w:hAnsi="Times New Roman" w:eastAsia="黑体" w:cs="Times New Roman"/>
                <w:color w:val="auto"/>
                <w:kern w:val="2"/>
                <w:sz w:val="21"/>
                <w:szCs w:val="21"/>
              </w:rPr>
              <w:t>①</w:t>
            </w:r>
            <w:r>
              <w:rPr>
                <w:rFonts w:hint="default" w:ascii="Times New Roman" w:hAnsi="Times New Roman" w:eastAsia="黑体" w:cs="Times New Roman"/>
                <w:snapToGrid w:val="0"/>
                <w:color w:val="auto"/>
                <w:spacing w:val="-6"/>
                <w:kern w:val="21"/>
                <w:sz w:val="21"/>
                <w:szCs w:val="21"/>
              </w:rPr>
              <w:fldChar w:fldCharType="end"/>
            </w:r>
          </w:p>
        </w:tc>
        <w:tc>
          <w:tcPr>
            <w:tcW w:w="1195" w:type="dxa"/>
            <w:noWrap w:val="0"/>
            <w:tcMar>
              <w:left w:w="28" w:type="dxa"/>
              <w:right w:w="28" w:type="dxa"/>
            </w:tcMar>
            <w:vAlign w:val="center"/>
          </w:tcPr>
          <w:p w14:paraId="0567B681">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t>现有工程</w:t>
            </w:r>
          </w:p>
          <w:p w14:paraId="6492AE8A">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t>许可排放量</w:t>
            </w:r>
          </w:p>
          <w:p w14:paraId="2AB4C2C9">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fldChar w:fldCharType="begin"/>
            </w:r>
            <w:r>
              <w:rPr>
                <w:rFonts w:hint="default" w:ascii="Times New Roman" w:hAnsi="Times New Roman" w:eastAsia="黑体" w:cs="Times New Roman"/>
                <w:snapToGrid w:val="0"/>
                <w:color w:val="auto"/>
                <w:spacing w:val="-6"/>
                <w:kern w:val="21"/>
                <w:sz w:val="21"/>
                <w:szCs w:val="21"/>
              </w:rPr>
              <w:instrText xml:space="preserve"> = 2 \* GB3 \* MERGEFORMAT </w:instrText>
            </w:r>
            <w:r>
              <w:rPr>
                <w:rFonts w:hint="default" w:ascii="Times New Roman" w:hAnsi="Times New Roman" w:eastAsia="黑体" w:cs="Times New Roman"/>
                <w:snapToGrid w:val="0"/>
                <w:color w:val="auto"/>
                <w:spacing w:val="-6"/>
                <w:kern w:val="21"/>
                <w:sz w:val="21"/>
                <w:szCs w:val="21"/>
              </w:rPr>
              <w:fldChar w:fldCharType="separate"/>
            </w:r>
            <w:r>
              <w:rPr>
                <w:rFonts w:hint="default" w:ascii="Times New Roman" w:hAnsi="Times New Roman" w:eastAsia="黑体" w:cs="Times New Roman"/>
                <w:snapToGrid w:val="0"/>
                <w:color w:val="auto"/>
                <w:spacing w:val="-6"/>
                <w:kern w:val="21"/>
                <w:sz w:val="21"/>
                <w:szCs w:val="21"/>
              </w:rPr>
              <w:t>②</w:t>
            </w:r>
            <w:r>
              <w:rPr>
                <w:rFonts w:hint="default" w:ascii="Times New Roman" w:hAnsi="Times New Roman" w:eastAsia="黑体" w:cs="Times New Roman"/>
                <w:snapToGrid w:val="0"/>
                <w:color w:val="auto"/>
                <w:spacing w:val="-6"/>
                <w:kern w:val="21"/>
                <w:sz w:val="21"/>
                <w:szCs w:val="21"/>
              </w:rPr>
              <w:fldChar w:fldCharType="end"/>
            </w:r>
          </w:p>
        </w:tc>
        <w:tc>
          <w:tcPr>
            <w:tcW w:w="1594" w:type="dxa"/>
            <w:noWrap w:val="0"/>
            <w:tcMar>
              <w:left w:w="28" w:type="dxa"/>
              <w:right w:w="28" w:type="dxa"/>
            </w:tcMar>
            <w:vAlign w:val="center"/>
          </w:tcPr>
          <w:p w14:paraId="036FC721">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t>在建工程</w:t>
            </w:r>
          </w:p>
          <w:p w14:paraId="43FB0415">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t>排放量（固体废物产生量）</w:t>
            </w:r>
            <w:r>
              <w:rPr>
                <w:rFonts w:hint="default" w:ascii="Times New Roman" w:hAnsi="Times New Roman" w:eastAsia="黑体" w:cs="Times New Roman"/>
                <w:snapToGrid w:val="0"/>
                <w:color w:val="auto"/>
                <w:spacing w:val="-6"/>
                <w:kern w:val="21"/>
                <w:sz w:val="21"/>
                <w:szCs w:val="21"/>
              </w:rPr>
              <w:fldChar w:fldCharType="begin"/>
            </w:r>
            <w:r>
              <w:rPr>
                <w:rFonts w:hint="default" w:ascii="Times New Roman" w:hAnsi="Times New Roman" w:eastAsia="黑体" w:cs="Times New Roman"/>
                <w:snapToGrid w:val="0"/>
                <w:color w:val="auto"/>
                <w:spacing w:val="-6"/>
                <w:kern w:val="21"/>
                <w:sz w:val="21"/>
                <w:szCs w:val="21"/>
              </w:rPr>
              <w:instrText xml:space="preserve"> = 3 \* GB3 \* MERGEFORMAT </w:instrText>
            </w:r>
            <w:r>
              <w:rPr>
                <w:rFonts w:hint="default" w:ascii="Times New Roman" w:hAnsi="Times New Roman" w:eastAsia="黑体" w:cs="Times New Roman"/>
                <w:snapToGrid w:val="0"/>
                <w:color w:val="auto"/>
                <w:spacing w:val="-6"/>
                <w:kern w:val="21"/>
                <w:sz w:val="21"/>
                <w:szCs w:val="21"/>
              </w:rPr>
              <w:fldChar w:fldCharType="separate"/>
            </w:r>
            <w:r>
              <w:rPr>
                <w:rFonts w:hint="default" w:ascii="Times New Roman" w:hAnsi="Times New Roman" w:eastAsia="黑体" w:cs="Times New Roman"/>
                <w:color w:val="auto"/>
                <w:kern w:val="2"/>
                <w:sz w:val="21"/>
                <w:szCs w:val="21"/>
              </w:rPr>
              <w:t>③</w:t>
            </w:r>
            <w:r>
              <w:rPr>
                <w:rFonts w:hint="default" w:ascii="Times New Roman" w:hAnsi="Times New Roman" w:eastAsia="黑体" w:cs="Times New Roman"/>
                <w:snapToGrid w:val="0"/>
                <w:color w:val="auto"/>
                <w:spacing w:val="-6"/>
                <w:kern w:val="21"/>
                <w:sz w:val="21"/>
                <w:szCs w:val="21"/>
              </w:rPr>
              <w:fldChar w:fldCharType="end"/>
            </w:r>
          </w:p>
        </w:tc>
        <w:tc>
          <w:tcPr>
            <w:tcW w:w="1462" w:type="dxa"/>
            <w:noWrap w:val="0"/>
            <w:tcMar>
              <w:left w:w="28" w:type="dxa"/>
              <w:right w:w="28" w:type="dxa"/>
            </w:tcMar>
            <w:vAlign w:val="center"/>
          </w:tcPr>
          <w:p w14:paraId="7DEA230F">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t>本项目</w:t>
            </w:r>
          </w:p>
          <w:p w14:paraId="2F266DB5">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t>排放量（固体废物产生量）</w:t>
            </w:r>
            <w:r>
              <w:rPr>
                <w:rFonts w:hint="default" w:ascii="Times New Roman" w:hAnsi="Times New Roman" w:eastAsia="黑体" w:cs="Times New Roman"/>
                <w:snapToGrid w:val="0"/>
                <w:color w:val="auto"/>
                <w:spacing w:val="-6"/>
                <w:kern w:val="21"/>
                <w:sz w:val="21"/>
                <w:szCs w:val="21"/>
              </w:rPr>
              <w:fldChar w:fldCharType="begin"/>
            </w:r>
            <w:r>
              <w:rPr>
                <w:rFonts w:hint="default" w:ascii="Times New Roman" w:hAnsi="Times New Roman" w:eastAsia="黑体" w:cs="Times New Roman"/>
                <w:snapToGrid w:val="0"/>
                <w:color w:val="auto"/>
                <w:spacing w:val="-6"/>
                <w:kern w:val="21"/>
                <w:sz w:val="21"/>
                <w:szCs w:val="21"/>
              </w:rPr>
              <w:instrText xml:space="preserve"> = 4 \* GB3 \* MERGEFORMAT </w:instrText>
            </w:r>
            <w:r>
              <w:rPr>
                <w:rFonts w:hint="default" w:ascii="Times New Roman" w:hAnsi="Times New Roman" w:eastAsia="黑体" w:cs="Times New Roman"/>
                <w:snapToGrid w:val="0"/>
                <w:color w:val="auto"/>
                <w:spacing w:val="-6"/>
                <w:kern w:val="21"/>
                <w:sz w:val="21"/>
                <w:szCs w:val="21"/>
              </w:rPr>
              <w:fldChar w:fldCharType="separate"/>
            </w:r>
            <w:r>
              <w:rPr>
                <w:rFonts w:hint="default" w:ascii="Times New Roman" w:hAnsi="Times New Roman" w:eastAsia="黑体" w:cs="Times New Roman"/>
                <w:color w:val="auto"/>
                <w:kern w:val="2"/>
                <w:sz w:val="21"/>
                <w:szCs w:val="21"/>
              </w:rPr>
              <w:t>④</w:t>
            </w:r>
            <w:r>
              <w:rPr>
                <w:rFonts w:hint="default" w:ascii="Times New Roman" w:hAnsi="Times New Roman" w:eastAsia="黑体" w:cs="Times New Roman"/>
                <w:snapToGrid w:val="0"/>
                <w:color w:val="auto"/>
                <w:spacing w:val="-6"/>
                <w:kern w:val="21"/>
                <w:sz w:val="21"/>
                <w:szCs w:val="21"/>
              </w:rPr>
              <w:fldChar w:fldCharType="end"/>
            </w:r>
          </w:p>
        </w:tc>
        <w:tc>
          <w:tcPr>
            <w:tcW w:w="1651" w:type="dxa"/>
            <w:noWrap w:val="0"/>
            <w:tcMar>
              <w:left w:w="28" w:type="dxa"/>
              <w:right w:w="28" w:type="dxa"/>
            </w:tcMar>
            <w:vAlign w:val="center"/>
          </w:tcPr>
          <w:p w14:paraId="60CE13F9">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黑体" w:cs="Times New Roman"/>
                <w:snapToGrid w:val="0"/>
                <w:color w:val="auto"/>
                <w:spacing w:val="-16"/>
                <w:kern w:val="21"/>
                <w:sz w:val="21"/>
                <w:szCs w:val="21"/>
              </w:rPr>
            </w:pPr>
            <w:r>
              <w:rPr>
                <w:rFonts w:hint="default" w:ascii="Times New Roman" w:hAnsi="Times New Roman" w:eastAsia="黑体" w:cs="Times New Roman"/>
                <w:snapToGrid w:val="0"/>
                <w:color w:val="auto"/>
                <w:spacing w:val="-16"/>
                <w:kern w:val="21"/>
                <w:sz w:val="21"/>
                <w:szCs w:val="21"/>
              </w:rPr>
              <w:t>以新带老削减量</w:t>
            </w:r>
          </w:p>
          <w:p w14:paraId="293BBA75">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黑体" w:cs="Times New Roman"/>
                <w:snapToGrid w:val="0"/>
                <w:color w:val="auto"/>
                <w:spacing w:val="-16"/>
                <w:kern w:val="21"/>
                <w:sz w:val="21"/>
                <w:szCs w:val="21"/>
              </w:rPr>
            </w:pPr>
            <w:r>
              <w:rPr>
                <w:rFonts w:hint="default" w:ascii="Times New Roman" w:hAnsi="Times New Roman" w:eastAsia="黑体" w:cs="Times New Roman"/>
                <w:snapToGrid w:val="0"/>
                <w:color w:val="auto"/>
                <w:spacing w:val="-16"/>
                <w:kern w:val="21"/>
                <w:sz w:val="21"/>
                <w:szCs w:val="21"/>
              </w:rPr>
              <w:t>（新建项目不填）</w:t>
            </w:r>
            <w:r>
              <w:rPr>
                <w:rFonts w:hint="default" w:ascii="Times New Roman" w:hAnsi="Times New Roman" w:eastAsia="黑体" w:cs="Times New Roman"/>
                <w:snapToGrid w:val="0"/>
                <w:color w:val="auto"/>
                <w:spacing w:val="-16"/>
                <w:kern w:val="21"/>
                <w:sz w:val="21"/>
                <w:szCs w:val="21"/>
              </w:rPr>
              <w:fldChar w:fldCharType="begin"/>
            </w:r>
            <w:r>
              <w:rPr>
                <w:rFonts w:hint="default" w:ascii="Times New Roman" w:hAnsi="Times New Roman" w:eastAsia="黑体" w:cs="Times New Roman"/>
                <w:snapToGrid w:val="0"/>
                <w:color w:val="auto"/>
                <w:spacing w:val="-16"/>
                <w:kern w:val="21"/>
                <w:sz w:val="21"/>
                <w:szCs w:val="21"/>
              </w:rPr>
              <w:instrText xml:space="preserve"> = 5 \* GB3 \* MERGEFORMAT </w:instrText>
            </w:r>
            <w:r>
              <w:rPr>
                <w:rFonts w:hint="default" w:ascii="Times New Roman" w:hAnsi="Times New Roman" w:eastAsia="黑体" w:cs="Times New Roman"/>
                <w:snapToGrid w:val="0"/>
                <w:color w:val="auto"/>
                <w:spacing w:val="-16"/>
                <w:kern w:val="21"/>
                <w:sz w:val="21"/>
                <w:szCs w:val="21"/>
              </w:rPr>
              <w:fldChar w:fldCharType="separate"/>
            </w:r>
            <w:r>
              <w:rPr>
                <w:rFonts w:hint="default" w:ascii="Times New Roman" w:hAnsi="Times New Roman" w:eastAsia="黑体" w:cs="Times New Roman"/>
                <w:color w:val="auto"/>
                <w:kern w:val="2"/>
                <w:sz w:val="21"/>
                <w:szCs w:val="21"/>
              </w:rPr>
              <w:t>⑤</w:t>
            </w:r>
            <w:r>
              <w:rPr>
                <w:rFonts w:hint="default" w:ascii="Times New Roman" w:hAnsi="Times New Roman" w:eastAsia="黑体" w:cs="Times New Roman"/>
                <w:snapToGrid w:val="0"/>
                <w:color w:val="auto"/>
                <w:spacing w:val="-16"/>
                <w:kern w:val="21"/>
                <w:sz w:val="21"/>
                <w:szCs w:val="21"/>
              </w:rPr>
              <w:fldChar w:fldCharType="end"/>
            </w:r>
          </w:p>
        </w:tc>
        <w:tc>
          <w:tcPr>
            <w:tcW w:w="1838" w:type="dxa"/>
            <w:noWrap w:val="0"/>
            <w:tcMar>
              <w:left w:w="28" w:type="dxa"/>
              <w:right w:w="28" w:type="dxa"/>
            </w:tcMar>
            <w:vAlign w:val="center"/>
          </w:tcPr>
          <w:p w14:paraId="512E39A2">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黑体" w:cs="Times New Roman"/>
                <w:snapToGrid w:val="0"/>
                <w:color w:val="auto"/>
                <w:spacing w:val="-16"/>
                <w:kern w:val="21"/>
                <w:sz w:val="21"/>
                <w:szCs w:val="21"/>
              </w:rPr>
            </w:pPr>
            <w:r>
              <w:rPr>
                <w:rFonts w:hint="default" w:ascii="Times New Roman" w:hAnsi="Times New Roman" w:eastAsia="黑体" w:cs="Times New Roman"/>
                <w:snapToGrid w:val="0"/>
                <w:color w:val="auto"/>
                <w:spacing w:val="-16"/>
                <w:kern w:val="21"/>
                <w:sz w:val="21"/>
                <w:szCs w:val="21"/>
              </w:rPr>
              <w:t>本项目建成后</w:t>
            </w:r>
          </w:p>
          <w:p w14:paraId="42C7CDF8">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黑体" w:cs="Times New Roman"/>
                <w:snapToGrid w:val="0"/>
                <w:color w:val="auto"/>
                <w:spacing w:val="-16"/>
                <w:kern w:val="21"/>
                <w:sz w:val="21"/>
                <w:szCs w:val="21"/>
              </w:rPr>
            </w:pPr>
            <w:r>
              <w:rPr>
                <w:rFonts w:hint="default" w:ascii="Times New Roman" w:hAnsi="Times New Roman" w:eastAsia="黑体" w:cs="Times New Roman"/>
                <w:snapToGrid w:val="0"/>
                <w:color w:val="auto"/>
                <w:spacing w:val="-16"/>
                <w:kern w:val="21"/>
                <w:sz w:val="21"/>
                <w:szCs w:val="21"/>
              </w:rPr>
              <w:t>全厂排放量（固体废物产生量）</w:t>
            </w:r>
            <w:r>
              <w:rPr>
                <w:rFonts w:hint="default" w:ascii="Times New Roman" w:hAnsi="Times New Roman" w:eastAsia="黑体" w:cs="Times New Roman"/>
                <w:snapToGrid w:val="0"/>
                <w:color w:val="auto"/>
                <w:spacing w:val="-16"/>
                <w:kern w:val="21"/>
                <w:sz w:val="21"/>
                <w:szCs w:val="21"/>
              </w:rPr>
              <w:fldChar w:fldCharType="begin"/>
            </w:r>
            <w:r>
              <w:rPr>
                <w:rFonts w:hint="default" w:ascii="Times New Roman" w:hAnsi="Times New Roman" w:eastAsia="黑体" w:cs="Times New Roman"/>
                <w:snapToGrid w:val="0"/>
                <w:color w:val="auto"/>
                <w:spacing w:val="-16"/>
                <w:kern w:val="21"/>
                <w:sz w:val="21"/>
                <w:szCs w:val="21"/>
              </w:rPr>
              <w:instrText xml:space="preserve"> = 6 \* GB3 \* MERGEFORMAT </w:instrText>
            </w:r>
            <w:r>
              <w:rPr>
                <w:rFonts w:hint="default" w:ascii="Times New Roman" w:hAnsi="Times New Roman" w:eastAsia="黑体" w:cs="Times New Roman"/>
                <w:snapToGrid w:val="0"/>
                <w:color w:val="auto"/>
                <w:spacing w:val="-16"/>
                <w:kern w:val="21"/>
                <w:sz w:val="21"/>
                <w:szCs w:val="21"/>
              </w:rPr>
              <w:fldChar w:fldCharType="separate"/>
            </w:r>
            <w:r>
              <w:rPr>
                <w:rFonts w:hint="default" w:ascii="Times New Roman" w:hAnsi="Times New Roman" w:eastAsia="黑体" w:cs="Times New Roman"/>
                <w:color w:val="auto"/>
                <w:kern w:val="2"/>
                <w:sz w:val="21"/>
                <w:szCs w:val="21"/>
              </w:rPr>
              <w:t>⑥</w:t>
            </w:r>
            <w:r>
              <w:rPr>
                <w:rFonts w:hint="default" w:ascii="Times New Roman" w:hAnsi="Times New Roman" w:eastAsia="黑体" w:cs="Times New Roman"/>
                <w:snapToGrid w:val="0"/>
                <w:color w:val="auto"/>
                <w:spacing w:val="-16"/>
                <w:kern w:val="21"/>
                <w:sz w:val="21"/>
                <w:szCs w:val="21"/>
              </w:rPr>
              <w:fldChar w:fldCharType="end"/>
            </w:r>
          </w:p>
        </w:tc>
        <w:tc>
          <w:tcPr>
            <w:tcW w:w="1264" w:type="dxa"/>
            <w:noWrap w:val="0"/>
            <w:tcMar>
              <w:left w:w="28" w:type="dxa"/>
              <w:right w:w="28" w:type="dxa"/>
            </w:tcMar>
            <w:vAlign w:val="center"/>
          </w:tcPr>
          <w:p w14:paraId="16BEDE6D">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t>变化量</w:t>
            </w:r>
          </w:p>
          <w:p w14:paraId="026AA7A8">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fldChar w:fldCharType="begin"/>
            </w:r>
            <w:r>
              <w:rPr>
                <w:rFonts w:hint="default" w:ascii="Times New Roman" w:hAnsi="Times New Roman" w:eastAsia="黑体" w:cs="Times New Roman"/>
                <w:snapToGrid w:val="0"/>
                <w:color w:val="auto"/>
                <w:spacing w:val="-6"/>
                <w:kern w:val="21"/>
                <w:sz w:val="21"/>
                <w:szCs w:val="21"/>
              </w:rPr>
              <w:instrText xml:space="preserve"> = 7 \* GB3 \* MERGEFORMAT </w:instrText>
            </w:r>
            <w:r>
              <w:rPr>
                <w:rFonts w:hint="default" w:ascii="Times New Roman" w:hAnsi="Times New Roman" w:eastAsia="黑体" w:cs="Times New Roman"/>
                <w:snapToGrid w:val="0"/>
                <w:color w:val="auto"/>
                <w:spacing w:val="-6"/>
                <w:kern w:val="21"/>
                <w:sz w:val="21"/>
                <w:szCs w:val="21"/>
              </w:rPr>
              <w:fldChar w:fldCharType="separate"/>
            </w:r>
            <w:r>
              <w:rPr>
                <w:rFonts w:hint="default" w:ascii="Times New Roman" w:hAnsi="Times New Roman" w:eastAsia="黑体" w:cs="Times New Roman"/>
                <w:color w:val="auto"/>
                <w:kern w:val="2"/>
                <w:sz w:val="21"/>
                <w:szCs w:val="21"/>
              </w:rPr>
              <w:t>⑦</w:t>
            </w:r>
            <w:r>
              <w:rPr>
                <w:rFonts w:hint="default" w:ascii="Times New Roman" w:hAnsi="Times New Roman" w:eastAsia="黑体" w:cs="Times New Roman"/>
                <w:snapToGrid w:val="0"/>
                <w:color w:val="auto"/>
                <w:spacing w:val="-6"/>
                <w:kern w:val="21"/>
                <w:sz w:val="21"/>
                <w:szCs w:val="21"/>
              </w:rPr>
              <w:fldChar w:fldCharType="end"/>
            </w:r>
          </w:p>
        </w:tc>
      </w:tr>
      <w:tr w14:paraId="563A64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1490" w:type="dxa"/>
            <w:vMerge w:val="restart"/>
            <w:noWrap w:val="0"/>
            <w:vAlign w:val="center"/>
          </w:tcPr>
          <w:p w14:paraId="4B6B9DC8">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废气</w:t>
            </w:r>
          </w:p>
        </w:tc>
        <w:tc>
          <w:tcPr>
            <w:tcW w:w="1328" w:type="dxa"/>
            <w:noWrap w:val="0"/>
            <w:vAlign w:val="center"/>
          </w:tcPr>
          <w:p w14:paraId="458219E7">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hAnsi="Times New Roman" w:eastAsia="宋体" w:cs="Times New Roman"/>
                <w:snapToGrid w:val="0"/>
                <w:color w:val="auto"/>
                <w:kern w:val="21"/>
                <w:sz w:val="21"/>
                <w:szCs w:val="21"/>
                <w:lang w:eastAsia="zh-CN"/>
              </w:rPr>
            </w:pPr>
            <w:r>
              <w:rPr>
                <w:rFonts w:hint="eastAsia" w:ascii="Times New Roman" w:cs="Times New Roman"/>
                <w:snapToGrid w:val="0"/>
                <w:color w:val="auto"/>
                <w:kern w:val="21"/>
                <w:sz w:val="21"/>
                <w:szCs w:val="21"/>
                <w:lang w:eastAsia="zh-CN"/>
              </w:rPr>
              <w:t>颗粒物</w:t>
            </w:r>
          </w:p>
        </w:tc>
        <w:tc>
          <w:tcPr>
            <w:tcW w:w="1594" w:type="dxa"/>
            <w:shd w:val="clear" w:color="auto" w:fill="auto"/>
            <w:noWrap w:val="0"/>
            <w:vAlign w:val="center"/>
          </w:tcPr>
          <w:p w14:paraId="5BF8331A">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bidi="ar-SA"/>
              </w:rPr>
              <w:t>0</w:t>
            </w:r>
          </w:p>
        </w:tc>
        <w:tc>
          <w:tcPr>
            <w:tcW w:w="1195" w:type="dxa"/>
            <w:shd w:val="clear" w:color="auto" w:fill="auto"/>
            <w:noWrap w:val="0"/>
            <w:vAlign w:val="center"/>
          </w:tcPr>
          <w:p w14:paraId="52F9CE03">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bidi="ar-SA"/>
              </w:rPr>
              <w:t>0</w:t>
            </w:r>
          </w:p>
        </w:tc>
        <w:tc>
          <w:tcPr>
            <w:tcW w:w="1594" w:type="dxa"/>
            <w:shd w:val="clear" w:color="auto" w:fill="auto"/>
            <w:noWrap w:val="0"/>
            <w:vAlign w:val="center"/>
          </w:tcPr>
          <w:p w14:paraId="5C3C03DD">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bidi="ar-SA"/>
              </w:rPr>
              <w:t>0</w:t>
            </w:r>
          </w:p>
        </w:tc>
        <w:tc>
          <w:tcPr>
            <w:tcW w:w="1462" w:type="dxa"/>
            <w:shd w:val="clear" w:color="auto" w:fill="auto"/>
            <w:noWrap w:val="0"/>
            <w:vAlign w:val="center"/>
          </w:tcPr>
          <w:p w14:paraId="674CF3C1">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8.424</w:t>
            </w:r>
          </w:p>
        </w:tc>
        <w:tc>
          <w:tcPr>
            <w:tcW w:w="1651" w:type="dxa"/>
            <w:shd w:val="clear" w:color="auto" w:fill="auto"/>
            <w:noWrap w:val="0"/>
            <w:vAlign w:val="center"/>
          </w:tcPr>
          <w:p w14:paraId="04FD88F0">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bidi="ar-SA"/>
              </w:rPr>
              <w:t>0</w:t>
            </w:r>
          </w:p>
        </w:tc>
        <w:tc>
          <w:tcPr>
            <w:tcW w:w="1838" w:type="dxa"/>
            <w:shd w:val="clear" w:color="auto" w:fill="auto"/>
            <w:noWrap w:val="0"/>
            <w:vAlign w:val="center"/>
          </w:tcPr>
          <w:p w14:paraId="787213A8">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8.424</w:t>
            </w:r>
          </w:p>
        </w:tc>
        <w:tc>
          <w:tcPr>
            <w:tcW w:w="1264" w:type="dxa"/>
            <w:shd w:val="clear" w:color="auto" w:fill="auto"/>
            <w:noWrap w:val="0"/>
            <w:vAlign w:val="center"/>
          </w:tcPr>
          <w:p w14:paraId="4BEB2038">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+8.424</w:t>
            </w:r>
          </w:p>
        </w:tc>
      </w:tr>
      <w:tr w14:paraId="06795F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1490" w:type="dxa"/>
            <w:vMerge w:val="continue"/>
            <w:noWrap w:val="0"/>
            <w:vAlign w:val="center"/>
          </w:tcPr>
          <w:p w14:paraId="61BB95C8">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p>
        </w:tc>
        <w:tc>
          <w:tcPr>
            <w:tcW w:w="1328" w:type="dxa"/>
            <w:noWrap w:val="0"/>
            <w:vAlign w:val="center"/>
          </w:tcPr>
          <w:p w14:paraId="7A10006D">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lang w:eastAsia="zh-CN"/>
              </w:rPr>
            </w:pPr>
            <w:r>
              <w:rPr>
                <w:rFonts w:hint="default" w:ascii="Times New Roman" w:hAnsi="Times New Roman" w:eastAsia="宋体" w:cs="Times New Roman"/>
                <w:color w:val="auto"/>
                <w:sz w:val="21"/>
                <w:szCs w:val="21"/>
                <w:highlight w:val="none"/>
                <w:lang w:val="en-US" w:eastAsia="zh-CN"/>
              </w:rPr>
              <w:t>SO</w:t>
            </w:r>
            <w:r>
              <w:rPr>
                <w:rFonts w:hint="default" w:ascii="Times New Roman" w:hAnsi="Times New Roman" w:eastAsia="宋体" w:cs="Times New Roman"/>
                <w:color w:val="auto"/>
                <w:sz w:val="21"/>
                <w:szCs w:val="21"/>
                <w:highlight w:val="none"/>
                <w:vertAlign w:val="subscript"/>
                <w:lang w:val="en-US" w:eastAsia="zh-CN"/>
              </w:rPr>
              <w:t>2</w:t>
            </w:r>
          </w:p>
        </w:tc>
        <w:tc>
          <w:tcPr>
            <w:tcW w:w="1594" w:type="dxa"/>
            <w:shd w:val="clear" w:color="auto" w:fill="auto"/>
            <w:noWrap w:val="0"/>
            <w:vAlign w:val="center"/>
          </w:tcPr>
          <w:p w14:paraId="222EB093">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w:t>
            </w:r>
          </w:p>
        </w:tc>
        <w:tc>
          <w:tcPr>
            <w:tcW w:w="1195" w:type="dxa"/>
            <w:shd w:val="clear" w:color="auto" w:fill="auto"/>
            <w:noWrap w:val="0"/>
            <w:vAlign w:val="center"/>
          </w:tcPr>
          <w:p w14:paraId="26C1E1AF">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w:t>
            </w:r>
          </w:p>
        </w:tc>
        <w:tc>
          <w:tcPr>
            <w:tcW w:w="1594" w:type="dxa"/>
            <w:shd w:val="clear" w:color="auto" w:fill="auto"/>
            <w:noWrap w:val="0"/>
            <w:vAlign w:val="center"/>
          </w:tcPr>
          <w:p w14:paraId="6C525B83">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w:t>
            </w:r>
          </w:p>
        </w:tc>
        <w:tc>
          <w:tcPr>
            <w:tcW w:w="1462" w:type="dxa"/>
            <w:shd w:val="clear" w:color="auto" w:fill="auto"/>
            <w:noWrap w:val="0"/>
            <w:vAlign w:val="center"/>
          </w:tcPr>
          <w:p w14:paraId="610FAC46">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4.638</w:t>
            </w:r>
          </w:p>
        </w:tc>
        <w:tc>
          <w:tcPr>
            <w:tcW w:w="1651" w:type="dxa"/>
            <w:shd w:val="clear" w:color="auto" w:fill="auto"/>
            <w:noWrap w:val="0"/>
            <w:vAlign w:val="center"/>
          </w:tcPr>
          <w:p w14:paraId="57032139">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w:t>
            </w:r>
          </w:p>
        </w:tc>
        <w:tc>
          <w:tcPr>
            <w:tcW w:w="1838" w:type="dxa"/>
            <w:shd w:val="clear" w:color="auto" w:fill="auto"/>
            <w:noWrap w:val="0"/>
            <w:vAlign w:val="center"/>
          </w:tcPr>
          <w:p w14:paraId="6E1BC48C">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4.638</w:t>
            </w:r>
          </w:p>
        </w:tc>
        <w:tc>
          <w:tcPr>
            <w:tcW w:w="1264" w:type="dxa"/>
            <w:shd w:val="clear" w:color="auto" w:fill="auto"/>
            <w:noWrap w:val="0"/>
            <w:vAlign w:val="center"/>
          </w:tcPr>
          <w:p w14:paraId="0F4D8FFC">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+4.638</w:t>
            </w:r>
          </w:p>
        </w:tc>
      </w:tr>
      <w:tr w14:paraId="3F0EC2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1490" w:type="dxa"/>
            <w:vMerge w:val="continue"/>
            <w:noWrap w:val="0"/>
            <w:vAlign w:val="center"/>
          </w:tcPr>
          <w:p w14:paraId="22F2CA91">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p>
        </w:tc>
        <w:tc>
          <w:tcPr>
            <w:tcW w:w="1328" w:type="dxa"/>
            <w:noWrap w:val="0"/>
            <w:vAlign w:val="center"/>
          </w:tcPr>
          <w:p w14:paraId="08668EC5">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lang w:eastAsia="zh-CN"/>
              </w:rPr>
            </w:pPr>
            <w:r>
              <w:rPr>
                <w:rFonts w:hint="default" w:ascii="Times New Roman" w:hAnsi="Times New Roman" w:eastAsia="宋体" w:cs="Times New Roman"/>
                <w:color w:val="auto"/>
                <w:sz w:val="21"/>
                <w:szCs w:val="21"/>
                <w:highlight w:val="none"/>
                <w:lang w:val="en-US" w:eastAsia="zh-CN"/>
              </w:rPr>
              <w:t>NO</w:t>
            </w:r>
            <w:r>
              <w:rPr>
                <w:rFonts w:hint="default" w:ascii="Times New Roman" w:hAnsi="Times New Roman" w:eastAsia="宋体" w:cs="Times New Roman"/>
                <w:color w:val="auto"/>
                <w:sz w:val="21"/>
                <w:szCs w:val="21"/>
                <w:highlight w:val="none"/>
                <w:vertAlign w:val="subscript"/>
                <w:lang w:val="en-US" w:eastAsia="zh-CN"/>
              </w:rPr>
              <w:t>X</w:t>
            </w:r>
          </w:p>
        </w:tc>
        <w:tc>
          <w:tcPr>
            <w:tcW w:w="1594" w:type="dxa"/>
            <w:shd w:val="clear" w:color="auto" w:fill="auto"/>
            <w:noWrap w:val="0"/>
            <w:vAlign w:val="center"/>
          </w:tcPr>
          <w:p w14:paraId="01AFDAEB">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w:t>
            </w:r>
          </w:p>
        </w:tc>
        <w:tc>
          <w:tcPr>
            <w:tcW w:w="1195" w:type="dxa"/>
            <w:shd w:val="clear" w:color="auto" w:fill="auto"/>
            <w:noWrap w:val="0"/>
            <w:vAlign w:val="center"/>
          </w:tcPr>
          <w:p w14:paraId="675D8155">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w:t>
            </w:r>
          </w:p>
        </w:tc>
        <w:tc>
          <w:tcPr>
            <w:tcW w:w="1594" w:type="dxa"/>
            <w:shd w:val="clear" w:color="auto" w:fill="auto"/>
            <w:noWrap w:val="0"/>
            <w:vAlign w:val="center"/>
          </w:tcPr>
          <w:p w14:paraId="49E2FA45">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w:t>
            </w:r>
          </w:p>
        </w:tc>
        <w:tc>
          <w:tcPr>
            <w:tcW w:w="1462" w:type="dxa"/>
            <w:shd w:val="clear" w:color="auto" w:fill="auto"/>
            <w:noWrap w:val="0"/>
            <w:vAlign w:val="center"/>
          </w:tcPr>
          <w:p w14:paraId="7E545D23">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32.071</w:t>
            </w:r>
          </w:p>
        </w:tc>
        <w:tc>
          <w:tcPr>
            <w:tcW w:w="1651" w:type="dxa"/>
            <w:shd w:val="clear" w:color="auto" w:fill="auto"/>
            <w:noWrap w:val="0"/>
            <w:vAlign w:val="center"/>
          </w:tcPr>
          <w:p w14:paraId="607C1B53">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w:t>
            </w:r>
          </w:p>
        </w:tc>
        <w:tc>
          <w:tcPr>
            <w:tcW w:w="1838" w:type="dxa"/>
            <w:shd w:val="clear" w:color="auto" w:fill="auto"/>
            <w:noWrap w:val="0"/>
            <w:vAlign w:val="center"/>
          </w:tcPr>
          <w:p w14:paraId="6C750515">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32.071</w:t>
            </w:r>
          </w:p>
        </w:tc>
        <w:tc>
          <w:tcPr>
            <w:tcW w:w="1264" w:type="dxa"/>
            <w:shd w:val="clear" w:color="auto" w:fill="auto"/>
            <w:noWrap w:val="0"/>
            <w:vAlign w:val="center"/>
          </w:tcPr>
          <w:p w14:paraId="1DCEA2AE">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+32.071</w:t>
            </w:r>
          </w:p>
        </w:tc>
      </w:tr>
      <w:tr w14:paraId="0F4694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1490" w:type="dxa"/>
            <w:vMerge w:val="continue"/>
            <w:noWrap w:val="0"/>
            <w:vAlign w:val="center"/>
          </w:tcPr>
          <w:p w14:paraId="53A86DDE">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p>
        </w:tc>
        <w:tc>
          <w:tcPr>
            <w:tcW w:w="1328" w:type="dxa"/>
            <w:shd w:val="clear" w:color="auto" w:fill="auto"/>
            <w:noWrap w:val="0"/>
            <w:vAlign w:val="center"/>
          </w:tcPr>
          <w:p w14:paraId="161C3064">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氯化氢</w:t>
            </w:r>
          </w:p>
        </w:tc>
        <w:tc>
          <w:tcPr>
            <w:tcW w:w="1594" w:type="dxa"/>
            <w:shd w:val="clear" w:color="auto" w:fill="auto"/>
            <w:noWrap w:val="0"/>
            <w:vAlign w:val="center"/>
          </w:tcPr>
          <w:p w14:paraId="309BA922">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w:t>
            </w:r>
          </w:p>
        </w:tc>
        <w:tc>
          <w:tcPr>
            <w:tcW w:w="1195" w:type="dxa"/>
            <w:shd w:val="clear" w:color="auto" w:fill="auto"/>
            <w:noWrap w:val="0"/>
            <w:vAlign w:val="center"/>
          </w:tcPr>
          <w:p w14:paraId="09296FE9">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w:t>
            </w:r>
          </w:p>
        </w:tc>
        <w:tc>
          <w:tcPr>
            <w:tcW w:w="1594" w:type="dxa"/>
            <w:shd w:val="clear" w:color="auto" w:fill="auto"/>
            <w:noWrap w:val="0"/>
            <w:vAlign w:val="center"/>
          </w:tcPr>
          <w:p w14:paraId="52166AE4">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w:t>
            </w:r>
          </w:p>
        </w:tc>
        <w:tc>
          <w:tcPr>
            <w:tcW w:w="1462" w:type="dxa"/>
            <w:shd w:val="clear" w:color="auto" w:fill="auto"/>
            <w:noWrap w:val="0"/>
            <w:vAlign w:val="center"/>
          </w:tcPr>
          <w:p w14:paraId="247A07BB">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4.63</w:t>
            </w:r>
          </w:p>
        </w:tc>
        <w:tc>
          <w:tcPr>
            <w:tcW w:w="1651" w:type="dxa"/>
            <w:shd w:val="clear" w:color="auto" w:fill="auto"/>
            <w:noWrap w:val="0"/>
            <w:vAlign w:val="center"/>
          </w:tcPr>
          <w:p w14:paraId="47CE6206">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w:t>
            </w:r>
          </w:p>
        </w:tc>
        <w:tc>
          <w:tcPr>
            <w:tcW w:w="1838" w:type="dxa"/>
            <w:shd w:val="clear" w:color="auto" w:fill="auto"/>
            <w:noWrap w:val="0"/>
            <w:vAlign w:val="center"/>
          </w:tcPr>
          <w:p w14:paraId="4F067E56">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4.63</w:t>
            </w:r>
          </w:p>
        </w:tc>
        <w:tc>
          <w:tcPr>
            <w:tcW w:w="1264" w:type="dxa"/>
            <w:shd w:val="clear" w:color="auto" w:fill="auto"/>
            <w:noWrap w:val="0"/>
            <w:vAlign w:val="center"/>
          </w:tcPr>
          <w:p w14:paraId="0AC8EF8E">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4.63</w:t>
            </w:r>
          </w:p>
        </w:tc>
      </w:tr>
      <w:tr w14:paraId="790A12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1490" w:type="dxa"/>
            <w:vMerge w:val="continue"/>
            <w:noWrap w:val="0"/>
            <w:vAlign w:val="center"/>
          </w:tcPr>
          <w:p w14:paraId="03BE6DB8">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p>
        </w:tc>
        <w:tc>
          <w:tcPr>
            <w:tcW w:w="1328" w:type="dxa"/>
            <w:shd w:val="clear" w:color="auto" w:fill="auto"/>
            <w:noWrap w:val="0"/>
            <w:vAlign w:val="center"/>
          </w:tcPr>
          <w:p w14:paraId="629A838B">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硫酸雾</w:t>
            </w:r>
          </w:p>
        </w:tc>
        <w:tc>
          <w:tcPr>
            <w:tcW w:w="1594" w:type="dxa"/>
            <w:shd w:val="clear" w:color="auto" w:fill="auto"/>
            <w:noWrap w:val="0"/>
            <w:vAlign w:val="center"/>
          </w:tcPr>
          <w:p w14:paraId="2A36C4DE">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w:t>
            </w:r>
          </w:p>
        </w:tc>
        <w:tc>
          <w:tcPr>
            <w:tcW w:w="1195" w:type="dxa"/>
            <w:shd w:val="clear" w:color="auto" w:fill="auto"/>
            <w:noWrap w:val="0"/>
            <w:vAlign w:val="center"/>
          </w:tcPr>
          <w:p w14:paraId="0E6BCE4E">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w:t>
            </w:r>
          </w:p>
        </w:tc>
        <w:tc>
          <w:tcPr>
            <w:tcW w:w="1594" w:type="dxa"/>
            <w:shd w:val="clear" w:color="auto" w:fill="auto"/>
            <w:noWrap w:val="0"/>
            <w:vAlign w:val="center"/>
          </w:tcPr>
          <w:p w14:paraId="017C3757">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w:t>
            </w:r>
          </w:p>
        </w:tc>
        <w:tc>
          <w:tcPr>
            <w:tcW w:w="1462" w:type="dxa"/>
            <w:shd w:val="clear" w:color="auto" w:fill="auto"/>
            <w:noWrap w:val="0"/>
            <w:vAlign w:val="center"/>
          </w:tcPr>
          <w:p w14:paraId="1B2E4FA6">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0.083</w:t>
            </w:r>
          </w:p>
        </w:tc>
        <w:tc>
          <w:tcPr>
            <w:tcW w:w="1651" w:type="dxa"/>
            <w:shd w:val="clear" w:color="auto" w:fill="auto"/>
            <w:noWrap w:val="0"/>
            <w:vAlign w:val="center"/>
          </w:tcPr>
          <w:p w14:paraId="4ACF6934">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w:t>
            </w:r>
          </w:p>
        </w:tc>
        <w:tc>
          <w:tcPr>
            <w:tcW w:w="1838" w:type="dxa"/>
            <w:shd w:val="clear" w:color="auto" w:fill="auto"/>
            <w:noWrap w:val="0"/>
            <w:vAlign w:val="center"/>
          </w:tcPr>
          <w:p w14:paraId="3F3E7D78">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0.083</w:t>
            </w:r>
          </w:p>
        </w:tc>
        <w:tc>
          <w:tcPr>
            <w:tcW w:w="1264" w:type="dxa"/>
            <w:shd w:val="clear" w:color="auto" w:fill="auto"/>
            <w:noWrap w:val="0"/>
            <w:vAlign w:val="center"/>
          </w:tcPr>
          <w:p w14:paraId="003CEB9E">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0.083</w:t>
            </w:r>
          </w:p>
        </w:tc>
      </w:tr>
      <w:tr w14:paraId="1B4661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1490" w:type="dxa"/>
            <w:vMerge w:val="continue"/>
            <w:noWrap w:val="0"/>
            <w:vAlign w:val="center"/>
          </w:tcPr>
          <w:p w14:paraId="1117FE0B">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p>
        </w:tc>
        <w:tc>
          <w:tcPr>
            <w:tcW w:w="1328" w:type="dxa"/>
            <w:shd w:val="clear" w:color="auto" w:fill="auto"/>
            <w:noWrap w:val="0"/>
            <w:vAlign w:val="center"/>
          </w:tcPr>
          <w:p w14:paraId="6E54306C">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油雾</w:t>
            </w:r>
          </w:p>
        </w:tc>
        <w:tc>
          <w:tcPr>
            <w:tcW w:w="1594" w:type="dxa"/>
            <w:shd w:val="clear" w:color="auto" w:fill="auto"/>
            <w:noWrap w:val="0"/>
            <w:vAlign w:val="center"/>
          </w:tcPr>
          <w:p w14:paraId="5F1C2CEA">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w:t>
            </w:r>
          </w:p>
        </w:tc>
        <w:tc>
          <w:tcPr>
            <w:tcW w:w="1195" w:type="dxa"/>
            <w:shd w:val="clear" w:color="auto" w:fill="auto"/>
            <w:noWrap w:val="0"/>
            <w:vAlign w:val="center"/>
          </w:tcPr>
          <w:p w14:paraId="15D4999F">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w:t>
            </w:r>
          </w:p>
        </w:tc>
        <w:tc>
          <w:tcPr>
            <w:tcW w:w="1594" w:type="dxa"/>
            <w:shd w:val="clear" w:color="auto" w:fill="auto"/>
            <w:noWrap w:val="0"/>
            <w:vAlign w:val="center"/>
          </w:tcPr>
          <w:p w14:paraId="50A0DC03">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w:t>
            </w:r>
          </w:p>
        </w:tc>
        <w:tc>
          <w:tcPr>
            <w:tcW w:w="1462" w:type="dxa"/>
            <w:shd w:val="clear" w:color="auto" w:fill="auto"/>
            <w:noWrap w:val="0"/>
            <w:vAlign w:val="center"/>
          </w:tcPr>
          <w:p w14:paraId="090DF8F3">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1.4</w:t>
            </w:r>
          </w:p>
        </w:tc>
        <w:tc>
          <w:tcPr>
            <w:tcW w:w="1651" w:type="dxa"/>
            <w:shd w:val="clear" w:color="auto" w:fill="auto"/>
            <w:noWrap w:val="0"/>
            <w:vAlign w:val="center"/>
          </w:tcPr>
          <w:p w14:paraId="740A2CA2">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w:t>
            </w:r>
          </w:p>
        </w:tc>
        <w:tc>
          <w:tcPr>
            <w:tcW w:w="1838" w:type="dxa"/>
            <w:shd w:val="clear" w:color="auto" w:fill="auto"/>
            <w:noWrap w:val="0"/>
            <w:vAlign w:val="center"/>
          </w:tcPr>
          <w:p w14:paraId="5AB4EE51">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1.4</w:t>
            </w:r>
          </w:p>
        </w:tc>
        <w:tc>
          <w:tcPr>
            <w:tcW w:w="1264" w:type="dxa"/>
            <w:shd w:val="clear" w:color="auto" w:fill="auto"/>
            <w:noWrap w:val="0"/>
            <w:vAlign w:val="center"/>
          </w:tcPr>
          <w:p w14:paraId="229BB1F4">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1.4</w:t>
            </w:r>
          </w:p>
        </w:tc>
      </w:tr>
      <w:tr w14:paraId="31E3C6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1490" w:type="dxa"/>
            <w:vMerge w:val="continue"/>
            <w:noWrap w:val="0"/>
            <w:vAlign w:val="center"/>
          </w:tcPr>
          <w:p w14:paraId="7B6FD978">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p>
        </w:tc>
        <w:tc>
          <w:tcPr>
            <w:tcW w:w="1328" w:type="dxa"/>
            <w:shd w:val="clear" w:color="auto" w:fill="auto"/>
            <w:noWrap w:val="0"/>
            <w:vAlign w:val="center"/>
          </w:tcPr>
          <w:p w14:paraId="5561160B">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碱雾</w:t>
            </w:r>
          </w:p>
        </w:tc>
        <w:tc>
          <w:tcPr>
            <w:tcW w:w="1594" w:type="dxa"/>
            <w:shd w:val="clear" w:color="auto" w:fill="auto"/>
            <w:noWrap w:val="0"/>
            <w:vAlign w:val="center"/>
          </w:tcPr>
          <w:p w14:paraId="78D83EA6">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w:t>
            </w:r>
          </w:p>
        </w:tc>
        <w:tc>
          <w:tcPr>
            <w:tcW w:w="1195" w:type="dxa"/>
            <w:shd w:val="clear" w:color="auto" w:fill="auto"/>
            <w:noWrap w:val="0"/>
            <w:vAlign w:val="center"/>
          </w:tcPr>
          <w:p w14:paraId="6EB7BD9D">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w:t>
            </w:r>
          </w:p>
        </w:tc>
        <w:tc>
          <w:tcPr>
            <w:tcW w:w="1594" w:type="dxa"/>
            <w:shd w:val="clear" w:color="auto" w:fill="auto"/>
            <w:noWrap w:val="0"/>
            <w:vAlign w:val="center"/>
          </w:tcPr>
          <w:p w14:paraId="6F565F06">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w:t>
            </w:r>
          </w:p>
        </w:tc>
        <w:tc>
          <w:tcPr>
            <w:tcW w:w="1462" w:type="dxa"/>
            <w:shd w:val="clear" w:color="auto" w:fill="auto"/>
            <w:noWrap w:val="0"/>
            <w:vAlign w:val="center"/>
          </w:tcPr>
          <w:p w14:paraId="28322C4A">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0.62</w:t>
            </w:r>
          </w:p>
        </w:tc>
        <w:tc>
          <w:tcPr>
            <w:tcW w:w="1651" w:type="dxa"/>
            <w:shd w:val="clear" w:color="auto" w:fill="auto"/>
            <w:noWrap w:val="0"/>
            <w:vAlign w:val="center"/>
          </w:tcPr>
          <w:p w14:paraId="353B17F4">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w:t>
            </w:r>
          </w:p>
        </w:tc>
        <w:tc>
          <w:tcPr>
            <w:tcW w:w="1838" w:type="dxa"/>
            <w:shd w:val="clear" w:color="auto" w:fill="auto"/>
            <w:noWrap w:val="0"/>
            <w:vAlign w:val="center"/>
          </w:tcPr>
          <w:p w14:paraId="5265C8E7">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0.62</w:t>
            </w:r>
          </w:p>
        </w:tc>
        <w:tc>
          <w:tcPr>
            <w:tcW w:w="1264" w:type="dxa"/>
            <w:shd w:val="clear" w:color="auto" w:fill="auto"/>
            <w:noWrap w:val="0"/>
            <w:vAlign w:val="center"/>
          </w:tcPr>
          <w:p w14:paraId="38A058F9">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0.62</w:t>
            </w:r>
          </w:p>
        </w:tc>
      </w:tr>
      <w:tr w14:paraId="283080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1490" w:type="dxa"/>
            <w:vMerge w:val="continue"/>
            <w:noWrap w:val="0"/>
            <w:vAlign w:val="center"/>
          </w:tcPr>
          <w:p w14:paraId="59CBD3F8">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p>
        </w:tc>
        <w:tc>
          <w:tcPr>
            <w:tcW w:w="1328" w:type="dxa"/>
            <w:shd w:val="clear" w:color="auto" w:fill="auto"/>
            <w:noWrap w:val="0"/>
            <w:vAlign w:val="center"/>
          </w:tcPr>
          <w:p w14:paraId="2A77B2C4">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氨</w:t>
            </w:r>
          </w:p>
        </w:tc>
        <w:tc>
          <w:tcPr>
            <w:tcW w:w="1594" w:type="dxa"/>
            <w:shd w:val="clear" w:color="auto" w:fill="auto"/>
            <w:noWrap w:val="0"/>
            <w:vAlign w:val="center"/>
          </w:tcPr>
          <w:p w14:paraId="2810DF80">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w:t>
            </w:r>
          </w:p>
        </w:tc>
        <w:tc>
          <w:tcPr>
            <w:tcW w:w="1195" w:type="dxa"/>
            <w:shd w:val="clear" w:color="auto" w:fill="auto"/>
            <w:noWrap w:val="0"/>
            <w:vAlign w:val="center"/>
          </w:tcPr>
          <w:p w14:paraId="488D74CA">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w:t>
            </w:r>
          </w:p>
        </w:tc>
        <w:tc>
          <w:tcPr>
            <w:tcW w:w="1594" w:type="dxa"/>
            <w:shd w:val="clear" w:color="auto" w:fill="auto"/>
            <w:noWrap w:val="0"/>
            <w:vAlign w:val="center"/>
          </w:tcPr>
          <w:p w14:paraId="1E9FED16">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w:t>
            </w:r>
          </w:p>
        </w:tc>
        <w:tc>
          <w:tcPr>
            <w:tcW w:w="1462" w:type="dxa"/>
            <w:noWrap w:val="0"/>
            <w:vAlign w:val="center"/>
          </w:tcPr>
          <w:p w14:paraId="43E61576">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0.13</w:t>
            </w:r>
          </w:p>
        </w:tc>
        <w:tc>
          <w:tcPr>
            <w:tcW w:w="1651" w:type="dxa"/>
            <w:shd w:val="clear" w:color="auto" w:fill="auto"/>
            <w:noWrap w:val="0"/>
            <w:vAlign w:val="center"/>
          </w:tcPr>
          <w:p w14:paraId="260892E2">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w:t>
            </w:r>
          </w:p>
        </w:tc>
        <w:tc>
          <w:tcPr>
            <w:tcW w:w="1838" w:type="dxa"/>
            <w:shd w:val="clear" w:color="auto" w:fill="auto"/>
            <w:noWrap w:val="0"/>
            <w:vAlign w:val="center"/>
          </w:tcPr>
          <w:p w14:paraId="003C663E">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0.13</w:t>
            </w:r>
          </w:p>
        </w:tc>
        <w:tc>
          <w:tcPr>
            <w:tcW w:w="1264" w:type="dxa"/>
            <w:shd w:val="clear" w:color="auto" w:fill="auto"/>
            <w:noWrap w:val="0"/>
            <w:vAlign w:val="center"/>
          </w:tcPr>
          <w:p w14:paraId="5DCD6495">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rPr>
              <w:t>+0.13</w:t>
            </w:r>
          </w:p>
        </w:tc>
      </w:tr>
      <w:tr w14:paraId="005608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restart"/>
            <w:noWrap w:val="0"/>
            <w:vAlign w:val="center"/>
          </w:tcPr>
          <w:p w14:paraId="66CE8E02">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废水</w:t>
            </w:r>
          </w:p>
        </w:tc>
        <w:tc>
          <w:tcPr>
            <w:tcW w:w="1328" w:type="dxa"/>
            <w:noWrap w:val="0"/>
            <w:vAlign w:val="center"/>
          </w:tcPr>
          <w:p w14:paraId="2187D695">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hAnsi="Times New Roman" w:eastAsia="宋体" w:cs="Times New Roman"/>
                <w:snapToGrid w:val="0"/>
                <w:color w:val="auto"/>
                <w:kern w:val="21"/>
                <w:sz w:val="21"/>
                <w:szCs w:val="21"/>
                <w:lang w:eastAsia="zh-CN"/>
              </w:rPr>
            </w:pPr>
            <w:r>
              <w:rPr>
                <w:rFonts w:hint="eastAsia" w:ascii="Times New Roman" w:cs="Times New Roman"/>
                <w:snapToGrid w:val="0"/>
                <w:color w:val="auto"/>
                <w:kern w:val="21"/>
                <w:sz w:val="21"/>
                <w:szCs w:val="21"/>
                <w:lang w:eastAsia="zh-CN"/>
              </w:rPr>
              <w:t>废水量</w:t>
            </w:r>
          </w:p>
        </w:tc>
        <w:tc>
          <w:tcPr>
            <w:tcW w:w="1594" w:type="dxa"/>
            <w:noWrap w:val="0"/>
            <w:vAlign w:val="center"/>
          </w:tcPr>
          <w:p w14:paraId="3C29E8EC">
            <w:pPr>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20" w:lineRule="exact"/>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rPr>
            </w:pPr>
            <w:r>
              <w:rPr>
                <w:rFonts w:hint="eastAsia" w:cs="Times New Roman"/>
                <w:snapToGrid w:val="0"/>
                <w:color w:val="auto"/>
                <w:kern w:val="21"/>
                <w:sz w:val="21"/>
                <w:szCs w:val="21"/>
                <w:lang w:val="en-US" w:eastAsia="zh-CN"/>
              </w:rPr>
              <w:t>0</w:t>
            </w:r>
          </w:p>
        </w:tc>
        <w:tc>
          <w:tcPr>
            <w:tcW w:w="1195" w:type="dxa"/>
            <w:shd w:val="clear" w:color="auto" w:fill="auto"/>
            <w:noWrap w:val="0"/>
            <w:vAlign w:val="center"/>
          </w:tcPr>
          <w:p w14:paraId="6D470CD3">
            <w:pPr>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20" w:lineRule="exact"/>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594" w:type="dxa"/>
            <w:shd w:val="clear" w:color="auto" w:fill="auto"/>
            <w:noWrap w:val="0"/>
            <w:vAlign w:val="center"/>
          </w:tcPr>
          <w:p w14:paraId="34619B29">
            <w:pPr>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20" w:lineRule="exact"/>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462" w:type="dxa"/>
            <w:shd w:val="clear" w:color="auto" w:fill="auto"/>
            <w:noWrap w:val="0"/>
            <w:vAlign w:val="center"/>
          </w:tcPr>
          <w:p w14:paraId="1326C721">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288583.13</w:t>
            </w:r>
          </w:p>
        </w:tc>
        <w:tc>
          <w:tcPr>
            <w:tcW w:w="1651" w:type="dxa"/>
            <w:shd w:val="clear" w:color="auto" w:fill="auto"/>
            <w:noWrap w:val="0"/>
            <w:vAlign w:val="center"/>
          </w:tcPr>
          <w:p w14:paraId="70361C41">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w:t>
            </w:r>
          </w:p>
        </w:tc>
        <w:tc>
          <w:tcPr>
            <w:tcW w:w="1838" w:type="dxa"/>
            <w:shd w:val="clear" w:color="auto" w:fill="auto"/>
            <w:noWrap w:val="0"/>
            <w:vAlign w:val="center"/>
          </w:tcPr>
          <w:p w14:paraId="732C9F41">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288583.13</w:t>
            </w:r>
          </w:p>
        </w:tc>
        <w:tc>
          <w:tcPr>
            <w:tcW w:w="1264" w:type="dxa"/>
            <w:shd w:val="clear" w:color="auto" w:fill="auto"/>
            <w:noWrap w:val="0"/>
            <w:vAlign w:val="center"/>
          </w:tcPr>
          <w:p w14:paraId="42DFFA84">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288583.13</w:t>
            </w:r>
          </w:p>
        </w:tc>
      </w:tr>
      <w:tr w14:paraId="3A96BD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1490" w:type="dxa"/>
            <w:vMerge w:val="continue"/>
            <w:noWrap w:val="0"/>
            <w:vAlign w:val="center"/>
          </w:tcPr>
          <w:p w14:paraId="19791BE0">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p>
        </w:tc>
        <w:tc>
          <w:tcPr>
            <w:tcW w:w="1328" w:type="dxa"/>
            <w:noWrap w:val="0"/>
            <w:vAlign w:val="center"/>
          </w:tcPr>
          <w:p w14:paraId="73860E32">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宋体"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COD</w:t>
            </w:r>
          </w:p>
        </w:tc>
        <w:tc>
          <w:tcPr>
            <w:tcW w:w="1594" w:type="dxa"/>
            <w:noWrap w:val="0"/>
            <w:vAlign w:val="center"/>
          </w:tcPr>
          <w:p w14:paraId="780CA6C7">
            <w:pPr>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20" w:lineRule="exact"/>
              <w:ind w:left="0" w:leftChars="0" w:right="0" w:rightChars="0" w:firstLine="0" w:firstLineChars="0"/>
              <w:jc w:val="center"/>
              <w:textAlignment w:val="auto"/>
              <w:rPr>
                <w:rFonts w:hint="eastAsia" w:ascii="Times New Roman" w:hAnsi="Times New Roman" w:eastAsia="宋体" w:cs="Times New Roman"/>
                <w:snapToGrid w:val="0"/>
                <w:color w:val="auto"/>
                <w:kern w:val="21"/>
                <w:sz w:val="21"/>
                <w:szCs w:val="21"/>
                <w:lang w:val="en-US" w:eastAsia="zh-CN"/>
              </w:rPr>
            </w:pPr>
            <w:r>
              <w:rPr>
                <w:rFonts w:hint="eastAsia" w:cs="Times New Roman"/>
                <w:snapToGrid w:val="0"/>
                <w:color w:val="auto"/>
                <w:kern w:val="21"/>
                <w:sz w:val="21"/>
                <w:szCs w:val="21"/>
                <w:lang w:val="en-US" w:eastAsia="zh-CN"/>
              </w:rPr>
              <w:t>0</w:t>
            </w:r>
          </w:p>
        </w:tc>
        <w:tc>
          <w:tcPr>
            <w:tcW w:w="1195" w:type="dxa"/>
            <w:shd w:val="clear" w:color="auto" w:fill="auto"/>
            <w:noWrap w:val="0"/>
            <w:vAlign w:val="center"/>
          </w:tcPr>
          <w:p w14:paraId="27499F12">
            <w:pPr>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20" w:lineRule="exact"/>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594" w:type="dxa"/>
            <w:shd w:val="clear" w:color="auto" w:fill="auto"/>
            <w:noWrap w:val="0"/>
            <w:vAlign w:val="center"/>
          </w:tcPr>
          <w:p w14:paraId="1D276445">
            <w:pPr>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20" w:lineRule="exact"/>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462" w:type="dxa"/>
            <w:shd w:val="clear" w:color="auto" w:fill="auto"/>
            <w:noWrap w:val="0"/>
            <w:vAlign w:val="center"/>
          </w:tcPr>
          <w:p w14:paraId="14437F8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bidi="ar-SA"/>
              </w:rPr>
              <w:t>57.71</w:t>
            </w:r>
          </w:p>
        </w:tc>
        <w:tc>
          <w:tcPr>
            <w:tcW w:w="1651" w:type="dxa"/>
            <w:shd w:val="clear" w:color="auto" w:fill="auto"/>
            <w:noWrap w:val="0"/>
            <w:vAlign w:val="center"/>
          </w:tcPr>
          <w:p w14:paraId="718A61A7">
            <w:pPr>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20" w:lineRule="exact"/>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838" w:type="dxa"/>
            <w:shd w:val="clear" w:color="auto" w:fill="auto"/>
            <w:noWrap w:val="0"/>
            <w:vAlign w:val="center"/>
          </w:tcPr>
          <w:p w14:paraId="4B3800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bidi="ar-SA"/>
              </w:rPr>
              <w:t>57.71</w:t>
            </w:r>
          </w:p>
        </w:tc>
        <w:tc>
          <w:tcPr>
            <w:tcW w:w="1264" w:type="dxa"/>
            <w:shd w:val="clear" w:color="auto" w:fill="auto"/>
            <w:noWrap w:val="0"/>
            <w:vAlign w:val="center"/>
          </w:tcPr>
          <w:p w14:paraId="796E5F5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bidi="ar-SA"/>
              </w:rPr>
              <w:t>+57.71</w:t>
            </w:r>
          </w:p>
        </w:tc>
      </w:tr>
      <w:tr w14:paraId="4D6A3F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2FE4E565">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p>
        </w:tc>
        <w:tc>
          <w:tcPr>
            <w:tcW w:w="1328" w:type="dxa"/>
            <w:noWrap w:val="0"/>
            <w:vAlign w:val="center"/>
          </w:tcPr>
          <w:p w14:paraId="650D84EB">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hAnsi="Times New Roman" w:eastAsia="宋体" w:cs="Times New Roman"/>
                <w:snapToGrid w:val="0"/>
                <w:color w:val="auto"/>
                <w:kern w:val="21"/>
                <w:sz w:val="21"/>
                <w:szCs w:val="21"/>
                <w:lang w:eastAsia="zh-CN"/>
              </w:rPr>
            </w:pPr>
            <w:r>
              <w:rPr>
                <w:rFonts w:hint="eastAsia" w:ascii="Times New Roman" w:cs="Times New Roman"/>
                <w:snapToGrid w:val="0"/>
                <w:color w:val="auto"/>
                <w:kern w:val="21"/>
                <w:sz w:val="21"/>
                <w:szCs w:val="21"/>
                <w:lang w:eastAsia="zh-CN"/>
              </w:rPr>
              <w:t>氨氮</w:t>
            </w:r>
          </w:p>
        </w:tc>
        <w:tc>
          <w:tcPr>
            <w:tcW w:w="1594" w:type="dxa"/>
            <w:noWrap w:val="0"/>
            <w:vAlign w:val="center"/>
          </w:tcPr>
          <w:p w14:paraId="46D1E22F">
            <w:pPr>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20" w:lineRule="exact"/>
              <w:ind w:left="0" w:leftChars="0" w:right="0" w:rightChars="0" w:firstLine="0" w:firstLineChars="0"/>
              <w:jc w:val="center"/>
              <w:textAlignment w:val="auto"/>
              <w:rPr>
                <w:rFonts w:hint="eastAsia" w:ascii="Times New Roman" w:hAnsi="Times New Roman" w:eastAsia="宋体" w:cs="Times New Roman"/>
                <w:snapToGrid w:val="0"/>
                <w:color w:val="auto"/>
                <w:kern w:val="21"/>
                <w:sz w:val="21"/>
                <w:szCs w:val="21"/>
                <w:lang w:val="en-US" w:eastAsia="zh-CN"/>
              </w:rPr>
            </w:pPr>
            <w:r>
              <w:rPr>
                <w:rFonts w:hint="eastAsia" w:cs="Times New Roman"/>
                <w:snapToGrid w:val="0"/>
                <w:color w:val="auto"/>
                <w:kern w:val="21"/>
                <w:sz w:val="21"/>
                <w:szCs w:val="21"/>
                <w:lang w:val="en-US" w:eastAsia="zh-CN"/>
              </w:rPr>
              <w:t>0</w:t>
            </w:r>
          </w:p>
        </w:tc>
        <w:tc>
          <w:tcPr>
            <w:tcW w:w="1195" w:type="dxa"/>
            <w:shd w:val="clear" w:color="auto" w:fill="auto"/>
            <w:noWrap w:val="0"/>
            <w:vAlign w:val="center"/>
          </w:tcPr>
          <w:p w14:paraId="3DBDC15E">
            <w:pPr>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20" w:lineRule="exact"/>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594" w:type="dxa"/>
            <w:shd w:val="clear" w:color="auto" w:fill="auto"/>
            <w:noWrap w:val="0"/>
            <w:vAlign w:val="center"/>
          </w:tcPr>
          <w:p w14:paraId="34F6149C">
            <w:pPr>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20" w:lineRule="exact"/>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462" w:type="dxa"/>
            <w:shd w:val="clear" w:color="auto" w:fill="auto"/>
            <w:noWrap w:val="0"/>
            <w:vAlign w:val="center"/>
          </w:tcPr>
          <w:p w14:paraId="3F8CAAD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bidi="ar-SA"/>
              </w:rPr>
              <w:t>2.31</w:t>
            </w:r>
          </w:p>
        </w:tc>
        <w:tc>
          <w:tcPr>
            <w:tcW w:w="1651" w:type="dxa"/>
            <w:shd w:val="clear" w:color="auto" w:fill="auto"/>
            <w:noWrap w:val="0"/>
            <w:vAlign w:val="center"/>
          </w:tcPr>
          <w:p w14:paraId="5409A717">
            <w:pPr>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320" w:lineRule="exact"/>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838" w:type="dxa"/>
            <w:shd w:val="clear" w:color="auto" w:fill="auto"/>
            <w:noWrap w:val="0"/>
            <w:vAlign w:val="center"/>
          </w:tcPr>
          <w:p w14:paraId="58BC60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bidi="ar-SA"/>
              </w:rPr>
              <w:t>2.31</w:t>
            </w:r>
          </w:p>
        </w:tc>
        <w:tc>
          <w:tcPr>
            <w:tcW w:w="1264" w:type="dxa"/>
            <w:shd w:val="clear" w:color="auto" w:fill="auto"/>
            <w:noWrap w:val="0"/>
            <w:vAlign w:val="center"/>
          </w:tcPr>
          <w:p w14:paraId="62F1FC8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bidi="ar-SA"/>
              </w:rPr>
              <w:t>+2.31</w:t>
            </w:r>
          </w:p>
        </w:tc>
      </w:tr>
      <w:tr w14:paraId="08EFB4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restart"/>
            <w:noWrap w:val="0"/>
            <w:vAlign w:val="center"/>
          </w:tcPr>
          <w:p w14:paraId="588C04C1">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一般工业</w:t>
            </w:r>
          </w:p>
          <w:p w14:paraId="796982B5">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固体废物</w:t>
            </w:r>
          </w:p>
        </w:tc>
        <w:tc>
          <w:tcPr>
            <w:tcW w:w="1328" w:type="dxa"/>
            <w:shd w:val="clear" w:color="auto" w:fill="auto"/>
            <w:noWrap w:val="0"/>
            <w:vAlign w:val="center"/>
          </w:tcPr>
          <w:p w14:paraId="680E4B69">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边角料</w:t>
            </w:r>
          </w:p>
        </w:tc>
        <w:tc>
          <w:tcPr>
            <w:tcW w:w="1594" w:type="dxa"/>
            <w:noWrap w:val="0"/>
            <w:vAlign w:val="center"/>
          </w:tcPr>
          <w:p w14:paraId="4428D705">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default" w:ascii="Times New Roman" w:cs="Times New Roman"/>
                <w:snapToGrid w:val="0"/>
                <w:color w:val="auto"/>
                <w:kern w:val="21"/>
                <w:sz w:val="21"/>
                <w:szCs w:val="21"/>
                <w:lang w:val="en-US" w:eastAsia="zh-CN"/>
              </w:rPr>
            </w:pPr>
            <w:r>
              <w:rPr>
                <w:rFonts w:hint="eastAsia" w:cs="Times New Roman"/>
                <w:snapToGrid w:val="0"/>
                <w:color w:val="auto"/>
                <w:kern w:val="21"/>
                <w:sz w:val="21"/>
                <w:szCs w:val="21"/>
                <w:lang w:val="en-US" w:eastAsia="zh-CN"/>
              </w:rPr>
              <w:t>0</w:t>
            </w:r>
          </w:p>
        </w:tc>
        <w:tc>
          <w:tcPr>
            <w:tcW w:w="1195" w:type="dxa"/>
            <w:shd w:val="clear" w:color="auto" w:fill="auto"/>
            <w:noWrap w:val="0"/>
            <w:vAlign w:val="center"/>
          </w:tcPr>
          <w:p w14:paraId="1FA75C03">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594" w:type="dxa"/>
            <w:shd w:val="clear" w:color="auto" w:fill="auto"/>
            <w:noWrap w:val="0"/>
            <w:vAlign w:val="center"/>
          </w:tcPr>
          <w:p w14:paraId="7ACE361E">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462" w:type="dxa"/>
            <w:shd w:val="clear" w:color="auto" w:fill="auto"/>
            <w:noWrap w:val="0"/>
            <w:vAlign w:val="center"/>
          </w:tcPr>
          <w:p w14:paraId="2A12A43F">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9445</w:t>
            </w:r>
          </w:p>
        </w:tc>
        <w:tc>
          <w:tcPr>
            <w:tcW w:w="1651" w:type="dxa"/>
            <w:shd w:val="clear" w:color="auto" w:fill="auto"/>
            <w:noWrap w:val="0"/>
            <w:vAlign w:val="center"/>
          </w:tcPr>
          <w:p w14:paraId="117C5CA9">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838" w:type="dxa"/>
            <w:shd w:val="clear" w:color="auto" w:fill="auto"/>
            <w:noWrap w:val="0"/>
            <w:vAlign w:val="center"/>
          </w:tcPr>
          <w:p w14:paraId="56F0DEA4">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9445</w:t>
            </w:r>
          </w:p>
        </w:tc>
        <w:tc>
          <w:tcPr>
            <w:tcW w:w="1264" w:type="dxa"/>
            <w:shd w:val="clear" w:color="auto" w:fill="auto"/>
            <w:noWrap w:val="0"/>
            <w:vAlign w:val="center"/>
          </w:tcPr>
          <w:p w14:paraId="29F751A7">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+9445</w:t>
            </w:r>
          </w:p>
        </w:tc>
      </w:tr>
      <w:tr w14:paraId="33D409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0FFE2CCE">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bookmarkStart w:id="21" w:name="_Toc6577"/>
          </w:p>
        </w:tc>
        <w:tc>
          <w:tcPr>
            <w:tcW w:w="1328" w:type="dxa"/>
            <w:shd w:val="clear" w:color="auto" w:fill="auto"/>
            <w:noWrap w:val="0"/>
            <w:vAlign w:val="center"/>
          </w:tcPr>
          <w:p w14:paraId="2D2B26BA">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焊渣</w:t>
            </w:r>
          </w:p>
        </w:tc>
        <w:tc>
          <w:tcPr>
            <w:tcW w:w="1594" w:type="dxa"/>
            <w:noWrap w:val="0"/>
            <w:vAlign w:val="center"/>
          </w:tcPr>
          <w:p w14:paraId="03CC2D00">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default" w:ascii="Times New Roman" w:cs="Times New Roman"/>
                <w:snapToGrid w:val="0"/>
                <w:color w:val="auto"/>
                <w:kern w:val="21"/>
                <w:sz w:val="21"/>
                <w:szCs w:val="21"/>
                <w:lang w:val="en-US" w:eastAsia="zh-CN"/>
              </w:rPr>
            </w:pPr>
            <w:r>
              <w:rPr>
                <w:rFonts w:hint="eastAsia" w:cs="Times New Roman"/>
                <w:snapToGrid w:val="0"/>
                <w:color w:val="auto"/>
                <w:kern w:val="21"/>
                <w:sz w:val="21"/>
                <w:szCs w:val="21"/>
                <w:lang w:val="en-US" w:eastAsia="zh-CN"/>
              </w:rPr>
              <w:t>0</w:t>
            </w:r>
          </w:p>
        </w:tc>
        <w:tc>
          <w:tcPr>
            <w:tcW w:w="1195" w:type="dxa"/>
            <w:shd w:val="clear" w:color="auto" w:fill="auto"/>
            <w:noWrap w:val="0"/>
            <w:vAlign w:val="center"/>
          </w:tcPr>
          <w:p w14:paraId="637B62E9">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594" w:type="dxa"/>
            <w:shd w:val="clear" w:color="auto" w:fill="auto"/>
            <w:noWrap w:val="0"/>
            <w:vAlign w:val="center"/>
          </w:tcPr>
          <w:p w14:paraId="6CCA3562">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462" w:type="dxa"/>
            <w:shd w:val="clear" w:color="auto" w:fill="auto"/>
            <w:noWrap w:val="0"/>
            <w:vAlign w:val="center"/>
          </w:tcPr>
          <w:p w14:paraId="1432007C">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0.43</w:t>
            </w:r>
          </w:p>
        </w:tc>
        <w:tc>
          <w:tcPr>
            <w:tcW w:w="1651" w:type="dxa"/>
            <w:shd w:val="clear" w:color="auto" w:fill="auto"/>
            <w:noWrap w:val="0"/>
            <w:vAlign w:val="center"/>
          </w:tcPr>
          <w:p w14:paraId="4A02E9EF">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838" w:type="dxa"/>
            <w:shd w:val="clear" w:color="auto" w:fill="auto"/>
            <w:noWrap w:val="0"/>
            <w:vAlign w:val="center"/>
          </w:tcPr>
          <w:p w14:paraId="043DF826">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0.43</w:t>
            </w:r>
          </w:p>
        </w:tc>
        <w:tc>
          <w:tcPr>
            <w:tcW w:w="1264" w:type="dxa"/>
            <w:shd w:val="clear" w:color="auto" w:fill="auto"/>
            <w:noWrap w:val="0"/>
            <w:vAlign w:val="center"/>
          </w:tcPr>
          <w:p w14:paraId="33D7F700">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+0.43</w:t>
            </w:r>
          </w:p>
        </w:tc>
      </w:tr>
      <w:tr w14:paraId="097C54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3C019A35">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p>
        </w:tc>
        <w:tc>
          <w:tcPr>
            <w:tcW w:w="1328" w:type="dxa"/>
            <w:shd w:val="clear" w:color="auto" w:fill="auto"/>
            <w:noWrap w:val="0"/>
            <w:vAlign w:val="center"/>
          </w:tcPr>
          <w:p w14:paraId="38322042">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废耐火材料</w:t>
            </w:r>
          </w:p>
        </w:tc>
        <w:tc>
          <w:tcPr>
            <w:tcW w:w="1594" w:type="dxa"/>
            <w:noWrap w:val="0"/>
            <w:vAlign w:val="center"/>
          </w:tcPr>
          <w:p w14:paraId="3DDF701A">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default" w:ascii="Times New Roman" w:cs="Times New Roman"/>
                <w:snapToGrid w:val="0"/>
                <w:color w:val="auto"/>
                <w:kern w:val="21"/>
                <w:sz w:val="21"/>
                <w:szCs w:val="21"/>
                <w:lang w:val="en-US" w:eastAsia="zh-CN"/>
              </w:rPr>
            </w:pPr>
            <w:r>
              <w:rPr>
                <w:rFonts w:hint="eastAsia" w:cs="Times New Roman"/>
                <w:snapToGrid w:val="0"/>
                <w:color w:val="auto"/>
                <w:kern w:val="21"/>
                <w:sz w:val="21"/>
                <w:szCs w:val="21"/>
                <w:lang w:val="en-US" w:eastAsia="zh-CN"/>
              </w:rPr>
              <w:t>0</w:t>
            </w:r>
          </w:p>
        </w:tc>
        <w:tc>
          <w:tcPr>
            <w:tcW w:w="1195" w:type="dxa"/>
            <w:shd w:val="clear" w:color="auto" w:fill="auto"/>
            <w:noWrap w:val="0"/>
            <w:vAlign w:val="center"/>
          </w:tcPr>
          <w:p w14:paraId="35179847">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594" w:type="dxa"/>
            <w:shd w:val="clear" w:color="auto" w:fill="auto"/>
            <w:noWrap w:val="0"/>
            <w:vAlign w:val="center"/>
          </w:tcPr>
          <w:p w14:paraId="30287657">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462" w:type="dxa"/>
            <w:shd w:val="clear" w:color="auto" w:fill="auto"/>
            <w:noWrap w:val="0"/>
            <w:vAlign w:val="center"/>
          </w:tcPr>
          <w:p w14:paraId="450381A8">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50</w:t>
            </w:r>
          </w:p>
        </w:tc>
        <w:tc>
          <w:tcPr>
            <w:tcW w:w="1651" w:type="dxa"/>
            <w:shd w:val="clear" w:color="auto" w:fill="auto"/>
            <w:noWrap w:val="0"/>
            <w:vAlign w:val="center"/>
          </w:tcPr>
          <w:p w14:paraId="35FA7BB9">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838" w:type="dxa"/>
            <w:shd w:val="clear" w:color="auto" w:fill="auto"/>
            <w:noWrap w:val="0"/>
            <w:vAlign w:val="center"/>
          </w:tcPr>
          <w:p w14:paraId="73945804">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50</w:t>
            </w:r>
          </w:p>
        </w:tc>
        <w:tc>
          <w:tcPr>
            <w:tcW w:w="1264" w:type="dxa"/>
            <w:shd w:val="clear" w:color="auto" w:fill="auto"/>
            <w:noWrap w:val="0"/>
            <w:vAlign w:val="center"/>
          </w:tcPr>
          <w:p w14:paraId="2C1AAC3B">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+50</w:t>
            </w:r>
          </w:p>
        </w:tc>
      </w:tr>
      <w:tr w14:paraId="6C7F51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76EA194B">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p>
        </w:tc>
        <w:tc>
          <w:tcPr>
            <w:tcW w:w="1328" w:type="dxa"/>
            <w:shd w:val="clear" w:color="auto" w:fill="auto"/>
            <w:noWrap w:val="0"/>
            <w:vAlign w:val="center"/>
          </w:tcPr>
          <w:p w14:paraId="3C481378">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MgO渣</w:t>
            </w:r>
          </w:p>
        </w:tc>
        <w:tc>
          <w:tcPr>
            <w:tcW w:w="1594" w:type="dxa"/>
            <w:shd w:val="clear" w:color="auto" w:fill="auto"/>
            <w:noWrap w:val="0"/>
            <w:vAlign w:val="center"/>
          </w:tcPr>
          <w:p w14:paraId="126BA9DA">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rPr>
            </w:pPr>
            <w:r>
              <w:rPr>
                <w:rFonts w:hint="eastAsia" w:cs="Times New Roman"/>
                <w:snapToGrid w:val="0"/>
                <w:color w:val="auto"/>
                <w:kern w:val="21"/>
                <w:sz w:val="21"/>
                <w:szCs w:val="21"/>
                <w:lang w:val="en-US" w:eastAsia="zh-CN"/>
              </w:rPr>
              <w:t>0</w:t>
            </w:r>
          </w:p>
        </w:tc>
        <w:tc>
          <w:tcPr>
            <w:tcW w:w="1195" w:type="dxa"/>
            <w:shd w:val="clear" w:color="auto" w:fill="auto"/>
            <w:noWrap w:val="0"/>
            <w:vAlign w:val="center"/>
          </w:tcPr>
          <w:p w14:paraId="330DAEB4">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594" w:type="dxa"/>
            <w:shd w:val="clear" w:color="auto" w:fill="auto"/>
            <w:noWrap w:val="0"/>
            <w:vAlign w:val="center"/>
          </w:tcPr>
          <w:p w14:paraId="1715A0FF">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462" w:type="dxa"/>
            <w:shd w:val="clear" w:color="auto" w:fill="auto"/>
            <w:noWrap w:val="0"/>
            <w:vAlign w:val="center"/>
          </w:tcPr>
          <w:p w14:paraId="1E12C8C1">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60</w:t>
            </w:r>
          </w:p>
        </w:tc>
        <w:tc>
          <w:tcPr>
            <w:tcW w:w="1651" w:type="dxa"/>
            <w:shd w:val="clear" w:color="auto" w:fill="auto"/>
            <w:noWrap w:val="0"/>
            <w:vAlign w:val="center"/>
          </w:tcPr>
          <w:p w14:paraId="0E249AF1">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838" w:type="dxa"/>
            <w:shd w:val="clear" w:color="auto" w:fill="auto"/>
            <w:noWrap w:val="0"/>
            <w:vAlign w:val="center"/>
          </w:tcPr>
          <w:p w14:paraId="38D4EAC4">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60</w:t>
            </w:r>
          </w:p>
        </w:tc>
        <w:tc>
          <w:tcPr>
            <w:tcW w:w="1264" w:type="dxa"/>
            <w:shd w:val="clear" w:color="auto" w:fill="auto"/>
            <w:noWrap w:val="0"/>
            <w:vAlign w:val="center"/>
          </w:tcPr>
          <w:p w14:paraId="78F5E388">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+60</w:t>
            </w:r>
          </w:p>
        </w:tc>
      </w:tr>
      <w:tr w14:paraId="6374EE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5FFF2AE4">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p>
        </w:tc>
        <w:tc>
          <w:tcPr>
            <w:tcW w:w="1328" w:type="dxa"/>
            <w:shd w:val="clear" w:color="auto" w:fill="auto"/>
            <w:noWrap w:val="0"/>
            <w:vAlign w:val="center"/>
          </w:tcPr>
          <w:p w14:paraId="504380C9">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氧化铁渣</w:t>
            </w:r>
          </w:p>
        </w:tc>
        <w:tc>
          <w:tcPr>
            <w:tcW w:w="1594" w:type="dxa"/>
            <w:shd w:val="clear" w:color="auto" w:fill="auto"/>
            <w:noWrap w:val="0"/>
            <w:vAlign w:val="center"/>
          </w:tcPr>
          <w:p w14:paraId="7026EA9D">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rPr>
            </w:pPr>
            <w:r>
              <w:rPr>
                <w:rFonts w:hint="eastAsia" w:cs="Times New Roman"/>
                <w:snapToGrid w:val="0"/>
                <w:color w:val="auto"/>
                <w:kern w:val="21"/>
                <w:sz w:val="21"/>
                <w:szCs w:val="21"/>
                <w:lang w:val="en-US" w:eastAsia="zh-CN"/>
              </w:rPr>
              <w:t>0</w:t>
            </w:r>
          </w:p>
        </w:tc>
        <w:tc>
          <w:tcPr>
            <w:tcW w:w="1195" w:type="dxa"/>
            <w:shd w:val="clear" w:color="auto" w:fill="auto"/>
            <w:noWrap w:val="0"/>
            <w:vAlign w:val="center"/>
          </w:tcPr>
          <w:p w14:paraId="21800792">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594" w:type="dxa"/>
            <w:shd w:val="clear" w:color="auto" w:fill="auto"/>
            <w:noWrap w:val="0"/>
            <w:vAlign w:val="center"/>
          </w:tcPr>
          <w:p w14:paraId="2B70E654">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462" w:type="dxa"/>
            <w:shd w:val="clear" w:color="auto" w:fill="auto"/>
            <w:noWrap w:val="0"/>
            <w:vAlign w:val="center"/>
          </w:tcPr>
          <w:p w14:paraId="24DC4E67">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100</w:t>
            </w:r>
          </w:p>
        </w:tc>
        <w:tc>
          <w:tcPr>
            <w:tcW w:w="1651" w:type="dxa"/>
            <w:shd w:val="clear" w:color="auto" w:fill="auto"/>
            <w:noWrap w:val="0"/>
            <w:vAlign w:val="center"/>
          </w:tcPr>
          <w:p w14:paraId="624B2378">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838" w:type="dxa"/>
            <w:shd w:val="clear" w:color="auto" w:fill="auto"/>
            <w:noWrap w:val="0"/>
            <w:vAlign w:val="center"/>
          </w:tcPr>
          <w:p w14:paraId="0C0C1017">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100</w:t>
            </w:r>
          </w:p>
        </w:tc>
        <w:tc>
          <w:tcPr>
            <w:tcW w:w="1264" w:type="dxa"/>
            <w:shd w:val="clear" w:color="auto" w:fill="auto"/>
            <w:noWrap w:val="0"/>
            <w:vAlign w:val="center"/>
          </w:tcPr>
          <w:p w14:paraId="27B9A39D">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+100</w:t>
            </w:r>
          </w:p>
        </w:tc>
      </w:tr>
      <w:tr w14:paraId="387E65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49CA36B1">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p>
        </w:tc>
        <w:tc>
          <w:tcPr>
            <w:tcW w:w="1328" w:type="dxa"/>
            <w:shd w:val="clear" w:color="auto" w:fill="auto"/>
            <w:noWrap w:val="0"/>
            <w:vAlign w:val="center"/>
          </w:tcPr>
          <w:p w14:paraId="6141E30D">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废布袋及除尘灰</w:t>
            </w:r>
          </w:p>
        </w:tc>
        <w:tc>
          <w:tcPr>
            <w:tcW w:w="1594" w:type="dxa"/>
            <w:shd w:val="clear" w:color="auto" w:fill="auto"/>
            <w:noWrap w:val="0"/>
            <w:vAlign w:val="center"/>
          </w:tcPr>
          <w:p w14:paraId="57455A12">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rPr>
            </w:pPr>
            <w:r>
              <w:rPr>
                <w:rFonts w:hint="eastAsia" w:cs="Times New Roman"/>
                <w:snapToGrid w:val="0"/>
                <w:color w:val="auto"/>
                <w:kern w:val="21"/>
                <w:sz w:val="21"/>
                <w:szCs w:val="21"/>
                <w:lang w:val="en-US" w:eastAsia="zh-CN"/>
              </w:rPr>
              <w:t>0</w:t>
            </w:r>
          </w:p>
        </w:tc>
        <w:tc>
          <w:tcPr>
            <w:tcW w:w="1195" w:type="dxa"/>
            <w:shd w:val="clear" w:color="auto" w:fill="auto"/>
            <w:noWrap w:val="0"/>
            <w:vAlign w:val="center"/>
          </w:tcPr>
          <w:p w14:paraId="23068071">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594" w:type="dxa"/>
            <w:shd w:val="clear" w:color="auto" w:fill="auto"/>
            <w:noWrap w:val="0"/>
            <w:vAlign w:val="center"/>
          </w:tcPr>
          <w:p w14:paraId="76C98B88">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462" w:type="dxa"/>
            <w:shd w:val="clear" w:color="auto" w:fill="auto"/>
            <w:noWrap w:val="0"/>
            <w:vAlign w:val="center"/>
          </w:tcPr>
          <w:p w14:paraId="7EA7A344">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324.82</w:t>
            </w:r>
          </w:p>
        </w:tc>
        <w:tc>
          <w:tcPr>
            <w:tcW w:w="1651" w:type="dxa"/>
            <w:shd w:val="clear" w:color="auto" w:fill="auto"/>
            <w:noWrap w:val="0"/>
            <w:vAlign w:val="center"/>
          </w:tcPr>
          <w:p w14:paraId="0E78634D">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838" w:type="dxa"/>
            <w:shd w:val="clear" w:color="auto" w:fill="auto"/>
            <w:noWrap w:val="0"/>
            <w:vAlign w:val="center"/>
          </w:tcPr>
          <w:p w14:paraId="7D40260C">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324.82</w:t>
            </w:r>
          </w:p>
        </w:tc>
        <w:tc>
          <w:tcPr>
            <w:tcW w:w="1264" w:type="dxa"/>
            <w:shd w:val="clear" w:color="auto" w:fill="auto"/>
            <w:noWrap w:val="0"/>
            <w:vAlign w:val="center"/>
          </w:tcPr>
          <w:p w14:paraId="6B8D20EC">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+324.82</w:t>
            </w:r>
          </w:p>
        </w:tc>
      </w:tr>
      <w:tr w14:paraId="040E62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0A67C287">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p>
        </w:tc>
        <w:tc>
          <w:tcPr>
            <w:tcW w:w="1328" w:type="dxa"/>
            <w:shd w:val="clear" w:color="auto" w:fill="auto"/>
            <w:noWrap w:val="0"/>
            <w:vAlign w:val="center"/>
          </w:tcPr>
          <w:p w14:paraId="555E1274">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废反渗透膜</w:t>
            </w:r>
          </w:p>
        </w:tc>
        <w:tc>
          <w:tcPr>
            <w:tcW w:w="1594" w:type="dxa"/>
            <w:noWrap w:val="0"/>
            <w:vAlign w:val="center"/>
          </w:tcPr>
          <w:p w14:paraId="374A58D5">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default" w:ascii="Times New Roman" w:cs="Times New Roman"/>
                <w:snapToGrid w:val="0"/>
                <w:color w:val="auto"/>
                <w:kern w:val="21"/>
                <w:sz w:val="21"/>
                <w:szCs w:val="21"/>
                <w:lang w:val="en-US" w:eastAsia="zh-CN"/>
              </w:rPr>
            </w:pPr>
            <w:r>
              <w:rPr>
                <w:rFonts w:hint="eastAsia" w:cs="Times New Roman"/>
                <w:snapToGrid w:val="0"/>
                <w:color w:val="auto"/>
                <w:kern w:val="21"/>
                <w:sz w:val="21"/>
                <w:szCs w:val="21"/>
                <w:lang w:val="en-US" w:eastAsia="zh-CN"/>
              </w:rPr>
              <w:t>0</w:t>
            </w:r>
          </w:p>
        </w:tc>
        <w:tc>
          <w:tcPr>
            <w:tcW w:w="1195" w:type="dxa"/>
            <w:shd w:val="clear" w:color="auto" w:fill="auto"/>
            <w:noWrap w:val="0"/>
            <w:vAlign w:val="center"/>
          </w:tcPr>
          <w:p w14:paraId="1BC9F61C">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594" w:type="dxa"/>
            <w:shd w:val="clear" w:color="auto" w:fill="auto"/>
            <w:noWrap w:val="0"/>
            <w:vAlign w:val="center"/>
          </w:tcPr>
          <w:p w14:paraId="335C3A4F">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462" w:type="dxa"/>
            <w:shd w:val="clear" w:color="auto" w:fill="auto"/>
            <w:noWrap w:val="0"/>
            <w:vAlign w:val="center"/>
          </w:tcPr>
          <w:p w14:paraId="12F0DC40">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0.025</w:t>
            </w:r>
          </w:p>
        </w:tc>
        <w:tc>
          <w:tcPr>
            <w:tcW w:w="1651" w:type="dxa"/>
            <w:shd w:val="clear" w:color="auto" w:fill="auto"/>
            <w:noWrap w:val="0"/>
            <w:vAlign w:val="center"/>
          </w:tcPr>
          <w:p w14:paraId="01B2D3A7">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838" w:type="dxa"/>
            <w:shd w:val="clear" w:color="auto" w:fill="auto"/>
            <w:noWrap w:val="0"/>
            <w:vAlign w:val="center"/>
          </w:tcPr>
          <w:p w14:paraId="75C6CDC4">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0.025</w:t>
            </w:r>
          </w:p>
        </w:tc>
        <w:tc>
          <w:tcPr>
            <w:tcW w:w="1264" w:type="dxa"/>
            <w:shd w:val="clear" w:color="auto" w:fill="auto"/>
            <w:noWrap w:val="0"/>
            <w:vAlign w:val="center"/>
          </w:tcPr>
          <w:p w14:paraId="68565AE8">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+0.025</w:t>
            </w:r>
          </w:p>
        </w:tc>
      </w:tr>
      <w:tr w14:paraId="44E8DF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538F9BFB">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p>
        </w:tc>
        <w:tc>
          <w:tcPr>
            <w:tcW w:w="1328" w:type="dxa"/>
            <w:shd w:val="clear" w:color="auto" w:fill="auto"/>
            <w:noWrap w:val="0"/>
            <w:vAlign w:val="center"/>
          </w:tcPr>
          <w:p w14:paraId="253903D8">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废包装材料</w:t>
            </w:r>
          </w:p>
        </w:tc>
        <w:tc>
          <w:tcPr>
            <w:tcW w:w="1594" w:type="dxa"/>
            <w:noWrap w:val="0"/>
            <w:vAlign w:val="center"/>
          </w:tcPr>
          <w:p w14:paraId="111E145B">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default" w:ascii="Times New Roman" w:cs="Times New Roman"/>
                <w:snapToGrid w:val="0"/>
                <w:color w:val="auto"/>
                <w:kern w:val="21"/>
                <w:sz w:val="21"/>
                <w:szCs w:val="21"/>
                <w:lang w:val="en-US" w:eastAsia="zh-CN"/>
              </w:rPr>
            </w:pPr>
            <w:r>
              <w:rPr>
                <w:rFonts w:hint="eastAsia" w:cs="Times New Roman"/>
                <w:snapToGrid w:val="0"/>
                <w:color w:val="auto"/>
                <w:kern w:val="21"/>
                <w:sz w:val="21"/>
                <w:szCs w:val="21"/>
                <w:lang w:val="en-US" w:eastAsia="zh-CN"/>
              </w:rPr>
              <w:t>0</w:t>
            </w:r>
          </w:p>
        </w:tc>
        <w:tc>
          <w:tcPr>
            <w:tcW w:w="1195" w:type="dxa"/>
            <w:shd w:val="clear" w:color="auto" w:fill="auto"/>
            <w:noWrap w:val="0"/>
            <w:vAlign w:val="center"/>
          </w:tcPr>
          <w:p w14:paraId="5D3723F0">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594" w:type="dxa"/>
            <w:shd w:val="clear" w:color="auto" w:fill="auto"/>
            <w:noWrap w:val="0"/>
            <w:vAlign w:val="center"/>
          </w:tcPr>
          <w:p w14:paraId="66FA5285">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462" w:type="dxa"/>
            <w:shd w:val="clear" w:color="auto" w:fill="auto"/>
            <w:noWrap w:val="0"/>
            <w:vAlign w:val="center"/>
          </w:tcPr>
          <w:p w14:paraId="39E29C06">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5</w:t>
            </w:r>
          </w:p>
        </w:tc>
        <w:tc>
          <w:tcPr>
            <w:tcW w:w="1651" w:type="dxa"/>
            <w:shd w:val="clear" w:color="auto" w:fill="auto"/>
            <w:noWrap w:val="0"/>
            <w:vAlign w:val="center"/>
          </w:tcPr>
          <w:p w14:paraId="375AF3A8">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838" w:type="dxa"/>
            <w:shd w:val="clear" w:color="auto" w:fill="auto"/>
            <w:noWrap w:val="0"/>
            <w:vAlign w:val="center"/>
          </w:tcPr>
          <w:p w14:paraId="41390DA2">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5</w:t>
            </w:r>
          </w:p>
        </w:tc>
        <w:tc>
          <w:tcPr>
            <w:tcW w:w="1264" w:type="dxa"/>
            <w:shd w:val="clear" w:color="auto" w:fill="auto"/>
            <w:noWrap w:val="0"/>
            <w:vAlign w:val="center"/>
          </w:tcPr>
          <w:p w14:paraId="2DBF80F2">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+5</w:t>
            </w:r>
          </w:p>
        </w:tc>
      </w:tr>
      <w:tr w14:paraId="56DF19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3A87975E">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p>
        </w:tc>
        <w:tc>
          <w:tcPr>
            <w:tcW w:w="1328" w:type="dxa"/>
            <w:shd w:val="clear" w:color="auto" w:fill="auto"/>
            <w:noWrap w:val="0"/>
            <w:vAlign w:val="center"/>
          </w:tcPr>
          <w:p w14:paraId="5CB0717F">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氧化铁粉</w:t>
            </w:r>
          </w:p>
        </w:tc>
        <w:tc>
          <w:tcPr>
            <w:tcW w:w="1594" w:type="dxa"/>
            <w:noWrap w:val="0"/>
            <w:vAlign w:val="center"/>
          </w:tcPr>
          <w:p w14:paraId="6D84FD79">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default" w:ascii="Times New Roman" w:cs="Times New Roman"/>
                <w:snapToGrid w:val="0"/>
                <w:color w:val="auto"/>
                <w:kern w:val="21"/>
                <w:sz w:val="21"/>
                <w:szCs w:val="21"/>
                <w:lang w:val="en-US" w:eastAsia="zh-CN"/>
              </w:rPr>
            </w:pPr>
            <w:r>
              <w:rPr>
                <w:rFonts w:hint="eastAsia" w:cs="Times New Roman"/>
                <w:snapToGrid w:val="0"/>
                <w:color w:val="auto"/>
                <w:kern w:val="21"/>
                <w:sz w:val="21"/>
                <w:szCs w:val="21"/>
                <w:lang w:val="en-US" w:eastAsia="zh-CN"/>
              </w:rPr>
              <w:t>0</w:t>
            </w:r>
          </w:p>
        </w:tc>
        <w:tc>
          <w:tcPr>
            <w:tcW w:w="1195" w:type="dxa"/>
            <w:shd w:val="clear" w:color="auto" w:fill="auto"/>
            <w:noWrap w:val="0"/>
            <w:vAlign w:val="center"/>
          </w:tcPr>
          <w:p w14:paraId="55B8AB91">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594" w:type="dxa"/>
            <w:shd w:val="clear" w:color="auto" w:fill="auto"/>
            <w:noWrap w:val="0"/>
            <w:vAlign w:val="center"/>
          </w:tcPr>
          <w:p w14:paraId="60F29B99">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462" w:type="dxa"/>
            <w:shd w:val="clear" w:color="auto" w:fill="auto"/>
            <w:noWrap w:val="0"/>
            <w:vAlign w:val="center"/>
          </w:tcPr>
          <w:p w14:paraId="7ACF3F39">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960</w:t>
            </w:r>
          </w:p>
        </w:tc>
        <w:tc>
          <w:tcPr>
            <w:tcW w:w="1651" w:type="dxa"/>
            <w:shd w:val="clear" w:color="auto" w:fill="auto"/>
            <w:noWrap w:val="0"/>
            <w:vAlign w:val="center"/>
          </w:tcPr>
          <w:p w14:paraId="5CAEB034">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838" w:type="dxa"/>
            <w:shd w:val="clear" w:color="auto" w:fill="auto"/>
            <w:noWrap w:val="0"/>
            <w:vAlign w:val="center"/>
          </w:tcPr>
          <w:p w14:paraId="2601C7BE">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960</w:t>
            </w:r>
          </w:p>
        </w:tc>
        <w:tc>
          <w:tcPr>
            <w:tcW w:w="1264" w:type="dxa"/>
            <w:shd w:val="clear" w:color="auto" w:fill="auto"/>
            <w:noWrap w:val="0"/>
            <w:vAlign w:val="center"/>
          </w:tcPr>
          <w:p w14:paraId="1CED18EA">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+960</w:t>
            </w:r>
          </w:p>
        </w:tc>
      </w:tr>
      <w:tr w14:paraId="6D332B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4F529963">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p>
        </w:tc>
        <w:tc>
          <w:tcPr>
            <w:tcW w:w="1328" w:type="dxa"/>
            <w:shd w:val="clear" w:color="auto" w:fill="auto"/>
            <w:noWrap w:val="0"/>
            <w:vAlign w:val="center"/>
          </w:tcPr>
          <w:p w14:paraId="627EEC2E">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废过滤器</w:t>
            </w:r>
          </w:p>
        </w:tc>
        <w:tc>
          <w:tcPr>
            <w:tcW w:w="1594" w:type="dxa"/>
            <w:noWrap w:val="0"/>
            <w:vAlign w:val="center"/>
          </w:tcPr>
          <w:p w14:paraId="69A213A5">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195" w:type="dxa"/>
            <w:shd w:val="clear" w:color="auto" w:fill="auto"/>
            <w:noWrap w:val="0"/>
            <w:vAlign w:val="center"/>
          </w:tcPr>
          <w:p w14:paraId="7681E225">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594" w:type="dxa"/>
            <w:shd w:val="clear" w:color="auto" w:fill="auto"/>
            <w:noWrap w:val="0"/>
            <w:vAlign w:val="center"/>
          </w:tcPr>
          <w:p w14:paraId="71335A0D">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462" w:type="dxa"/>
            <w:shd w:val="clear" w:color="auto" w:fill="auto"/>
            <w:noWrap w:val="0"/>
            <w:vAlign w:val="center"/>
          </w:tcPr>
          <w:p w14:paraId="13919140">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0.04</w:t>
            </w:r>
          </w:p>
        </w:tc>
        <w:tc>
          <w:tcPr>
            <w:tcW w:w="1651" w:type="dxa"/>
            <w:shd w:val="clear" w:color="auto" w:fill="auto"/>
            <w:noWrap w:val="0"/>
            <w:vAlign w:val="center"/>
          </w:tcPr>
          <w:p w14:paraId="6681C6CD">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838" w:type="dxa"/>
            <w:shd w:val="clear" w:color="auto" w:fill="auto"/>
            <w:noWrap w:val="0"/>
            <w:vAlign w:val="center"/>
          </w:tcPr>
          <w:p w14:paraId="18DCC4C1">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0.04</w:t>
            </w:r>
          </w:p>
        </w:tc>
        <w:tc>
          <w:tcPr>
            <w:tcW w:w="1264" w:type="dxa"/>
            <w:shd w:val="clear" w:color="auto" w:fill="auto"/>
            <w:noWrap w:val="0"/>
            <w:vAlign w:val="center"/>
          </w:tcPr>
          <w:p w14:paraId="5A260215">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0.04</w:t>
            </w:r>
          </w:p>
        </w:tc>
      </w:tr>
      <w:tr w14:paraId="75680F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6B062EC4">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p>
        </w:tc>
        <w:tc>
          <w:tcPr>
            <w:tcW w:w="1328" w:type="dxa"/>
            <w:shd w:val="clear" w:color="auto" w:fill="auto"/>
            <w:noWrap w:val="0"/>
            <w:vAlign w:val="center"/>
          </w:tcPr>
          <w:p w14:paraId="126269B2">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废多介质及活性炭过滤器</w:t>
            </w:r>
          </w:p>
        </w:tc>
        <w:tc>
          <w:tcPr>
            <w:tcW w:w="1594" w:type="dxa"/>
            <w:noWrap w:val="0"/>
            <w:vAlign w:val="center"/>
          </w:tcPr>
          <w:p w14:paraId="4F5A4223">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195" w:type="dxa"/>
            <w:shd w:val="clear" w:color="auto" w:fill="auto"/>
            <w:noWrap w:val="0"/>
            <w:vAlign w:val="center"/>
          </w:tcPr>
          <w:p w14:paraId="0C979DB2">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594" w:type="dxa"/>
            <w:shd w:val="clear" w:color="auto" w:fill="auto"/>
            <w:noWrap w:val="0"/>
            <w:vAlign w:val="center"/>
          </w:tcPr>
          <w:p w14:paraId="537B0801">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462" w:type="dxa"/>
            <w:shd w:val="clear" w:color="auto" w:fill="auto"/>
            <w:noWrap w:val="0"/>
            <w:vAlign w:val="center"/>
          </w:tcPr>
          <w:p w14:paraId="3ED3D646">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1651" w:type="dxa"/>
            <w:shd w:val="clear" w:color="auto" w:fill="auto"/>
            <w:noWrap w:val="0"/>
            <w:vAlign w:val="center"/>
          </w:tcPr>
          <w:p w14:paraId="0848D132">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838" w:type="dxa"/>
            <w:shd w:val="clear" w:color="auto" w:fill="auto"/>
            <w:noWrap w:val="0"/>
            <w:vAlign w:val="center"/>
          </w:tcPr>
          <w:p w14:paraId="06F43B7B">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1264" w:type="dxa"/>
            <w:shd w:val="clear" w:color="auto" w:fill="auto"/>
            <w:noWrap w:val="0"/>
            <w:vAlign w:val="center"/>
          </w:tcPr>
          <w:p w14:paraId="3B9F0FFF">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r>
      <w:tr w14:paraId="35E25B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6F075C17">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p>
        </w:tc>
        <w:tc>
          <w:tcPr>
            <w:tcW w:w="1328" w:type="dxa"/>
            <w:shd w:val="clear" w:color="auto" w:fill="auto"/>
            <w:noWrap w:val="0"/>
            <w:vAlign w:val="center"/>
          </w:tcPr>
          <w:p w14:paraId="023C8AC8">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废分子筛</w:t>
            </w:r>
          </w:p>
        </w:tc>
        <w:tc>
          <w:tcPr>
            <w:tcW w:w="1594" w:type="dxa"/>
            <w:noWrap w:val="0"/>
            <w:vAlign w:val="center"/>
          </w:tcPr>
          <w:p w14:paraId="049C9F5D">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195" w:type="dxa"/>
            <w:shd w:val="clear" w:color="auto" w:fill="auto"/>
            <w:noWrap w:val="0"/>
            <w:vAlign w:val="center"/>
          </w:tcPr>
          <w:p w14:paraId="368293F1">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594" w:type="dxa"/>
            <w:shd w:val="clear" w:color="auto" w:fill="auto"/>
            <w:noWrap w:val="0"/>
            <w:vAlign w:val="center"/>
          </w:tcPr>
          <w:p w14:paraId="662A2E70">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462" w:type="dxa"/>
            <w:shd w:val="clear" w:color="auto" w:fill="auto"/>
            <w:noWrap w:val="0"/>
            <w:vAlign w:val="center"/>
          </w:tcPr>
          <w:p w14:paraId="44C70F0C">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10t/8</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10a</w:t>
            </w:r>
          </w:p>
        </w:tc>
        <w:tc>
          <w:tcPr>
            <w:tcW w:w="1651" w:type="dxa"/>
            <w:shd w:val="clear" w:color="auto" w:fill="auto"/>
            <w:noWrap w:val="0"/>
            <w:vAlign w:val="center"/>
          </w:tcPr>
          <w:p w14:paraId="316D98FB">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838" w:type="dxa"/>
            <w:shd w:val="clear" w:color="auto" w:fill="auto"/>
            <w:noWrap w:val="0"/>
            <w:vAlign w:val="center"/>
          </w:tcPr>
          <w:p w14:paraId="03748382">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10t/8</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10a</w:t>
            </w:r>
          </w:p>
        </w:tc>
        <w:tc>
          <w:tcPr>
            <w:tcW w:w="1264" w:type="dxa"/>
            <w:shd w:val="clear" w:color="auto" w:fill="auto"/>
            <w:noWrap w:val="0"/>
            <w:vAlign w:val="center"/>
          </w:tcPr>
          <w:p w14:paraId="40AE0C1C">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10t/8</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10a</w:t>
            </w:r>
          </w:p>
        </w:tc>
      </w:tr>
      <w:tr w14:paraId="0973C3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488B0170">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cs="Times New Roman"/>
                <w:snapToGrid w:val="0"/>
                <w:color w:val="auto"/>
                <w:kern w:val="21"/>
                <w:sz w:val="21"/>
                <w:szCs w:val="21"/>
              </w:rPr>
            </w:pPr>
          </w:p>
        </w:tc>
        <w:tc>
          <w:tcPr>
            <w:tcW w:w="1328" w:type="dxa"/>
            <w:shd w:val="clear" w:color="auto" w:fill="auto"/>
            <w:noWrap w:val="0"/>
            <w:vAlign w:val="center"/>
          </w:tcPr>
          <w:p w14:paraId="22208DFA">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生活垃圾</w:t>
            </w:r>
          </w:p>
        </w:tc>
        <w:tc>
          <w:tcPr>
            <w:tcW w:w="1594" w:type="dxa"/>
            <w:noWrap w:val="0"/>
            <w:vAlign w:val="center"/>
          </w:tcPr>
          <w:p w14:paraId="287F0963">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195" w:type="dxa"/>
            <w:shd w:val="clear" w:color="auto" w:fill="auto"/>
            <w:noWrap w:val="0"/>
            <w:vAlign w:val="center"/>
          </w:tcPr>
          <w:p w14:paraId="614DAFBA">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594" w:type="dxa"/>
            <w:shd w:val="clear" w:color="auto" w:fill="auto"/>
            <w:noWrap w:val="0"/>
            <w:vAlign w:val="center"/>
          </w:tcPr>
          <w:p w14:paraId="36564DF6">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462" w:type="dxa"/>
            <w:shd w:val="clear" w:color="auto" w:fill="auto"/>
            <w:noWrap w:val="0"/>
            <w:vAlign w:val="center"/>
          </w:tcPr>
          <w:p w14:paraId="381BC31C">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65.7</w:t>
            </w:r>
          </w:p>
        </w:tc>
        <w:tc>
          <w:tcPr>
            <w:tcW w:w="1651" w:type="dxa"/>
            <w:shd w:val="clear" w:color="auto" w:fill="auto"/>
            <w:noWrap w:val="0"/>
            <w:vAlign w:val="center"/>
          </w:tcPr>
          <w:p w14:paraId="3BD1051B">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838" w:type="dxa"/>
            <w:shd w:val="clear" w:color="auto" w:fill="auto"/>
            <w:noWrap w:val="0"/>
            <w:vAlign w:val="center"/>
          </w:tcPr>
          <w:p w14:paraId="67FB05B5">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65.7</w:t>
            </w:r>
          </w:p>
        </w:tc>
        <w:tc>
          <w:tcPr>
            <w:tcW w:w="1264" w:type="dxa"/>
            <w:shd w:val="clear" w:color="auto" w:fill="auto"/>
            <w:noWrap w:val="0"/>
            <w:vAlign w:val="center"/>
          </w:tcPr>
          <w:p w14:paraId="79BBDBE6">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+65.7</w:t>
            </w:r>
          </w:p>
        </w:tc>
      </w:tr>
      <w:tr w14:paraId="7AC535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restart"/>
            <w:noWrap w:val="0"/>
            <w:vAlign w:val="center"/>
          </w:tcPr>
          <w:p w14:paraId="1DB50650">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default" w:ascii="Times New Roman" w:hAnsi="Times New Roman" w:eastAsia="宋体"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危险废物</w:t>
            </w:r>
          </w:p>
        </w:tc>
        <w:tc>
          <w:tcPr>
            <w:tcW w:w="1328" w:type="dxa"/>
            <w:shd w:val="clear" w:color="auto" w:fill="auto"/>
            <w:noWrap w:val="0"/>
            <w:vAlign w:val="center"/>
          </w:tcPr>
          <w:p w14:paraId="114986B2">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酸洗废液</w:t>
            </w:r>
          </w:p>
        </w:tc>
        <w:tc>
          <w:tcPr>
            <w:tcW w:w="1594" w:type="dxa"/>
            <w:noWrap w:val="0"/>
            <w:vAlign w:val="center"/>
          </w:tcPr>
          <w:p w14:paraId="14A9F42C">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195" w:type="dxa"/>
            <w:shd w:val="clear" w:color="auto" w:fill="auto"/>
            <w:noWrap w:val="0"/>
            <w:vAlign w:val="center"/>
          </w:tcPr>
          <w:p w14:paraId="7FFFF55B">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594" w:type="dxa"/>
            <w:shd w:val="clear" w:color="auto" w:fill="auto"/>
            <w:noWrap w:val="0"/>
            <w:vAlign w:val="center"/>
          </w:tcPr>
          <w:p w14:paraId="670014D7">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462" w:type="dxa"/>
            <w:shd w:val="clear" w:color="auto" w:fill="auto"/>
            <w:noWrap w:val="0"/>
            <w:vAlign w:val="center"/>
          </w:tcPr>
          <w:p w14:paraId="5B8B9DEC">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6000</w:t>
            </w:r>
          </w:p>
        </w:tc>
        <w:tc>
          <w:tcPr>
            <w:tcW w:w="1651" w:type="dxa"/>
            <w:shd w:val="clear" w:color="auto" w:fill="auto"/>
            <w:noWrap w:val="0"/>
            <w:vAlign w:val="center"/>
          </w:tcPr>
          <w:p w14:paraId="33D60826">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838" w:type="dxa"/>
            <w:shd w:val="clear" w:color="auto" w:fill="auto"/>
            <w:noWrap w:val="0"/>
            <w:vAlign w:val="center"/>
          </w:tcPr>
          <w:p w14:paraId="74ED64D4">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6000</w:t>
            </w:r>
          </w:p>
        </w:tc>
        <w:tc>
          <w:tcPr>
            <w:tcW w:w="1264" w:type="dxa"/>
            <w:shd w:val="clear" w:color="auto" w:fill="auto"/>
            <w:noWrap w:val="0"/>
            <w:vAlign w:val="center"/>
          </w:tcPr>
          <w:p w14:paraId="564ECB6E">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+6000</w:t>
            </w:r>
          </w:p>
        </w:tc>
      </w:tr>
      <w:tr w14:paraId="1C8813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27C99BD4">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cs="Times New Roman"/>
                <w:snapToGrid w:val="0"/>
                <w:color w:val="auto"/>
                <w:kern w:val="21"/>
                <w:sz w:val="21"/>
                <w:szCs w:val="21"/>
                <w:lang w:val="en-US" w:eastAsia="zh-CN"/>
              </w:rPr>
            </w:pPr>
          </w:p>
        </w:tc>
        <w:tc>
          <w:tcPr>
            <w:tcW w:w="1328" w:type="dxa"/>
            <w:shd w:val="clear" w:color="auto" w:fill="auto"/>
            <w:noWrap w:val="0"/>
            <w:vAlign w:val="center"/>
          </w:tcPr>
          <w:p w14:paraId="4E633D12">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废酸再生滤渣</w:t>
            </w:r>
          </w:p>
        </w:tc>
        <w:tc>
          <w:tcPr>
            <w:tcW w:w="1594" w:type="dxa"/>
            <w:shd w:val="clear" w:color="auto" w:fill="auto"/>
            <w:noWrap w:val="0"/>
            <w:vAlign w:val="center"/>
          </w:tcPr>
          <w:p w14:paraId="72BD448E">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195" w:type="dxa"/>
            <w:shd w:val="clear" w:color="auto" w:fill="auto"/>
            <w:noWrap w:val="0"/>
            <w:vAlign w:val="center"/>
          </w:tcPr>
          <w:p w14:paraId="157E3E5E">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594" w:type="dxa"/>
            <w:shd w:val="clear" w:color="auto" w:fill="auto"/>
            <w:noWrap w:val="0"/>
            <w:vAlign w:val="center"/>
          </w:tcPr>
          <w:p w14:paraId="5541BB23">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462" w:type="dxa"/>
            <w:shd w:val="clear" w:color="auto" w:fill="auto"/>
            <w:noWrap w:val="0"/>
            <w:vAlign w:val="center"/>
          </w:tcPr>
          <w:p w14:paraId="7AA25BB9">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0.03</w:t>
            </w:r>
          </w:p>
        </w:tc>
        <w:tc>
          <w:tcPr>
            <w:tcW w:w="1651" w:type="dxa"/>
            <w:shd w:val="clear" w:color="auto" w:fill="auto"/>
            <w:noWrap w:val="0"/>
            <w:vAlign w:val="center"/>
          </w:tcPr>
          <w:p w14:paraId="7EC75305">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838" w:type="dxa"/>
            <w:shd w:val="clear" w:color="auto" w:fill="auto"/>
            <w:noWrap w:val="0"/>
            <w:vAlign w:val="center"/>
          </w:tcPr>
          <w:p w14:paraId="594F542F">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0.03</w:t>
            </w:r>
          </w:p>
        </w:tc>
        <w:tc>
          <w:tcPr>
            <w:tcW w:w="1264" w:type="dxa"/>
            <w:shd w:val="clear" w:color="auto" w:fill="auto"/>
            <w:noWrap w:val="0"/>
            <w:vAlign w:val="center"/>
          </w:tcPr>
          <w:p w14:paraId="63D2281D">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+0.03</w:t>
            </w:r>
          </w:p>
        </w:tc>
      </w:tr>
      <w:tr w14:paraId="6D12BE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2718DB0B">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cs="Times New Roman"/>
                <w:snapToGrid w:val="0"/>
                <w:color w:val="auto"/>
                <w:kern w:val="21"/>
                <w:sz w:val="21"/>
                <w:szCs w:val="21"/>
                <w:lang w:val="en-US" w:eastAsia="zh-CN"/>
              </w:rPr>
            </w:pPr>
          </w:p>
        </w:tc>
        <w:tc>
          <w:tcPr>
            <w:tcW w:w="1328" w:type="dxa"/>
            <w:shd w:val="clear" w:color="auto" w:fill="auto"/>
            <w:noWrap w:val="0"/>
            <w:vAlign w:val="center"/>
          </w:tcPr>
          <w:p w14:paraId="30686DE9">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废油</w:t>
            </w:r>
          </w:p>
        </w:tc>
        <w:tc>
          <w:tcPr>
            <w:tcW w:w="1594" w:type="dxa"/>
            <w:noWrap w:val="0"/>
            <w:vAlign w:val="center"/>
          </w:tcPr>
          <w:p w14:paraId="35F1676E">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195" w:type="dxa"/>
            <w:shd w:val="clear" w:color="auto" w:fill="auto"/>
            <w:noWrap w:val="0"/>
            <w:vAlign w:val="center"/>
          </w:tcPr>
          <w:p w14:paraId="6A200C9F">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594" w:type="dxa"/>
            <w:shd w:val="clear" w:color="auto" w:fill="auto"/>
            <w:noWrap w:val="0"/>
            <w:vAlign w:val="center"/>
          </w:tcPr>
          <w:p w14:paraId="795FFDC5">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462" w:type="dxa"/>
            <w:shd w:val="clear" w:color="auto" w:fill="auto"/>
            <w:noWrap w:val="0"/>
            <w:vAlign w:val="center"/>
          </w:tcPr>
          <w:p w14:paraId="1AF66056">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13.34</w:t>
            </w:r>
          </w:p>
        </w:tc>
        <w:tc>
          <w:tcPr>
            <w:tcW w:w="1651" w:type="dxa"/>
            <w:shd w:val="clear" w:color="auto" w:fill="auto"/>
            <w:noWrap w:val="0"/>
            <w:vAlign w:val="center"/>
          </w:tcPr>
          <w:p w14:paraId="22FF9008">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838" w:type="dxa"/>
            <w:shd w:val="clear" w:color="auto" w:fill="auto"/>
            <w:noWrap w:val="0"/>
            <w:vAlign w:val="center"/>
          </w:tcPr>
          <w:p w14:paraId="151A8187">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13.34</w:t>
            </w:r>
          </w:p>
        </w:tc>
        <w:tc>
          <w:tcPr>
            <w:tcW w:w="1264" w:type="dxa"/>
            <w:shd w:val="clear" w:color="auto" w:fill="auto"/>
            <w:noWrap w:val="0"/>
            <w:vAlign w:val="center"/>
          </w:tcPr>
          <w:p w14:paraId="4622D610">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+13.34</w:t>
            </w:r>
          </w:p>
        </w:tc>
      </w:tr>
      <w:tr w14:paraId="7B1763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49A3803E">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cs="Times New Roman"/>
                <w:snapToGrid w:val="0"/>
                <w:color w:val="auto"/>
                <w:kern w:val="21"/>
                <w:sz w:val="21"/>
                <w:szCs w:val="21"/>
                <w:lang w:val="en-US" w:eastAsia="zh-CN"/>
              </w:rPr>
            </w:pPr>
          </w:p>
        </w:tc>
        <w:tc>
          <w:tcPr>
            <w:tcW w:w="1328" w:type="dxa"/>
            <w:shd w:val="clear" w:color="auto" w:fill="auto"/>
            <w:noWrap w:val="0"/>
            <w:vAlign w:val="center"/>
          </w:tcPr>
          <w:p w14:paraId="51A0995A">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废滤网</w:t>
            </w:r>
          </w:p>
        </w:tc>
        <w:tc>
          <w:tcPr>
            <w:tcW w:w="1594" w:type="dxa"/>
            <w:shd w:val="clear" w:color="auto" w:fill="auto"/>
            <w:noWrap w:val="0"/>
            <w:vAlign w:val="center"/>
          </w:tcPr>
          <w:p w14:paraId="29518CB1">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195" w:type="dxa"/>
            <w:shd w:val="clear" w:color="auto" w:fill="auto"/>
            <w:noWrap w:val="0"/>
            <w:vAlign w:val="center"/>
          </w:tcPr>
          <w:p w14:paraId="65C0AB5F">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594" w:type="dxa"/>
            <w:shd w:val="clear" w:color="auto" w:fill="auto"/>
            <w:noWrap w:val="0"/>
            <w:vAlign w:val="center"/>
          </w:tcPr>
          <w:p w14:paraId="279826F2">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462" w:type="dxa"/>
            <w:shd w:val="clear" w:color="auto" w:fill="auto"/>
            <w:noWrap w:val="0"/>
            <w:vAlign w:val="center"/>
          </w:tcPr>
          <w:p w14:paraId="63CA7E88">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0.06</w:t>
            </w:r>
          </w:p>
        </w:tc>
        <w:tc>
          <w:tcPr>
            <w:tcW w:w="1651" w:type="dxa"/>
            <w:shd w:val="clear" w:color="auto" w:fill="auto"/>
            <w:noWrap w:val="0"/>
            <w:vAlign w:val="center"/>
          </w:tcPr>
          <w:p w14:paraId="4A9BC890">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838" w:type="dxa"/>
            <w:shd w:val="clear" w:color="auto" w:fill="auto"/>
            <w:noWrap w:val="0"/>
            <w:vAlign w:val="center"/>
          </w:tcPr>
          <w:p w14:paraId="7E889D96">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0.06</w:t>
            </w:r>
          </w:p>
        </w:tc>
        <w:tc>
          <w:tcPr>
            <w:tcW w:w="1264" w:type="dxa"/>
            <w:shd w:val="clear" w:color="auto" w:fill="auto"/>
            <w:noWrap w:val="0"/>
            <w:vAlign w:val="center"/>
          </w:tcPr>
          <w:p w14:paraId="0B1E2AF2">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+0.06</w:t>
            </w:r>
          </w:p>
        </w:tc>
      </w:tr>
      <w:tr w14:paraId="13856B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735AE58B">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cs="Times New Roman"/>
                <w:snapToGrid w:val="0"/>
                <w:color w:val="auto"/>
                <w:kern w:val="21"/>
                <w:sz w:val="21"/>
                <w:szCs w:val="21"/>
                <w:lang w:val="en-US" w:eastAsia="zh-CN"/>
              </w:rPr>
            </w:pPr>
          </w:p>
        </w:tc>
        <w:tc>
          <w:tcPr>
            <w:tcW w:w="1328" w:type="dxa"/>
            <w:shd w:val="clear" w:color="auto" w:fill="auto"/>
            <w:noWrap w:val="0"/>
            <w:vAlign w:val="center"/>
          </w:tcPr>
          <w:p w14:paraId="399419C3">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碱洗槽滤渣及槽渣</w:t>
            </w:r>
          </w:p>
        </w:tc>
        <w:tc>
          <w:tcPr>
            <w:tcW w:w="1594" w:type="dxa"/>
            <w:noWrap w:val="0"/>
            <w:vAlign w:val="center"/>
          </w:tcPr>
          <w:p w14:paraId="6592D0F8">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195" w:type="dxa"/>
            <w:shd w:val="clear" w:color="auto" w:fill="auto"/>
            <w:noWrap w:val="0"/>
            <w:vAlign w:val="center"/>
          </w:tcPr>
          <w:p w14:paraId="396D947B">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594" w:type="dxa"/>
            <w:shd w:val="clear" w:color="auto" w:fill="auto"/>
            <w:noWrap w:val="0"/>
            <w:vAlign w:val="center"/>
          </w:tcPr>
          <w:p w14:paraId="58A393EC">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462" w:type="dxa"/>
            <w:shd w:val="clear" w:color="auto" w:fill="auto"/>
            <w:noWrap w:val="0"/>
            <w:vAlign w:val="center"/>
          </w:tcPr>
          <w:p w14:paraId="11B8CB60">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1651" w:type="dxa"/>
            <w:shd w:val="clear" w:color="auto" w:fill="auto"/>
            <w:noWrap w:val="0"/>
            <w:vAlign w:val="center"/>
          </w:tcPr>
          <w:p w14:paraId="2893C380">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838" w:type="dxa"/>
            <w:shd w:val="clear" w:color="auto" w:fill="auto"/>
            <w:noWrap w:val="0"/>
            <w:vAlign w:val="center"/>
          </w:tcPr>
          <w:p w14:paraId="652FCE65">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1264" w:type="dxa"/>
            <w:shd w:val="clear" w:color="auto" w:fill="auto"/>
            <w:noWrap w:val="0"/>
            <w:vAlign w:val="center"/>
          </w:tcPr>
          <w:p w14:paraId="5EA36DF9">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r>
      <w:tr w14:paraId="0F2F3E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05A80BAC">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cs="Times New Roman"/>
                <w:snapToGrid w:val="0"/>
                <w:color w:val="auto"/>
                <w:kern w:val="21"/>
                <w:sz w:val="21"/>
                <w:szCs w:val="21"/>
                <w:lang w:val="en-US" w:eastAsia="zh-CN"/>
              </w:rPr>
            </w:pPr>
          </w:p>
        </w:tc>
        <w:tc>
          <w:tcPr>
            <w:tcW w:w="1328" w:type="dxa"/>
            <w:shd w:val="clear" w:color="auto" w:fill="auto"/>
            <w:noWrap w:val="0"/>
            <w:vAlign w:val="center"/>
          </w:tcPr>
          <w:p w14:paraId="4F29E581">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酸洗槽滤渣及槽渣</w:t>
            </w:r>
          </w:p>
        </w:tc>
        <w:tc>
          <w:tcPr>
            <w:tcW w:w="1594" w:type="dxa"/>
            <w:noWrap w:val="0"/>
            <w:vAlign w:val="center"/>
          </w:tcPr>
          <w:p w14:paraId="0BCFB2B6">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195" w:type="dxa"/>
            <w:shd w:val="clear" w:color="auto" w:fill="auto"/>
            <w:noWrap w:val="0"/>
            <w:vAlign w:val="center"/>
          </w:tcPr>
          <w:p w14:paraId="5437C208">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594" w:type="dxa"/>
            <w:shd w:val="clear" w:color="auto" w:fill="auto"/>
            <w:noWrap w:val="0"/>
            <w:vAlign w:val="center"/>
          </w:tcPr>
          <w:p w14:paraId="146CDE1B">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462" w:type="dxa"/>
            <w:shd w:val="clear" w:color="auto" w:fill="auto"/>
            <w:noWrap w:val="0"/>
            <w:vAlign w:val="center"/>
          </w:tcPr>
          <w:p w14:paraId="7E165A28">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1651" w:type="dxa"/>
            <w:shd w:val="clear" w:color="auto" w:fill="auto"/>
            <w:noWrap w:val="0"/>
            <w:vAlign w:val="center"/>
          </w:tcPr>
          <w:p w14:paraId="3442A708">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838" w:type="dxa"/>
            <w:shd w:val="clear" w:color="auto" w:fill="auto"/>
            <w:noWrap w:val="0"/>
            <w:vAlign w:val="center"/>
          </w:tcPr>
          <w:p w14:paraId="794CEFEC">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1264" w:type="dxa"/>
            <w:shd w:val="clear" w:color="auto" w:fill="auto"/>
            <w:noWrap w:val="0"/>
            <w:vAlign w:val="center"/>
          </w:tcPr>
          <w:p w14:paraId="336D5ECF">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r>
      <w:tr w14:paraId="016CAF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4A7D2744">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cs="Times New Roman"/>
                <w:snapToGrid w:val="0"/>
                <w:color w:val="auto"/>
                <w:kern w:val="21"/>
                <w:sz w:val="21"/>
                <w:szCs w:val="21"/>
                <w:lang w:val="en-US" w:eastAsia="zh-CN"/>
              </w:rPr>
            </w:pPr>
          </w:p>
        </w:tc>
        <w:tc>
          <w:tcPr>
            <w:tcW w:w="1328" w:type="dxa"/>
            <w:shd w:val="clear" w:color="auto" w:fill="auto"/>
            <w:noWrap w:val="0"/>
            <w:vAlign w:val="center"/>
          </w:tcPr>
          <w:p w14:paraId="65C47A4E">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碱性含油和乳化液废水处理站浮油及污泥</w:t>
            </w:r>
          </w:p>
        </w:tc>
        <w:tc>
          <w:tcPr>
            <w:tcW w:w="1594" w:type="dxa"/>
            <w:noWrap w:val="0"/>
            <w:vAlign w:val="center"/>
          </w:tcPr>
          <w:p w14:paraId="0F7BD764">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195" w:type="dxa"/>
            <w:shd w:val="clear" w:color="auto" w:fill="auto"/>
            <w:noWrap w:val="0"/>
            <w:vAlign w:val="center"/>
          </w:tcPr>
          <w:p w14:paraId="5971CF78">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594" w:type="dxa"/>
            <w:shd w:val="clear" w:color="auto" w:fill="auto"/>
            <w:noWrap w:val="0"/>
            <w:vAlign w:val="center"/>
          </w:tcPr>
          <w:p w14:paraId="308C07AD">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462" w:type="dxa"/>
            <w:shd w:val="clear" w:color="auto" w:fill="auto"/>
            <w:noWrap w:val="0"/>
            <w:vAlign w:val="center"/>
          </w:tcPr>
          <w:p w14:paraId="571EF204">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1651" w:type="dxa"/>
            <w:shd w:val="clear" w:color="auto" w:fill="auto"/>
            <w:noWrap w:val="0"/>
            <w:vAlign w:val="center"/>
          </w:tcPr>
          <w:p w14:paraId="31CCD5F5">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838" w:type="dxa"/>
            <w:shd w:val="clear" w:color="auto" w:fill="auto"/>
            <w:noWrap w:val="0"/>
            <w:vAlign w:val="center"/>
          </w:tcPr>
          <w:p w14:paraId="739DAD9C">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1264" w:type="dxa"/>
            <w:shd w:val="clear" w:color="auto" w:fill="auto"/>
            <w:noWrap w:val="0"/>
            <w:vAlign w:val="center"/>
          </w:tcPr>
          <w:p w14:paraId="4A494597">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r>
      <w:tr w14:paraId="7C8917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1AC7022F">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cs="Times New Roman"/>
                <w:snapToGrid w:val="0"/>
                <w:color w:val="auto"/>
                <w:kern w:val="21"/>
                <w:sz w:val="21"/>
                <w:szCs w:val="21"/>
                <w:lang w:val="en-US" w:eastAsia="zh-CN"/>
              </w:rPr>
            </w:pPr>
          </w:p>
        </w:tc>
        <w:tc>
          <w:tcPr>
            <w:tcW w:w="1328" w:type="dxa"/>
            <w:shd w:val="clear" w:color="auto" w:fill="auto"/>
            <w:noWrap w:val="0"/>
            <w:vAlign w:val="center"/>
          </w:tcPr>
          <w:p w14:paraId="61B04D7E">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酸性废水处理站污泥</w:t>
            </w:r>
          </w:p>
        </w:tc>
        <w:tc>
          <w:tcPr>
            <w:tcW w:w="1594" w:type="dxa"/>
            <w:noWrap w:val="0"/>
            <w:vAlign w:val="center"/>
          </w:tcPr>
          <w:p w14:paraId="369779C8">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195" w:type="dxa"/>
            <w:shd w:val="clear" w:color="auto" w:fill="auto"/>
            <w:noWrap w:val="0"/>
            <w:vAlign w:val="center"/>
          </w:tcPr>
          <w:p w14:paraId="14E54177">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594" w:type="dxa"/>
            <w:shd w:val="clear" w:color="auto" w:fill="auto"/>
            <w:noWrap w:val="0"/>
            <w:vAlign w:val="center"/>
          </w:tcPr>
          <w:p w14:paraId="1804C7C8">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462" w:type="dxa"/>
            <w:shd w:val="clear" w:color="auto" w:fill="auto"/>
            <w:noWrap w:val="0"/>
            <w:vAlign w:val="center"/>
          </w:tcPr>
          <w:p w14:paraId="43D8FF6F">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w:t>
            </w:r>
          </w:p>
        </w:tc>
        <w:tc>
          <w:tcPr>
            <w:tcW w:w="1651" w:type="dxa"/>
            <w:shd w:val="clear" w:color="auto" w:fill="auto"/>
            <w:noWrap w:val="0"/>
            <w:vAlign w:val="center"/>
          </w:tcPr>
          <w:p w14:paraId="4DB0B823">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838" w:type="dxa"/>
            <w:shd w:val="clear" w:color="auto" w:fill="auto"/>
            <w:noWrap w:val="0"/>
            <w:vAlign w:val="center"/>
          </w:tcPr>
          <w:p w14:paraId="0CCD3A49">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w:t>
            </w:r>
          </w:p>
        </w:tc>
        <w:tc>
          <w:tcPr>
            <w:tcW w:w="1264" w:type="dxa"/>
            <w:shd w:val="clear" w:color="auto" w:fill="auto"/>
            <w:noWrap w:val="0"/>
            <w:vAlign w:val="center"/>
          </w:tcPr>
          <w:p w14:paraId="3EB9CD12">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w:t>
            </w:r>
          </w:p>
        </w:tc>
      </w:tr>
      <w:tr w14:paraId="26AD7A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1BE13E3C">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cs="Times New Roman"/>
                <w:snapToGrid w:val="0"/>
                <w:color w:val="auto"/>
                <w:kern w:val="21"/>
                <w:sz w:val="21"/>
                <w:szCs w:val="21"/>
                <w:lang w:val="en-US" w:eastAsia="zh-CN"/>
              </w:rPr>
            </w:pPr>
          </w:p>
        </w:tc>
        <w:tc>
          <w:tcPr>
            <w:tcW w:w="1328" w:type="dxa"/>
            <w:shd w:val="clear" w:color="auto" w:fill="auto"/>
            <w:noWrap w:val="0"/>
            <w:vAlign w:val="center"/>
          </w:tcPr>
          <w:p w14:paraId="4249A143">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废液压油</w:t>
            </w:r>
          </w:p>
        </w:tc>
        <w:tc>
          <w:tcPr>
            <w:tcW w:w="1594" w:type="dxa"/>
            <w:noWrap w:val="0"/>
            <w:vAlign w:val="center"/>
          </w:tcPr>
          <w:p w14:paraId="6D468542">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195" w:type="dxa"/>
            <w:shd w:val="clear" w:color="auto" w:fill="auto"/>
            <w:noWrap w:val="0"/>
            <w:vAlign w:val="center"/>
          </w:tcPr>
          <w:p w14:paraId="6037305D">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594" w:type="dxa"/>
            <w:shd w:val="clear" w:color="auto" w:fill="auto"/>
            <w:noWrap w:val="0"/>
            <w:vAlign w:val="center"/>
          </w:tcPr>
          <w:p w14:paraId="6AE92202">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462" w:type="dxa"/>
            <w:shd w:val="clear" w:color="auto" w:fill="auto"/>
            <w:noWrap w:val="0"/>
            <w:vAlign w:val="center"/>
          </w:tcPr>
          <w:p w14:paraId="6EED2B94">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1651" w:type="dxa"/>
            <w:shd w:val="clear" w:color="auto" w:fill="auto"/>
            <w:noWrap w:val="0"/>
            <w:vAlign w:val="center"/>
          </w:tcPr>
          <w:p w14:paraId="5EF28EA1">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838" w:type="dxa"/>
            <w:shd w:val="clear" w:color="auto" w:fill="auto"/>
            <w:noWrap w:val="0"/>
            <w:vAlign w:val="center"/>
          </w:tcPr>
          <w:p w14:paraId="77A08509">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1264" w:type="dxa"/>
            <w:shd w:val="clear" w:color="auto" w:fill="auto"/>
            <w:noWrap w:val="0"/>
            <w:vAlign w:val="center"/>
          </w:tcPr>
          <w:p w14:paraId="7CD49312">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r>
      <w:tr w14:paraId="3452B8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41003696">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cs="Times New Roman"/>
                <w:snapToGrid w:val="0"/>
                <w:color w:val="auto"/>
                <w:kern w:val="21"/>
                <w:sz w:val="21"/>
                <w:szCs w:val="21"/>
                <w:lang w:val="en-US" w:eastAsia="zh-CN"/>
              </w:rPr>
            </w:pPr>
          </w:p>
        </w:tc>
        <w:tc>
          <w:tcPr>
            <w:tcW w:w="1328" w:type="dxa"/>
            <w:shd w:val="clear" w:color="auto" w:fill="auto"/>
            <w:noWrap w:val="0"/>
            <w:vAlign w:val="center"/>
          </w:tcPr>
          <w:p w14:paraId="4D3AB3FF">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废齿轮油</w:t>
            </w:r>
          </w:p>
        </w:tc>
        <w:tc>
          <w:tcPr>
            <w:tcW w:w="1594" w:type="dxa"/>
            <w:noWrap w:val="0"/>
            <w:vAlign w:val="center"/>
          </w:tcPr>
          <w:p w14:paraId="3F03AD12">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195" w:type="dxa"/>
            <w:shd w:val="clear" w:color="auto" w:fill="auto"/>
            <w:noWrap w:val="0"/>
            <w:vAlign w:val="center"/>
          </w:tcPr>
          <w:p w14:paraId="3EE588B5">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594" w:type="dxa"/>
            <w:shd w:val="clear" w:color="auto" w:fill="auto"/>
            <w:noWrap w:val="0"/>
            <w:vAlign w:val="center"/>
          </w:tcPr>
          <w:p w14:paraId="1393719A">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462" w:type="dxa"/>
            <w:shd w:val="clear" w:color="auto" w:fill="auto"/>
            <w:noWrap w:val="0"/>
            <w:vAlign w:val="center"/>
          </w:tcPr>
          <w:p w14:paraId="56877748">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1651" w:type="dxa"/>
            <w:shd w:val="clear" w:color="auto" w:fill="auto"/>
            <w:noWrap w:val="0"/>
            <w:vAlign w:val="center"/>
          </w:tcPr>
          <w:p w14:paraId="4EB09E58">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838" w:type="dxa"/>
            <w:shd w:val="clear" w:color="auto" w:fill="auto"/>
            <w:noWrap w:val="0"/>
            <w:vAlign w:val="center"/>
          </w:tcPr>
          <w:p w14:paraId="54EEAA85">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1264" w:type="dxa"/>
            <w:shd w:val="clear" w:color="auto" w:fill="auto"/>
            <w:noWrap w:val="0"/>
            <w:vAlign w:val="center"/>
          </w:tcPr>
          <w:p w14:paraId="54DF484D">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r>
      <w:tr w14:paraId="1F8D77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16288C3C">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cs="Times New Roman"/>
                <w:snapToGrid w:val="0"/>
                <w:color w:val="auto"/>
                <w:kern w:val="21"/>
                <w:sz w:val="21"/>
                <w:szCs w:val="21"/>
                <w:lang w:val="en-US" w:eastAsia="zh-CN"/>
              </w:rPr>
            </w:pPr>
          </w:p>
        </w:tc>
        <w:tc>
          <w:tcPr>
            <w:tcW w:w="1328" w:type="dxa"/>
            <w:shd w:val="clear" w:color="auto" w:fill="auto"/>
            <w:noWrap w:val="0"/>
            <w:vAlign w:val="center"/>
          </w:tcPr>
          <w:p w14:paraId="6ABC05E8">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cs="Times New Roman"/>
                <w:snapToGrid w:val="0"/>
                <w:color w:val="auto"/>
                <w:kern w:val="2"/>
                <w:sz w:val="21"/>
                <w:szCs w:val="21"/>
                <w:highlight w:val="none"/>
                <w:vertAlign w:val="baseline"/>
                <w:lang w:val="en-US" w:eastAsia="zh-CN" w:bidi="ar-SA"/>
              </w:rPr>
            </w:pPr>
            <w:r>
              <w:rPr>
                <w:rFonts w:hint="eastAsia" w:cs="Times New Roman"/>
                <w:snapToGrid w:val="0"/>
                <w:color w:val="auto"/>
                <w:kern w:val="2"/>
                <w:sz w:val="21"/>
                <w:szCs w:val="21"/>
                <w:highlight w:val="none"/>
                <w:vertAlign w:val="baseline"/>
                <w:lang w:val="en-US" w:eastAsia="zh-CN" w:bidi="ar-SA"/>
              </w:rPr>
              <w:t>废油桶</w:t>
            </w:r>
          </w:p>
        </w:tc>
        <w:tc>
          <w:tcPr>
            <w:tcW w:w="1594" w:type="dxa"/>
            <w:noWrap w:val="0"/>
            <w:vAlign w:val="center"/>
          </w:tcPr>
          <w:p w14:paraId="04570C82">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default" w:ascii="Times New Roman" w:cs="Times New Roman"/>
                <w:snapToGrid w:val="0"/>
                <w:color w:val="auto"/>
                <w:kern w:val="21"/>
                <w:sz w:val="21"/>
                <w:szCs w:val="21"/>
                <w:lang w:val="en-US" w:eastAsia="zh-CN"/>
              </w:rPr>
            </w:pPr>
            <w:r>
              <w:rPr>
                <w:rFonts w:hint="eastAsia" w:cs="Times New Roman"/>
                <w:snapToGrid w:val="0"/>
                <w:color w:val="auto"/>
                <w:kern w:val="21"/>
                <w:sz w:val="21"/>
                <w:szCs w:val="21"/>
                <w:lang w:val="en-US" w:eastAsia="zh-CN"/>
              </w:rPr>
              <w:t>0</w:t>
            </w:r>
          </w:p>
        </w:tc>
        <w:tc>
          <w:tcPr>
            <w:tcW w:w="1195" w:type="dxa"/>
            <w:shd w:val="clear" w:color="auto" w:fill="auto"/>
            <w:noWrap w:val="0"/>
            <w:vAlign w:val="center"/>
          </w:tcPr>
          <w:p w14:paraId="51B192F1">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594" w:type="dxa"/>
            <w:shd w:val="clear" w:color="auto" w:fill="auto"/>
            <w:noWrap w:val="0"/>
            <w:vAlign w:val="center"/>
          </w:tcPr>
          <w:p w14:paraId="4054413D">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462" w:type="dxa"/>
            <w:shd w:val="clear" w:color="auto" w:fill="auto"/>
            <w:noWrap w:val="0"/>
            <w:vAlign w:val="center"/>
          </w:tcPr>
          <w:p w14:paraId="654D4442">
            <w:pPr>
              <w:widowControl/>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0.5</w:t>
            </w:r>
          </w:p>
        </w:tc>
        <w:tc>
          <w:tcPr>
            <w:tcW w:w="1651" w:type="dxa"/>
            <w:shd w:val="clear" w:color="auto" w:fill="auto"/>
            <w:noWrap w:val="0"/>
            <w:vAlign w:val="center"/>
          </w:tcPr>
          <w:p w14:paraId="36D57216">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838" w:type="dxa"/>
            <w:shd w:val="clear" w:color="auto" w:fill="auto"/>
            <w:noWrap w:val="0"/>
            <w:vAlign w:val="center"/>
          </w:tcPr>
          <w:p w14:paraId="506A3066">
            <w:pPr>
              <w:widowControl/>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0.5</w:t>
            </w:r>
          </w:p>
        </w:tc>
        <w:tc>
          <w:tcPr>
            <w:tcW w:w="1264" w:type="dxa"/>
            <w:shd w:val="clear" w:color="auto" w:fill="auto"/>
            <w:noWrap w:val="0"/>
            <w:vAlign w:val="center"/>
          </w:tcPr>
          <w:p w14:paraId="3420DF8D">
            <w:pPr>
              <w:widowControl/>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+0.5</w:t>
            </w:r>
          </w:p>
        </w:tc>
      </w:tr>
      <w:tr w14:paraId="4D35E7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678D2CF9">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cs="Times New Roman"/>
                <w:snapToGrid w:val="0"/>
                <w:color w:val="auto"/>
                <w:kern w:val="21"/>
                <w:sz w:val="21"/>
                <w:szCs w:val="21"/>
                <w:lang w:val="en-US" w:eastAsia="zh-CN"/>
              </w:rPr>
            </w:pPr>
          </w:p>
        </w:tc>
        <w:tc>
          <w:tcPr>
            <w:tcW w:w="1328" w:type="dxa"/>
            <w:shd w:val="clear" w:color="auto" w:fill="auto"/>
            <w:noWrap w:val="0"/>
            <w:vAlign w:val="center"/>
          </w:tcPr>
          <w:p w14:paraId="4DEAE356">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cs="Times New Roman"/>
                <w:snapToGrid w:val="0"/>
                <w:color w:val="auto"/>
                <w:kern w:val="2"/>
                <w:sz w:val="21"/>
                <w:szCs w:val="21"/>
                <w:highlight w:val="none"/>
                <w:vertAlign w:val="baseline"/>
                <w:lang w:val="en-US" w:eastAsia="zh-CN" w:bidi="ar-SA"/>
              </w:rPr>
            </w:pPr>
            <w:r>
              <w:rPr>
                <w:rFonts w:hint="eastAsia" w:cs="Times New Roman"/>
                <w:snapToGrid w:val="0"/>
                <w:color w:val="auto"/>
                <w:kern w:val="2"/>
                <w:sz w:val="21"/>
                <w:szCs w:val="21"/>
                <w:highlight w:val="none"/>
                <w:vertAlign w:val="baseline"/>
                <w:lang w:val="en-US" w:eastAsia="zh-CN" w:bidi="ar-SA"/>
              </w:rPr>
              <w:t>废弃的含油抹布和劳保用品</w:t>
            </w:r>
          </w:p>
        </w:tc>
        <w:tc>
          <w:tcPr>
            <w:tcW w:w="1594" w:type="dxa"/>
            <w:noWrap w:val="0"/>
            <w:vAlign w:val="center"/>
          </w:tcPr>
          <w:p w14:paraId="5BFEC2AC">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default" w:ascii="Times New Roman" w:cs="Times New Roman"/>
                <w:snapToGrid w:val="0"/>
                <w:color w:val="auto"/>
                <w:kern w:val="21"/>
                <w:sz w:val="21"/>
                <w:szCs w:val="21"/>
                <w:lang w:val="en-US" w:eastAsia="zh-CN"/>
              </w:rPr>
            </w:pPr>
            <w:r>
              <w:rPr>
                <w:rFonts w:hint="eastAsia" w:cs="Times New Roman"/>
                <w:snapToGrid w:val="0"/>
                <w:color w:val="auto"/>
                <w:kern w:val="21"/>
                <w:sz w:val="21"/>
                <w:szCs w:val="21"/>
                <w:lang w:val="en-US" w:eastAsia="zh-CN"/>
              </w:rPr>
              <w:t>0</w:t>
            </w:r>
          </w:p>
        </w:tc>
        <w:tc>
          <w:tcPr>
            <w:tcW w:w="1195" w:type="dxa"/>
            <w:shd w:val="clear" w:color="auto" w:fill="auto"/>
            <w:noWrap w:val="0"/>
            <w:vAlign w:val="center"/>
          </w:tcPr>
          <w:p w14:paraId="0A60FF38">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594" w:type="dxa"/>
            <w:shd w:val="clear" w:color="auto" w:fill="auto"/>
            <w:noWrap w:val="0"/>
            <w:vAlign w:val="center"/>
          </w:tcPr>
          <w:p w14:paraId="60AF45C3">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462" w:type="dxa"/>
            <w:shd w:val="clear" w:color="auto" w:fill="auto"/>
            <w:noWrap w:val="0"/>
            <w:vAlign w:val="center"/>
          </w:tcPr>
          <w:p w14:paraId="162C1DF9">
            <w:pPr>
              <w:widowControl/>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0.3</w:t>
            </w:r>
          </w:p>
        </w:tc>
        <w:tc>
          <w:tcPr>
            <w:tcW w:w="1651" w:type="dxa"/>
            <w:shd w:val="clear" w:color="auto" w:fill="auto"/>
            <w:noWrap w:val="0"/>
            <w:vAlign w:val="center"/>
          </w:tcPr>
          <w:p w14:paraId="24C4AA44">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rPr>
              <w:t>0</w:t>
            </w:r>
          </w:p>
        </w:tc>
        <w:tc>
          <w:tcPr>
            <w:tcW w:w="1838" w:type="dxa"/>
            <w:shd w:val="clear" w:color="auto" w:fill="auto"/>
            <w:noWrap w:val="0"/>
            <w:vAlign w:val="center"/>
          </w:tcPr>
          <w:p w14:paraId="7D1BD8B5">
            <w:pPr>
              <w:widowControl/>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0.3</w:t>
            </w:r>
          </w:p>
        </w:tc>
        <w:tc>
          <w:tcPr>
            <w:tcW w:w="1264" w:type="dxa"/>
            <w:shd w:val="clear" w:color="auto" w:fill="auto"/>
            <w:noWrap w:val="0"/>
            <w:vAlign w:val="center"/>
          </w:tcPr>
          <w:p w14:paraId="7DA7A444">
            <w:pPr>
              <w:widowControl/>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+0.3</w:t>
            </w:r>
          </w:p>
        </w:tc>
      </w:tr>
      <w:tr w14:paraId="3F6E30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490" w:type="dxa"/>
            <w:vMerge w:val="continue"/>
            <w:noWrap w:val="0"/>
            <w:vAlign w:val="center"/>
          </w:tcPr>
          <w:p w14:paraId="42443053">
            <w:pPr>
              <w:pStyle w:val="69"/>
              <w:keepNext w:val="0"/>
              <w:keepLines w:val="0"/>
              <w:pageBreakBefore w:val="0"/>
              <w:widowControl w:val="0"/>
              <w:kinsoku/>
              <w:wordWrap/>
              <w:overflowPunct/>
              <w:topLinePunct w:val="0"/>
              <w:autoSpaceDE/>
              <w:autoSpaceDN/>
              <w:bidi w:val="0"/>
              <w:spacing w:beforeLines="0" w:afterLines="0" w:line="320" w:lineRule="exact"/>
              <w:textAlignment w:val="auto"/>
              <w:rPr>
                <w:rFonts w:hint="eastAsia" w:ascii="Times New Roman" w:cs="Times New Roman"/>
                <w:snapToGrid w:val="0"/>
                <w:color w:val="auto"/>
                <w:kern w:val="21"/>
                <w:sz w:val="21"/>
                <w:szCs w:val="21"/>
                <w:lang w:val="en-US" w:eastAsia="zh-CN"/>
              </w:rPr>
            </w:pPr>
          </w:p>
        </w:tc>
        <w:tc>
          <w:tcPr>
            <w:tcW w:w="1328" w:type="dxa"/>
            <w:shd w:val="clear" w:color="auto" w:fill="auto"/>
            <w:noWrap w:val="0"/>
            <w:vAlign w:val="center"/>
          </w:tcPr>
          <w:p w14:paraId="799E0A5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s="Times New Roman"/>
                <w:snapToGrid w:val="0"/>
                <w:color w:val="auto"/>
                <w:kern w:val="2"/>
                <w:sz w:val="21"/>
                <w:szCs w:val="21"/>
                <w:highlight w:val="none"/>
                <w:vertAlign w:val="baseline"/>
                <w:lang w:val="en-US" w:eastAsia="zh-CN" w:bidi="ar-SA"/>
              </w:rPr>
            </w:pPr>
            <w:r>
              <w:rPr>
                <w:rFonts w:hint="eastAsia" w:cs="Times New Roman"/>
                <w:snapToGrid w:val="0"/>
                <w:color w:val="auto"/>
                <w:kern w:val="2"/>
                <w:sz w:val="21"/>
                <w:szCs w:val="21"/>
                <w:highlight w:val="none"/>
                <w:vertAlign w:val="baseline"/>
                <w:lang w:val="en-US" w:eastAsia="zh-CN" w:bidi="ar-SA"/>
              </w:rPr>
              <w:t>废透平油</w:t>
            </w:r>
          </w:p>
        </w:tc>
        <w:tc>
          <w:tcPr>
            <w:tcW w:w="1594" w:type="dxa"/>
            <w:noWrap w:val="0"/>
            <w:vAlign w:val="center"/>
          </w:tcPr>
          <w:p w14:paraId="791A9807">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cs="Times New Roman"/>
                <w:snapToGrid w:val="0"/>
                <w:color w:val="auto"/>
                <w:kern w:val="21"/>
                <w:sz w:val="21"/>
                <w:szCs w:val="21"/>
                <w:lang w:val="en-US" w:eastAsia="zh-CN"/>
              </w:rPr>
            </w:pPr>
            <w:r>
              <w:rPr>
                <w:rFonts w:hint="eastAsia" w:cs="Times New Roman"/>
                <w:snapToGrid w:val="0"/>
                <w:color w:val="auto"/>
                <w:kern w:val="21"/>
                <w:sz w:val="21"/>
                <w:szCs w:val="21"/>
                <w:lang w:val="en-US" w:eastAsia="zh-CN"/>
              </w:rPr>
              <w:t>0</w:t>
            </w:r>
          </w:p>
        </w:tc>
        <w:tc>
          <w:tcPr>
            <w:tcW w:w="1195" w:type="dxa"/>
            <w:shd w:val="clear" w:color="auto" w:fill="auto"/>
            <w:noWrap w:val="0"/>
            <w:vAlign w:val="center"/>
          </w:tcPr>
          <w:p w14:paraId="2BC03B55">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cs="Times New Roman"/>
                <w:snapToGrid w:val="0"/>
                <w:color w:val="auto"/>
                <w:kern w:val="21"/>
                <w:sz w:val="21"/>
                <w:szCs w:val="21"/>
                <w:lang w:val="en-US" w:eastAsia="zh-CN"/>
              </w:rPr>
            </w:pPr>
            <w:r>
              <w:rPr>
                <w:rFonts w:hint="eastAsia" w:cs="Times New Roman"/>
                <w:snapToGrid w:val="0"/>
                <w:color w:val="auto"/>
                <w:kern w:val="21"/>
                <w:sz w:val="21"/>
                <w:szCs w:val="21"/>
                <w:lang w:val="en-US" w:eastAsia="zh-CN"/>
              </w:rPr>
              <w:t>0</w:t>
            </w:r>
          </w:p>
        </w:tc>
        <w:tc>
          <w:tcPr>
            <w:tcW w:w="1594" w:type="dxa"/>
            <w:shd w:val="clear" w:color="auto" w:fill="auto"/>
            <w:noWrap w:val="0"/>
            <w:vAlign w:val="center"/>
          </w:tcPr>
          <w:p w14:paraId="1FBE4E3E">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eastAsia" w:cs="Times New Roman"/>
                <w:snapToGrid w:val="0"/>
                <w:color w:val="auto"/>
                <w:kern w:val="21"/>
                <w:sz w:val="21"/>
                <w:szCs w:val="21"/>
                <w:lang w:val="en-US" w:eastAsia="zh-CN"/>
              </w:rPr>
            </w:pPr>
            <w:r>
              <w:rPr>
                <w:rFonts w:hint="eastAsia" w:cs="Times New Roman"/>
                <w:snapToGrid w:val="0"/>
                <w:color w:val="auto"/>
                <w:kern w:val="21"/>
                <w:sz w:val="21"/>
                <w:szCs w:val="21"/>
                <w:lang w:val="en-US" w:eastAsia="zh-CN"/>
              </w:rPr>
              <w:t>0</w:t>
            </w:r>
          </w:p>
        </w:tc>
        <w:tc>
          <w:tcPr>
            <w:tcW w:w="1462" w:type="dxa"/>
            <w:shd w:val="clear" w:color="auto" w:fill="auto"/>
            <w:noWrap w:val="0"/>
            <w:vAlign w:val="center"/>
          </w:tcPr>
          <w:p w14:paraId="41EE8E19">
            <w:pPr>
              <w:widowControl/>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w:t>
            </w:r>
          </w:p>
        </w:tc>
        <w:tc>
          <w:tcPr>
            <w:tcW w:w="1651" w:type="dxa"/>
            <w:shd w:val="clear" w:color="auto" w:fill="auto"/>
            <w:noWrap w:val="0"/>
            <w:vAlign w:val="center"/>
          </w:tcPr>
          <w:p w14:paraId="5091B9B0">
            <w:pPr>
              <w:keepNext w:val="0"/>
              <w:keepLines w:val="0"/>
              <w:pageBreakBefore w:val="0"/>
              <w:widowControl w:val="0"/>
              <w:kinsoku/>
              <w:wordWrap/>
              <w:overflowPunct/>
              <w:topLinePunct w:val="0"/>
              <w:autoSpaceDE/>
              <w:autoSpaceDN/>
              <w:bidi w:val="0"/>
              <w:spacing w:beforeLines="0" w:afterLines="0" w:line="320" w:lineRule="exact"/>
              <w:jc w:val="center"/>
              <w:textAlignment w:val="auto"/>
              <w:rPr>
                <w:rFonts w:hint="default" w:cs="Times New Roman"/>
                <w:snapToGrid w:val="0"/>
                <w:color w:val="auto"/>
                <w:kern w:val="21"/>
                <w:sz w:val="21"/>
                <w:szCs w:val="21"/>
                <w:lang w:val="en-US" w:eastAsia="zh-CN"/>
              </w:rPr>
            </w:pPr>
            <w:r>
              <w:rPr>
                <w:rFonts w:hint="eastAsia" w:cs="Times New Roman"/>
                <w:snapToGrid w:val="0"/>
                <w:color w:val="auto"/>
                <w:kern w:val="21"/>
                <w:sz w:val="21"/>
                <w:szCs w:val="21"/>
                <w:lang w:val="en-US" w:eastAsia="zh-CN"/>
              </w:rPr>
              <w:t>0</w:t>
            </w:r>
          </w:p>
        </w:tc>
        <w:tc>
          <w:tcPr>
            <w:tcW w:w="1838" w:type="dxa"/>
            <w:shd w:val="clear" w:color="auto" w:fill="auto"/>
            <w:noWrap w:val="0"/>
            <w:vAlign w:val="center"/>
          </w:tcPr>
          <w:p w14:paraId="0B96EE93">
            <w:pPr>
              <w:widowControl/>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w:t>
            </w:r>
          </w:p>
        </w:tc>
        <w:tc>
          <w:tcPr>
            <w:tcW w:w="1264" w:type="dxa"/>
            <w:shd w:val="clear" w:color="auto" w:fill="auto"/>
            <w:noWrap w:val="0"/>
            <w:vAlign w:val="center"/>
          </w:tcPr>
          <w:p w14:paraId="7CE45A5E">
            <w:pPr>
              <w:widowControl/>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w:t>
            </w:r>
          </w:p>
        </w:tc>
      </w:tr>
    </w:tbl>
    <w:p w14:paraId="20E9E0FF">
      <w:pPr>
        <w:bidi w:val="0"/>
        <w:rPr>
          <w:rFonts w:hint="default"/>
          <w:color w:val="auto"/>
        </w:rPr>
      </w:pPr>
      <w:r>
        <w:rPr>
          <w:rFonts w:hint="default"/>
          <w:color w:val="auto"/>
        </w:rPr>
        <w:t>注：</w:t>
      </w:r>
      <w:r>
        <w:rPr>
          <w:rFonts w:hint="default"/>
          <w:color w:val="auto"/>
        </w:rPr>
        <w:fldChar w:fldCharType="begin"/>
      </w:r>
      <w:r>
        <w:rPr>
          <w:rFonts w:hint="default"/>
          <w:color w:val="auto"/>
        </w:rPr>
        <w:instrText xml:space="preserve"> = 6 \* GB3 \* MERGEFORMAT </w:instrText>
      </w:r>
      <w:r>
        <w:rPr>
          <w:rFonts w:hint="default"/>
          <w:color w:val="auto"/>
        </w:rPr>
        <w:fldChar w:fldCharType="separate"/>
      </w:r>
      <w:r>
        <w:rPr>
          <w:rFonts w:hint="default"/>
          <w:color w:val="auto"/>
        </w:rPr>
        <w:t>⑥</w:t>
      </w:r>
      <w:r>
        <w:rPr>
          <w:rFonts w:hint="default"/>
          <w:color w:val="auto"/>
        </w:rPr>
        <w:fldChar w:fldCharType="end"/>
      </w:r>
      <w:r>
        <w:rPr>
          <w:rFonts w:hint="default"/>
          <w:color w:val="auto"/>
        </w:rPr>
        <w:t>=</w:t>
      </w:r>
      <w:r>
        <w:rPr>
          <w:rFonts w:hint="default"/>
          <w:color w:val="auto"/>
        </w:rPr>
        <w:fldChar w:fldCharType="begin"/>
      </w:r>
      <w:r>
        <w:rPr>
          <w:rFonts w:hint="default"/>
          <w:color w:val="auto"/>
        </w:rPr>
        <w:instrText xml:space="preserve"> = 1 \* GB3 \* MERGEFORMAT </w:instrText>
      </w:r>
      <w:r>
        <w:rPr>
          <w:rFonts w:hint="default"/>
          <w:color w:val="auto"/>
        </w:rPr>
        <w:fldChar w:fldCharType="separate"/>
      </w:r>
      <w:r>
        <w:rPr>
          <w:rFonts w:hint="default"/>
          <w:color w:val="auto"/>
        </w:rPr>
        <w:t>①</w:t>
      </w:r>
      <w:r>
        <w:rPr>
          <w:rFonts w:hint="default"/>
          <w:color w:val="auto"/>
        </w:rPr>
        <w:fldChar w:fldCharType="end"/>
      </w:r>
      <w:r>
        <w:rPr>
          <w:rFonts w:hint="default"/>
          <w:color w:val="auto"/>
        </w:rPr>
        <w:t>+</w:t>
      </w:r>
      <w:r>
        <w:rPr>
          <w:rFonts w:hint="default"/>
          <w:color w:val="auto"/>
        </w:rPr>
        <w:fldChar w:fldCharType="begin"/>
      </w:r>
      <w:r>
        <w:rPr>
          <w:rFonts w:hint="default"/>
          <w:color w:val="auto"/>
        </w:rPr>
        <w:instrText xml:space="preserve"> = 3 \* GB3 \* MERGEFORMAT </w:instrText>
      </w:r>
      <w:r>
        <w:rPr>
          <w:rFonts w:hint="default"/>
          <w:color w:val="auto"/>
        </w:rPr>
        <w:fldChar w:fldCharType="separate"/>
      </w:r>
      <w:r>
        <w:rPr>
          <w:rFonts w:hint="default"/>
          <w:color w:val="auto"/>
        </w:rPr>
        <w:t>③</w:t>
      </w:r>
      <w:r>
        <w:rPr>
          <w:rFonts w:hint="default"/>
          <w:color w:val="auto"/>
        </w:rPr>
        <w:fldChar w:fldCharType="end"/>
      </w:r>
      <w:r>
        <w:rPr>
          <w:rFonts w:hint="default"/>
          <w:color w:val="auto"/>
        </w:rPr>
        <w:t>+</w:t>
      </w:r>
      <w:r>
        <w:rPr>
          <w:rFonts w:hint="default"/>
          <w:color w:val="auto"/>
        </w:rPr>
        <w:fldChar w:fldCharType="begin"/>
      </w:r>
      <w:r>
        <w:rPr>
          <w:rFonts w:hint="default"/>
          <w:color w:val="auto"/>
        </w:rPr>
        <w:instrText xml:space="preserve"> = 4 \* GB3 \* MERGEFORMAT </w:instrText>
      </w:r>
      <w:r>
        <w:rPr>
          <w:rFonts w:hint="default"/>
          <w:color w:val="auto"/>
        </w:rPr>
        <w:fldChar w:fldCharType="separate"/>
      </w:r>
      <w:r>
        <w:rPr>
          <w:rFonts w:hint="default"/>
          <w:color w:val="auto"/>
        </w:rPr>
        <w:t>④</w:t>
      </w:r>
      <w:r>
        <w:rPr>
          <w:rFonts w:hint="default"/>
          <w:color w:val="auto"/>
        </w:rPr>
        <w:fldChar w:fldCharType="end"/>
      </w:r>
      <w:r>
        <w:rPr>
          <w:rFonts w:hint="default"/>
          <w:color w:val="auto"/>
        </w:rPr>
        <w:t>-</w:t>
      </w:r>
      <w:r>
        <w:rPr>
          <w:rFonts w:hint="default"/>
          <w:color w:val="auto"/>
        </w:rPr>
        <w:fldChar w:fldCharType="begin"/>
      </w:r>
      <w:r>
        <w:rPr>
          <w:rFonts w:hint="default"/>
          <w:color w:val="auto"/>
        </w:rPr>
        <w:instrText xml:space="preserve"> = 5 \* GB3 \* MERGEFORMAT </w:instrText>
      </w:r>
      <w:r>
        <w:rPr>
          <w:rFonts w:hint="default"/>
          <w:color w:val="auto"/>
        </w:rPr>
        <w:fldChar w:fldCharType="separate"/>
      </w:r>
      <w:r>
        <w:rPr>
          <w:rFonts w:hint="default"/>
          <w:color w:val="auto"/>
        </w:rPr>
        <w:t>⑤</w:t>
      </w:r>
      <w:r>
        <w:rPr>
          <w:rFonts w:hint="default"/>
          <w:color w:val="auto"/>
        </w:rPr>
        <w:fldChar w:fldCharType="end"/>
      </w:r>
      <w:r>
        <w:rPr>
          <w:rFonts w:hint="default"/>
          <w:color w:val="auto"/>
        </w:rPr>
        <w:t>；</w:t>
      </w:r>
      <w:r>
        <w:rPr>
          <w:rFonts w:hint="default"/>
          <w:color w:val="auto"/>
        </w:rPr>
        <w:fldChar w:fldCharType="begin"/>
      </w:r>
      <w:r>
        <w:rPr>
          <w:rFonts w:hint="default"/>
          <w:color w:val="auto"/>
        </w:rPr>
        <w:instrText xml:space="preserve"> = 7 \* GB3 \* MERGEFORMAT </w:instrText>
      </w:r>
      <w:r>
        <w:rPr>
          <w:rFonts w:hint="default"/>
          <w:color w:val="auto"/>
        </w:rPr>
        <w:fldChar w:fldCharType="separate"/>
      </w:r>
      <w:r>
        <w:rPr>
          <w:rFonts w:hint="default"/>
          <w:color w:val="auto"/>
        </w:rPr>
        <w:t>⑦</w:t>
      </w:r>
      <w:r>
        <w:rPr>
          <w:rFonts w:hint="default"/>
          <w:color w:val="auto"/>
        </w:rPr>
        <w:fldChar w:fldCharType="end"/>
      </w:r>
      <w:r>
        <w:rPr>
          <w:rFonts w:hint="default"/>
          <w:color w:val="auto"/>
        </w:rPr>
        <w:t>=</w:t>
      </w:r>
      <w:r>
        <w:rPr>
          <w:rFonts w:hint="default"/>
          <w:color w:val="auto"/>
        </w:rPr>
        <w:fldChar w:fldCharType="begin"/>
      </w:r>
      <w:r>
        <w:rPr>
          <w:rFonts w:hint="default"/>
          <w:color w:val="auto"/>
        </w:rPr>
        <w:instrText xml:space="preserve"> = 6 \* GB3 \* MERGEFORMAT </w:instrText>
      </w:r>
      <w:r>
        <w:rPr>
          <w:rFonts w:hint="default"/>
          <w:color w:val="auto"/>
        </w:rPr>
        <w:fldChar w:fldCharType="separate"/>
      </w:r>
      <w:r>
        <w:rPr>
          <w:rFonts w:hint="default"/>
          <w:color w:val="auto"/>
        </w:rPr>
        <w:t>⑥</w:t>
      </w:r>
      <w:r>
        <w:rPr>
          <w:rFonts w:hint="default"/>
          <w:color w:val="auto"/>
        </w:rPr>
        <w:fldChar w:fldCharType="end"/>
      </w:r>
      <w:r>
        <w:rPr>
          <w:rFonts w:hint="default"/>
          <w:color w:val="auto"/>
        </w:rPr>
        <w:t>-</w:t>
      </w:r>
      <w:r>
        <w:rPr>
          <w:rFonts w:hint="default"/>
          <w:color w:val="auto"/>
        </w:rPr>
        <w:fldChar w:fldCharType="begin"/>
      </w:r>
      <w:r>
        <w:rPr>
          <w:rFonts w:hint="default"/>
          <w:color w:val="auto"/>
        </w:rPr>
        <w:instrText xml:space="preserve"> = 1 \* GB3 \* MERGEFORMAT </w:instrText>
      </w:r>
      <w:r>
        <w:rPr>
          <w:rFonts w:hint="default"/>
          <w:color w:val="auto"/>
        </w:rPr>
        <w:fldChar w:fldCharType="separate"/>
      </w:r>
      <w:r>
        <w:rPr>
          <w:rFonts w:hint="default"/>
          <w:color w:val="auto"/>
        </w:rPr>
        <w:t>①</w:t>
      </w:r>
      <w:r>
        <w:rPr>
          <w:rFonts w:hint="default"/>
          <w:color w:val="auto"/>
        </w:rPr>
        <w:fldChar w:fldCharType="end"/>
      </w:r>
      <w:bookmarkEnd w:id="21"/>
    </w:p>
    <w:p w14:paraId="49FE11AC">
      <w:pPr>
        <w:rPr>
          <w:rFonts w:hint="default"/>
          <w:color w:val="auto"/>
        </w:rPr>
      </w:pPr>
      <w:r>
        <w:rPr>
          <w:rFonts w:hint="default"/>
          <w:color w:val="auto"/>
        </w:rPr>
        <w:br w:type="page"/>
      </w:r>
    </w:p>
    <w:p w14:paraId="0DBF71E4">
      <w:pPr>
        <w:rPr>
          <w:rFonts w:hint="default"/>
          <w:color w:val="auto"/>
        </w:rPr>
        <w:sectPr>
          <w:pgSz w:w="16838" w:h="11906" w:orient="landscape"/>
          <w:pgMar w:top="1304" w:right="1701" w:bottom="1304" w:left="1701"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5EF4BC7F">
      <w:pPr>
        <w:keepNext w:val="0"/>
        <w:keepLines w:val="0"/>
        <w:pageBreakBefore w:val="0"/>
        <w:widowControl w:val="0"/>
        <w:kinsoku/>
        <w:wordWrap/>
        <w:overflowPunct/>
        <w:topLinePunct w:val="0"/>
        <w:autoSpaceDE/>
        <w:autoSpaceDN/>
        <w:bidi w:val="0"/>
        <w:adjustRightInd/>
        <w:snapToGrid/>
        <w:textAlignment w:val="auto"/>
        <w:outlineLvl w:val="0"/>
        <w:rPr>
          <w:rFonts w:hint="eastAsia"/>
          <w:color w:val="auto"/>
          <w:sz w:val="24"/>
          <w:szCs w:val="32"/>
          <w:lang w:val="en-US" w:eastAsia="zh-CN"/>
        </w:rPr>
      </w:pPr>
      <w:r>
        <w:rPr>
          <w:rFonts w:hint="eastAsia"/>
          <w:color w:val="auto"/>
          <w:sz w:val="24"/>
          <w:szCs w:val="32"/>
          <w:lang w:val="en-US" w:eastAsia="zh-CN"/>
        </w:rPr>
        <w:t>附件1 委托书</w:t>
      </w:r>
    </w:p>
    <w:p w14:paraId="69EED65B">
      <w:pPr>
        <w:pStyle w:val="29"/>
        <w:keepNext w:val="0"/>
        <w:keepLines w:val="0"/>
        <w:widowControl/>
        <w:suppressLineNumbers w:val="0"/>
        <w:rPr>
          <w:rFonts w:hint="eastAsia"/>
          <w:color w:val="auto"/>
          <w:sz w:val="24"/>
          <w:szCs w:val="32"/>
          <w:lang w:val="en-US" w:eastAsia="zh-CN"/>
        </w:rPr>
      </w:pPr>
      <w:r>
        <w:rPr>
          <w:color w:val="auto"/>
        </w:rPr>
        <w:drawing>
          <wp:inline distT="0" distB="0" distL="114300" distR="114300">
            <wp:extent cx="5354955" cy="7919720"/>
            <wp:effectExtent l="0" t="0" r="4445" b="5080"/>
            <wp:docPr id="39"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 descr="IMG_256"/>
                    <pic:cNvPicPr>
                      <a:picLocks noChangeAspect="1"/>
                    </pic:cNvPicPr>
                  </pic:nvPicPr>
                  <pic:blipFill>
                    <a:blip r:embed="rId53"/>
                    <a:stretch>
                      <a:fillRect/>
                    </a:stretch>
                  </pic:blipFill>
                  <pic:spPr>
                    <a:xfrm>
                      <a:off x="0" y="0"/>
                      <a:ext cx="5354955" cy="7919720"/>
                    </a:xfrm>
                    <a:prstGeom prst="rect">
                      <a:avLst/>
                    </a:prstGeom>
                    <a:noFill/>
                    <a:ln w="9525">
                      <a:noFill/>
                    </a:ln>
                  </pic:spPr>
                </pic:pic>
              </a:graphicData>
            </a:graphic>
          </wp:inline>
        </w:drawing>
      </w:r>
    </w:p>
    <w:p w14:paraId="75D9967B">
      <w:pPr>
        <w:rPr>
          <w:rFonts w:hint="eastAsia"/>
          <w:color w:val="auto"/>
          <w:sz w:val="24"/>
          <w:szCs w:val="32"/>
          <w:lang w:val="en-US" w:eastAsia="zh-CN"/>
        </w:rPr>
      </w:pPr>
      <w:r>
        <w:rPr>
          <w:rFonts w:hint="eastAsia"/>
          <w:color w:val="auto"/>
          <w:sz w:val="24"/>
          <w:szCs w:val="32"/>
          <w:lang w:val="en-US" w:eastAsia="zh-CN"/>
        </w:rPr>
        <w:br w:type="page"/>
      </w:r>
    </w:p>
    <w:p w14:paraId="1FB098E7">
      <w:pPr>
        <w:keepNext w:val="0"/>
        <w:keepLines w:val="0"/>
        <w:pageBreakBefore w:val="0"/>
        <w:widowControl w:val="0"/>
        <w:kinsoku/>
        <w:wordWrap/>
        <w:overflowPunct/>
        <w:topLinePunct w:val="0"/>
        <w:autoSpaceDE/>
        <w:autoSpaceDN/>
        <w:bidi w:val="0"/>
        <w:adjustRightInd/>
        <w:snapToGrid/>
        <w:textAlignment w:val="auto"/>
        <w:outlineLvl w:val="0"/>
        <w:rPr>
          <w:rFonts w:hint="eastAsia"/>
          <w:color w:val="auto"/>
          <w:sz w:val="24"/>
          <w:szCs w:val="32"/>
          <w:lang w:val="en-US" w:eastAsia="zh-CN"/>
        </w:rPr>
      </w:pPr>
      <w:r>
        <w:rPr>
          <w:rFonts w:hint="eastAsia"/>
          <w:color w:val="auto"/>
          <w:sz w:val="24"/>
          <w:szCs w:val="32"/>
          <w:lang w:val="en-US" w:eastAsia="zh-CN"/>
        </w:rPr>
        <w:t>附件2 承诺函</w:t>
      </w:r>
    </w:p>
    <w:p w14:paraId="2B691ECB">
      <w:pPr>
        <w:pStyle w:val="29"/>
        <w:keepNext w:val="0"/>
        <w:keepLines w:val="0"/>
        <w:widowControl/>
        <w:suppressLineNumbers w:val="0"/>
        <w:rPr>
          <w:color w:val="auto"/>
        </w:rPr>
      </w:pPr>
      <w:r>
        <w:rPr>
          <w:color w:val="auto"/>
        </w:rPr>
        <w:drawing>
          <wp:inline distT="0" distB="0" distL="114300" distR="114300">
            <wp:extent cx="5466715" cy="7919720"/>
            <wp:effectExtent l="0" t="0" r="6985" b="5080"/>
            <wp:docPr id="41"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descr="IMG_256"/>
                    <pic:cNvPicPr>
                      <a:picLocks noChangeAspect="1"/>
                    </pic:cNvPicPr>
                  </pic:nvPicPr>
                  <pic:blipFill>
                    <a:blip r:embed="rId54"/>
                    <a:stretch>
                      <a:fillRect/>
                    </a:stretch>
                  </pic:blipFill>
                  <pic:spPr>
                    <a:xfrm>
                      <a:off x="0" y="0"/>
                      <a:ext cx="5466715" cy="7919720"/>
                    </a:xfrm>
                    <a:prstGeom prst="rect">
                      <a:avLst/>
                    </a:prstGeom>
                    <a:noFill/>
                    <a:ln w="9525">
                      <a:noFill/>
                    </a:ln>
                  </pic:spPr>
                </pic:pic>
              </a:graphicData>
            </a:graphic>
          </wp:inline>
        </w:drawing>
      </w:r>
    </w:p>
    <w:p w14:paraId="73B2EC76">
      <w:pPr>
        <w:rPr>
          <w:rFonts w:hint="eastAsia"/>
          <w:color w:val="auto"/>
          <w:sz w:val="24"/>
          <w:szCs w:val="32"/>
          <w:lang w:val="en-US" w:eastAsia="zh-CN"/>
        </w:rPr>
      </w:pPr>
      <w:r>
        <w:rPr>
          <w:rFonts w:hint="eastAsia"/>
          <w:color w:val="auto"/>
          <w:sz w:val="24"/>
          <w:szCs w:val="32"/>
          <w:lang w:val="en-US" w:eastAsia="zh-CN"/>
        </w:rPr>
        <w:br w:type="page"/>
      </w:r>
    </w:p>
    <w:p w14:paraId="2AECC516">
      <w:pPr>
        <w:keepNext w:val="0"/>
        <w:keepLines w:val="0"/>
        <w:pageBreakBefore w:val="0"/>
        <w:widowControl w:val="0"/>
        <w:kinsoku/>
        <w:wordWrap/>
        <w:overflowPunct/>
        <w:topLinePunct w:val="0"/>
        <w:autoSpaceDE/>
        <w:autoSpaceDN/>
        <w:bidi w:val="0"/>
        <w:adjustRightInd/>
        <w:snapToGrid/>
        <w:textAlignment w:val="auto"/>
        <w:outlineLvl w:val="0"/>
        <w:rPr>
          <w:rFonts w:hint="eastAsia"/>
          <w:color w:val="auto"/>
          <w:sz w:val="24"/>
          <w:szCs w:val="32"/>
          <w:lang w:val="en-US" w:eastAsia="zh-CN"/>
        </w:rPr>
      </w:pPr>
      <w:r>
        <w:rPr>
          <w:rFonts w:hint="eastAsia"/>
          <w:color w:val="auto"/>
          <w:sz w:val="24"/>
          <w:szCs w:val="32"/>
          <w:lang w:val="en-US" w:eastAsia="zh-CN"/>
        </w:rPr>
        <w:t>附件3 项目备案</w:t>
      </w:r>
    </w:p>
    <w:p w14:paraId="4E4086C3">
      <w:pPr>
        <w:rPr>
          <w:rFonts w:hint="eastAsia"/>
          <w:color w:val="auto"/>
          <w:sz w:val="24"/>
          <w:szCs w:val="32"/>
          <w:lang w:val="en-US" w:eastAsia="zh-CN"/>
        </w:rPr>
      </w:pPr>
      <w:r>
        <w:rPr>
          <w:rFonts w:hint="eastAsia"/>
          <w:color w:val="auto"/>
          <w:sz w:val="24"/>
          <w:szCs w:val="32"/>
          <w:lang w:val="en-US" w:eastAsia="zh-CN"/>
        </w:rPr>
        <w:drawing>
          <wp:inline distT="0" distB="0" distL="114300" distR="114300">
            <wp:extent cx="5608955" cy="7939405"/>
            <wp:effectExtent l="0" t="0" r="10795" b="4445"/>
            <wp:docPr id="91" name="图片 91" descr="2025-111昌吉华诚新材料有限公司年产10万吨高磁感取向硅钢、6万吨铁芯项目项目变更登记表（2026.05.2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2025-111昌吉华诚新材料有限公司年产10万吨高磁感取向硅钢、6万吨铁芯项目项目变更登记表（2026.05.21）_01"/>
                    <pic:cNvPicPr>
                      <a:picLocks noChangeAspect="1"/>
                    </pic:cNvPicPr>
                  </pic:nvPicPr>
                  <pic:blipFill>
                    <a:blip r:embed="rId55"/>
                    <a:stretch>
                      <a:fillRect/>
                    </a:stretch>
                  </pic:blipFill>
                  <pic:spPr>
                    <a:xfrm>
                      <a:off x="0" y="0"/>
                      <a:ext cx="5608955" cy="7939405"/>
                    </a:xfrm>
                    <a:prstGeom prst="rect">
                      <a:avLst/>
                    </a:prstGeom>
                  </pic:spPr>
                </pic:pic>
              </a:graphicData>
            </a:graphic>
          </wp:inline>
        </w:drawing>
      </w:r>
      <w:r>
        <w:rPr>
          <w:rFonts w:hint="eastAsia"/>
          <w:color w:val="auto"/>
          <w:sz w:val="24"/>
          <w:szCs w:val="32"/>
          <w:lang w:val="en-US" w:eastAsia="zh-CN"/>
        </w:rPr>
        <w:br w:type="page"/>
      </w:r>
    </w:p>
    <w:p w14:paraId="7CD1AE1D">
      <w:pPr>
        <w:keepNext w:val="0"/>
        <w:keepLines w:val="0"/>
        <w:pageBreakBefore w:val="0"/>
        <w:widowControl w:val="0"/>
        <w:kinsoku/>
        <w:wordWrap/>
        <w:overflowPunct/>
        <w:topLinePunct w:val="0"/>
        <w:autoSpaceDE/>
        <w:autoSpaceDN/>
        <w:bidi w:val="0"/>
        <w:adjustRightInd/>
        <w:snapToGrid/>
        <w:textAlignment w:val="auto"/>
        <w:outlineLvl w:val="0"/>
        <w:rPr>
          <w:rFonts w:hint="default"/>
          <w:color w:val="auto"/>
          <w:sz w:val="24"/>
          <w:szCs w:val="32"/>
          <w:lang w:val="en-US" w:eastAsia="zh-CN"/>
        </w:rPr>
      </w:pPr>
      <w:r>
        <w:rPr>
          <w:rFonts w:hint="eastAsia"/>
          <w:color w:val="auto"/>
          <w:sz w:val="24"/>
          <w:szCs w:val="32"/>
          <w:lang w:val="en-US" w:eastAsia="zh-CN"/>
        </w:rPr>
        <w:t>附件4 营业执照</w:t>
      </w:r>
    </w:p>
    <w:p w14:paraId="4E854764">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color w:val="auto"/>
          <w:sz w:val="24"/>
          <w:szCs w:val="32"/>
          <w:lang w:val="en-US" w:eastAsia="zh-CN"/>
        </w:rPr>
      </w:pPr>
      <w:r>
        <w:rPr>
          <w:rFonts w:hint="default"/>
          <w:color w:val="auto"/>
          <w:sz w:val="24"/>
          <w:szCs w:val="32"/>
          <w:lang w:val="en-US" w:eastAsia="zh-CN"/>
        </w:rPr>
        <w:drawing>
          <wp:inline distT="0" distB="0" distL="114300" distR="114300">
            <wp:extent cx="7439025" cy="5019040"/>
            <wp:effectExtent l="0" t="0" r="10160" b="9525"/>
            <wp:docPr id="4" name="图片 4" descr="执照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执照_01"/>
                    <pic:cNvPicPr>
                      <a:picLocks noChangeAspect="1"/>
                    </pic:cNvPicPr>
                  </pic:nvPicPr>
                  <pic:blipFill>
                    <a:blip r:embed="rId56"/>
                    <a:stretch>
                      <a:fillRect/>
                    </a:stretch>
                  </pic:blipFill>
                  <pic:spPr>
                    <a:xfrm rot="16200000">
                      <a:off x="0" y="0"/>
                      <a:ext cx="7439025" cy="5019040"/>
                    </a:xfrm>
                    <a:prstGeom prst="rect">
                      <a:avLst/>
                    </a:prstGeom>
                  </pic:spPr>
                </pic:pic>
              </a:graphicData>
            </a:graphic>
          </wp:inline>
        </w:drawing>
      </w:r>
    </w:p>
    <w:p w14:paraId="29414049">
      <w:pPr>
        <w:rPr>
          <w:rFonts w:hint="default"/>
          <w:color w:val="auto"/>
          <w:sz w:val="24"/>
          <w:szCs w:val="32"/>
          <w:lang w:val="en-US" w:eastAsia="zh-CN"/>
        </w:rPr>
      </w:pPr>
    </w:p>
    <w:p w14:paraId="6D7754DE">
      <w:pPr>
        <w:rPr>
          <w:rFonts w:hint="default"/>
          <w:color w:val="auto"/>
          <w:sz w:val="24"/>
          <w:szCs w:val="32"/>
          <w:lang w:val="en-US" w:eastAsia="zh-CN"/>
        </w:rPr>
      </w:pPr>
    </w:p>
    <w:p w14:paraId="556870C4">
      <w:pPr>
        <w:rPr>
          <w:rFonts w:hint="default"/>
          <w:color w:val="auto"/>
          <w:sz w:val="24"/>
          <w:szCs w:val="32"/>
          <w:lang w:val="en-US" w:eastAsia="zh-CN"/>
        </w:rPr>
      </w:pPr>
    </w:p>
    <w:p w14:paraId="507DD50F">
      <w:pPr>
        <w:rPr>
          <w:rFonts w:hint="default"/>
          <w:color w:val="auto"/>
          <w:sz w:val="24"/>
          <w:szCs w:val="32"/>
          <w:lang w:val="en-US" w:eastAsia="zh-CN"/>
        </w:rPr>
      </w:pPr>
    </w:p>
    <w:p w14:paraId="41232E63">
      <w:pPr>
        <w:rPr>
          <w:rFonts w:hint="default"/>
          <w:color w:val="auto"/>
          <w:sz w:val="24"/>
          <w:szCs w:val="32"/>
          <w:lang w:val="en-US" w:eastAsia="zh-CN"/>
        </w:rPr>
      </w:pPr>
    </w:p>
    <w:p w14:paraId="211E46AE">
      <w:pPr>
        <w:rPr>
          <w:rFonts w:hint="default"/>
          <w:color w:val="auto"/>
          <w:sz w:val="24"/>
          <w:szCs w:val="32"/>
          <w:lang w:val="en-US" w:eastAsia="zh-CN"/>
        </w:rPr>
      </w:pPr>
    </w:p>
    <w:p w14:paraId="3B2C7554">
      <w:pPr>
        <w:rPr>
          <w:rFonts w:hint="default"/>
          <w:color w:val="auto"/>
          <w:sz w:val="24"/>
          <w:szCs w:val="32"/>
          <w:lang w:val="en-US" w:eastAsia="zh-CN"/>
        </w:rPr>
      </w:pPr>
    </w:p>
    <w:p w14:paraId="339135BB">
      <w:pPr>
        <w:keepNext w:val="0"/>
        <w:keepLines w:val="0"/>
        <w:pageBreakBefore w:val="0"/>
        <w:widowControl w:val="0"/>
        <w:kinsoku/>
        <w:wordWrap/>
        <w:overflowPunct/>
        <w:topLinePunct w:val="0"/>
        <w:autoSpaceDE/>
        <w:autoSpaceDN/>
        <w:bidi w:val="0"/>
        <w:adjustRightInd/>
        <w:snapToGrid/>
        <w:textAlignment w:val="auto"/>
        <w:outlineLvl w:val="0"/>
        <w:rPr>
          <w:rFonts w:hint="eastAsia"/>
          <w:color w:val="auto"/>
          <w:sz w:val="24"/>
          <w:szCs w:val="32"/>
          <w:lang w:val="en-US" w:eastAsia="zh-CN"/>
        </w:rPr>
      </w:pPr>
      <w:r>
        <w:rPr>
          <w:rFonts w:hint="eastAsia"/>
          <w:color w:val="auto"/>
          <w:sz w:val="24"/>
          <w:szCs w:val="32"/>
          <w:lang w:val="en-US" w:eastAsia="zh-CN"/>
        </w:rPr>
        <w:t>附件5 专家审查意见及修改说明</w:t>
      </w:r>
    </w:p>
    <w:p w14:paraId="151BEB1E">
      <w:pPr>
        <w:bidi w:val="0"/>
        <w:rPr>
          <w:rFonts w:hint="default"/>
          <w:color w:val="auto"/>
          <w:lang w:val="en-US" w:eastAsia="zh-CN"/>
        </w:rPr>
      </w:pPr>
      <w:r>
        <w:rPr>
          <w:rFonts w:hint="default"/>
          <w:color w:val="auto"/>
          <w:lang w:val="en-US" w:eastAsia="zh-CN"/>
        </w:rPr>
        <w:drawing>
          <wp:inline distT="0" distB="0" distL="114300" distR="114300">
            <wp:extent cx="5612765" cy="7937500"/>
            <wp:effectExtent l="0" t="0" r="6985" b="6350"/>
            <wp:docPr id="11" name="图片 11" descr="昌吉华诚新材料有限公司年产10万吨高磁感取向硅钢、6万吨铁芯项目专家意见表-何飞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昌吉华诚新材料有限公司年产10万吨高磁感取向硅钢、6万吨铁芯项目专家意见表-何飞_01"/>
                    <pic:cNvPicPr>
                      <a:picLocks noChangeAspect="1"/>
                    </pic:cNvPicPr>
                  </pic:nvPicPr>
                  <pic:blipFill>
                    <a:blip r:embed="rId57"/>
                    <a:stretch>
                      <a:fillRect/>
                    </a:stretch>
                  </pic:blipFill>
                  <pic:spPr>
                    <a:xfrm>
                      <a:off x="0" y="0"/>
                      <a:ext cx="5612765" cy="7937500"/>
                    </a:xfrm>
                    <a:prstGeom prst="rect">
                      <a:avLst/>
                    </a:prstGeom>
                  </pic:spPr>
                </pic:pic>
              </a:graphicData>
            </a:graphic>
          </wp:inline>
        </w:drawing>
      </w:r>
      <w:r>
        <w:rPr>
          <w:rFonts w:hint="default"/>
          <w:color w:val="auto"/>
          <w:lang w:val="en-US" w:eastAsia="zh-CN"/>
        </w:rPr>
        <w:drawing>
          <wp:inline distT="0" distB="0" distL="114300" distR="114300">
            <wp:extent cx="7919720" cy="5600700"/>
            <wp:effectExtent l="0" t="0" r="0" b="5080"/>
            <wp:docPr id="17" name="图片 17" descr="修改说明-专家何飞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修改说明-专家何飞_01"/>
                    <pic:cNvPicPr>
                      <a:picLocks noChangeAspect="1"/>
                    </pic:cNvPicPr>
                  </pic:nvPicPr>
                  <pic:blipFill>
                    <a:blip r:embed="rId58"/>
                    <a:stretch>
                      <a:fillRect/>
                    </a:stretch>
                  </pic:blipFill>
                  <pic:spPr>
                    <a:xfrm rot="16200000">
                      <a:off x="0" y="0"/>
                      <a:ext cx="7919720" cy="5600700"/>
                    </a:xfrm>
                    <a:prstGeom prst="rect">
                      <a:avLst/>
                    </a:prstGeom>
                  </pic:spPr>
                </pic:pic>
              </a:graphicData>
            </a:graphic>
          </wp:inline>
        </w:drawing>
      </w:r>
    </w:p>
    <w:p w14:paraId="73A3D261">
      <w:pPr>
        <w:rPr>
          <w:rFonts w:hint="default"/>
          <w:color w:val="auto"/>
          <w:sz w:val="24"/>
          <w:szCs w:val="32"/>
          <w:lang w:val="en-US" w:eastAsia="zh-CN"/>
        </w:rPr>
      </w:pPr>
      <w:r>
        <w:rPr>
          <w:rFonts w:hint="default"/>
          <w:color w:val="auto"/>
          <w:sz w:val="24"/>
          <w:szCs w:val="32"/>
          <w:lang w:val="en-US" w:eastAsia="zh-CN"/>
        </w:rPr>
        <w:br w:type="page"/>
      </w:r>
      <w:r>
        <w:rPr>
          <w:rFonts w:hint="default"/>
          <w:color w:val="auto"/>
          <w:sz w:val="24"/>
          <w:szCs w:val="32"/>
          <w:lang w:val="en-US" w:eastAsia="zh-CN"/>
        </w:rPr>
        <w:drawing>
          <wp:inline distT="0" distB="0" distL="114300" distR="114300">
            <wp:extent cx="7919720" cy="5600700"/>
            <wp:effectExtent l="0" t="0" r="0" b="5080"/>
            <wp:docPr id="54" name="图片 54" descr="修改说明-专家何飞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修改说明-专家何飞_02"/>
                    <pic:cNvPicPr>
                      <a:picLocks noChangeAspect="1"/>
                    </pic:cNvPicPr>
                  </pic:nvPicPr>
                  <pic:blipFill>
                    <a:blip r:embed="rId59"/>
                    <a:stretch>
                      <a:fillRect/>
                    </a:stretch>
                  </pic:blipFill>
                  <pic:spPr>
                    <a:xfrm rot="16200000">
                      <a:off x="0" y="0"/>
                      <a:ext cx="7919720" cy="5600700"/>
                    </a:xfrm>
                    <a:prstGeom prst="rect">
                      <a:avLst/>
                    </a:prstGeom>
                  </pic:spPr>
                </pic:pic>
              </a:graphicData>
            </a:graphic>
          </wp:inline>
        </w:drawing>
      </w:r>
      <w:r>
        <w:rPr>
          <w:rFonts w:hint="default"/>
          <w:color w:val="auto"/>
          <w:sz w:val="24"/>
          <w:szCs w:val="32"/>
          <w:lang w:val="en-US" w:eastAsia="zh-CN"/>
        </w:rPr>
        <w:drawing>
          <wp:inline distT="0" distB="0" distL="114300" distR="114300">
            <wp:extent cx="7919720" cy="5600700"/>
            <wp:effectExtent l="0" t="0" r="0" b="5080"/>
            <wp:docPr id="60" name="图片 60" descr="修改说明-专家何飞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修改说明-专家何飞_03"/>
                    <pic:cNvPicPr>
                      <a:picLocks noChangeAspect="1"/>
                    </pic:cNvPicPr>
                  </pic:nvPicPr>
                  <pic:blipFill>
                    <a:blip r:embed="rId60"/>
                    <a:stretch>
                      <a:fillRect/>
                    </a:stretch>
                  </pic:blipFill>
                  <pic:spPr>
                    <a:xfrm rot="16200000">
                      <a:off x="0" y="0"/>
                      <a:ext cx="7919720" cy="5600700"/>
                    </a:xfrm>
                    <a:prstGeom prst="rect">
                      <a:avLst/>
                    </a:prstGeom>
                  </pic:spPr>
                </pic:pic>
              </a:graphicData>
            </a:graphic>
          </wp:inline>
        </w:drawing>
      </w:r>
      <w:r>
        <w:rPr>
          <w:rFonts w:hint="default"/>
          <w:color w:val="auto"/>
          <w:sz w:val="24"/>
          <w:szCs w:val="32"/>
          <w:lang w:val="en-US" w:eastAsia="zh-CN"/>
        </w:rPr>
        <w:drawing>
          <wp:inline distT="0" distB="0" distL="114300" distR="114300">
            <wp:extent cx="5612765" cy="7939405"/>
            <wp:effectExtent l="0" t="0" r="6985" b="4445"/>
            <wp:docPr id="61" name="图片 61" descr="昌吉华诚新材料有限公司年产10万吨高磁感取向硅钢、6万吨铁芯项目复核意见表-何飞(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昌吉华诚新材料有限公司年产10万吨高磁感取向硅钢、6万吨铁芯项目复核意见表-何飞(1)_01"/>
                    <pic:cNvPicPr>
                      <a:picLocks noChangeAspect="1"/>
                    </pic:cNvPicPr>
                  </pic:nvPicPr>
                  <pic:blipFill>
                    <a:blip r:embed="rId61"/>
                    <a:stretch>
                      <a:fillRect/>
                    </a:stretch>
                  </pic:blipFill>
                  <pic:spPr>
                    <a:xfrm>
                      <a:off x="0" y="0"/>
                      <a:ext cx="5612765" cy="7939405"/>
                    </a:xfrm>
                    <a:prstGeom prst="rect">
                      <a:avLst/>
                    </a:prstGeom>
                  </pic:spPr>
                </pic:pic>
              </a:graphicData>
            </a:graphic>
          </wp:inline>
        </w:drawing>
      </w:r>
      <w:r>
        <w:rPr>
          <w:rFonts w:hint="default"/>
          <w:color w:val="auto"/>
          <w:sz w:val="24"/>
          <w:szCs w:val="32"/>
          <w:lang w:val="en-US" w:eastAsia="zh-CN"/>
        </w:rPr>
        <w:drawing>
          <wp:inline distT="0" distB="0" distL="114300" distR="114300">
            <wp:extent cx="5612765" cy="7937500"/>
            <wp:effectExtent l="0" t="0" r="6985" b="6350"/>
            <wp:docPr id="62" name="图片 62" descr="环评文件日常考核表(昌吉华诚新材料有限公司年产10万吨高磁感取向硅钢6万吨铁芯项目  李万刚)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环评文件日常考核表(昌吉华诚新材料有限公司年产10万吨高磁感取向硅钢6万吨铁芯项目  李万刚)_01"/>
                    <pic:cNvPicPr>
                      <a:picLocks noChangeAspect="1"/>
                    </pic:cNvPicPr>
                  </pic:nvPicPr>
                  <pic:blipFill>
                    <a:blip r:embed="rId62"/>
                    <a:stretch>
                      <a:fillRect/>
                    </a:stretch>
                  </pic:blipFill>
                  <pic:spPr>
                    <a:xfrm>
                      <a:off x="0" y="0"/>
                      <a:ext cx="5612765" cy="7937500"/>
                    </a:xfrm>
                    <a:prstGeom prst="rect">
                      <a:avLst/>
                    </a:prstGeom>
                  </pic:spPr>
                </pic:pic>
              </a:graphicData>
            </a:graphic>
          </wp:inline>
        </w:drawing>
      </w:r>
      <w:r>
        <w:rPr>
          <w:rFonts w:hint="default"/>
          <w:color w:val="auto"/>
          <w:sz w:val="24"/>
          <w:szCs w:val="32"/>
          <w:lang w:val="en-US" w:eastAsia="zh-CN"/>
        </w:rPr>
        <w:drawing>
          <wp:inline distT="0" distB="0" distL="114300" distR="114300">
            <wp:extent cx="5612765" cy="7937500"/>
            <wp:effectExtent l="0" t="0" r="6985" b="6350"/>
            <wp:docPr id="63" name="图片 63" descr="环评文件日常考核表(昌吉华诚新材料有限公司年产10万吨高磁感取向硅钢6万吨铁芯项目  李万刚)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环评文件日常考核表(昌吉华诚新材料有限公司年产10万吨高磁感取向硅钢6万吨铁芯项目  李万刚)_02"/>
                    <pic:cNvPicPr>
                      <a:picLocks noChangeAspect="1"/>
                    </pic:cNvPicPr>
                  </pic:nvPicPr>
                  <pic:blipFill>
                    <a:blip r:embed="rId63"/>
                    <a:stretch>
                      <a:fillRect/>
                    </a:stretch>
                  </pic:blipFill>
                  <pic:spPr>
                    <a:xfrm>
                      <a:off x="0" y="0"/>
                      <a:ext cx="5612765" cy="7937500"/>
                    </a:xfrm>
                    <a:prstGeom prst="rect">
                      <a:avLst/>
                    </a:prstGeom>
                  </pic:spPr>
                </pic:pic>
              </a:graphicData>
            </a:graphic>
          </wp:inline>
        </w:drawing>
      </w:r>
      <w:r>
        <w:rPr>
          <w:rFonts w:hint="default"/>
          <w:color w:val="auto"/>
          <w:sz w:val="24"/>
          <w:szCs w:val="32"/>
          <w:lang w:val="en-US" w:eastAsia="zh-CN"/>
        </w:rPr>
        <w:drawing>
          <wp:inline distT="0" distB="0" distL="114300" distR="114300">
            <wp:extent cx="5612765" cy="7937500"/>
            <wp:effectExtent l="0" t="0" r="6985" b="6350"/>
            <wp:docPr id="64" name="图片 64" descr="环评文件日常考核表(昌吉华诚新材料有限公司年产10万吨高磁感取向硅钢6万吨铁芯项目  李万刚)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环评文件日常考核表(昌吉华诚新材料有限公司年产10万吨高磁感取向硅钢6万吨铁芯项目  李万刚)_03"/>
                    <pic:cNvPicPr>
                      <a:picLocks noChangeAspect="1"/>
                    </pic:cNvPicPr>
                  </pic:nvPicPr>
                  <pic:blipFill>
                    <a:blip r:embed="rId64"/>
                    <a:stretch>
                      <a:fillRect/>
                    </a:stretch>
                  </pic:blipFill>
                  <pic:spPr>
                    <a:xfrm>
                      <a:off x="0" y="0"/>
                      <a:ext cx="5612765" cy="7937500"/>
                    </a:xfrm>
                    <a:prstGeom prst="rect">
                      <a:avLst/>
                    </a:prstGeom>
                  </pic:spPr>
                </pic:pic>
              </a:graphicData>
            </a:graphic>
          </wp:inline>
        </w:drawing>
      </w:r>
      <w:r>
        <w:rPr>
          <w:rFonts w:hint="default"/>
          <w:color w:val="auto"/>
          <w:sz w:val="24"/>
          <w:szCs w:val="32"/>
          <w:lang w:val="en-US" w:eastAsia="zh-CN"/>
        </w:rPr>
        <w:drawing>
          <wp:inline distT="0" distB="0" distL="114300" distR="114300">
            <wp:extent cx="5612765" cy="7937500"/>
            <wp:effectExtent l="0" t="0" r="6985" b="6350"/>
            <wp:docPr id="65" name="图片 65" descr="环评文件日常考核表(昌吉华诚新材料有限公司年产10万吨高磁感取向硅钢6万吨铁芯项目  李万刚)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环评文件日常考核表(昌吉华诚新材料有限公司年产10万吨高磁感取向硅钢6万吨铁芯项目  李万刚)_04"/>
                    <pic:cNvPicPr>
                      <a:picLocks noChangeAspect="1"/>
                    </pic:cNvPicPr>
                  </pic:nvPicPr>
                  <pic:blipFill>
                    <a:blip r:embed="rId65"/>
                    <a:stretch>
                      <a:fillRect/>
                    </a:stretch>
                  </pic:blipFill>
                  <pic:spPr>
                    <a:xfrm>
                      <a:off x="0" y="0"/>
                      <a:ext cx="5612765" cy="7937500"/>
                    </a:xfrm>
                    <a:prstGeom prst="rect">
                      <a:avLst/>
                    </a:prstGeom>
                  </pic:spPr>
                </pic:pic>
              </a:graphicData>
            </a:graphic>
          </wp:inline>
        </w:drawing>
      </w:r>
      <w:r>
        <w:rPr>
          <w:rFonts w:hint="default"/>
          <w:color w:val="auto"/>
          <w:sz w:val="24"/>
          <w:szCs w:val="32"/>
          <w:lang w:val="en-US" w:eastAsia="zh-CN"/>
        </w:rPr>
        <w:drawing>
          <wp:inline distT="0" distB="0" distL="114300" distR="114300">
            <wp:extent cx="7919720" cy="5600700"/>
            <wp:effectExtent l="0" t="0" r="0" b="5080"/>
            <wp:docPr id="66" name="图片 66" descr="修改说明-专家李万刚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修改说明-专家李万刚_01"/>
                    <pic:cNvPicPr>
                      <a:picLocks noChangeAspect="1"/>
                    </pic:cNvPicPr>
                  </pic:nvPicPr>
                  <pic:blipFill>
                    <a:blip r:embed="rId66"/>
                    <a:stretch>
                      <a:fillRect/>
                    </a:stretch>
                  </pic:blipFill>
                  <pic:spPr>
                    <a:xfrm rot="16200000">
                      <a:off x="0" y="0"/>
                      <a:ext cx="7919720" cy="5600700"/>
                    </a:xfrm>
                    <a:prstGeom prst="rect">
                      <a:avLst/>
                    </a:prstGeom>
                  </pic:spPr>
                </pic:pic>
              </a:graphicData>
            </a:graphic>
          </wp:inline>
        </w:drawing>
      </w:r>
      <w:r>
        <w:rPr>
          <w:rFonts w:hint="default"/>
          <w:color w:val="auto"/>
          <w:sz w:val="24"/>
          <w:szCs w:val="32"/>
          <w:lang w:val="en-US" w:eastAsia="zh-CN"/>
        </w:rPr>
        <w:drawing>
          <wp:inline distT="0" distB="0" distL="114300" distR="114300">
            <wp:extent cx="7919720" cy="5600700"/>
            <wp:effectExtent l="0" t="0" r="0" b="5080"/>
            <wp:docPr id="67" name="图片 67" descr="修改说明-专家李万刚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修改说明-专家李万刚_02"/>
                    <pic:cNvPicPr>
                      <a:picLocks noChangeAspect="1"/>
                    </pic:cNvPicPr>
                  </pic:nvPicPr>
                  <pic:blipFill>
                    <a:blip r:embed="rId67"/>
                    <a:stretch>
                      <a:fillRect/>
                    </a:stretch>
                  </pic:blipFill>
                  <pic:spPr>
                    <a:xfrm rot="16200000">
                      <a:off x="0" y="0"/>
                      <a:ext cx="7919720" cy="5600700"/>
                    </a:xfrm>
                    <a:prstGeom prst="rect">
                      <a:avLst/>
                    </a:prstGeom>
                  </pic:spPr>
                </pic:pic>
              </a:graphicData>
            </a:graphic>
          </wp:inline>
        </w:drawing>
      </w:r>
      <w:r>
        <w:rPr>
          <w:rFonts w:hint="default"/>
          <w:color w:val="auto"/>
          <w:sz w:val="24"/>
          <w:szCs w:val="32"/>
          <w:lang w:val="en-US" w:eastAsia="zh-CN"/>
        </w:rPr>
        <w:drawing>
          <wp:inline distT="0" distB="0" distL="114300" distR="114300">
            <wp:extent cx="7919720" cy="5600700"/>
            <wp:effectExtent l="0" t="0" r="0" b="5080"/>
            <wp:docPr id="68" name="图片 68" descr="修改说明-专家李万刚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修改说明-专家李万刚_03"/>
                    <pic:cNvPicPr>
                      <a:picLocks noChangeAspect="1"/>
                    </pic:cNvPicPr>
                  </pic:nvPicPr>
                  <pic:blipFill>
                    <a:blip r:embed="rId68"/>
                    <a:stretch>
                      <a:fillRect/>
                    </a:stretch>
                  </pic:blipFill>
                  <pic:spPr>
                    <a:xfrm rot="16200000">
                      <a:off x="0" y="0"/>
                      <a:ext cx="7919720" cy="5600700"/>
                    </a:xfrm>
                    <a:prstGeom prst="rect">
                      <a:avLst/>
                    </a:prstGeom>
                  </pic:spPr>
                </pic:pic>
              </a:graphicData>
            </a:graphic>
          </wp:inline>
        </w:drawing>
      </w:r>
      <w:r>
        <w:rPr>
          <w:rFonts w:hint="default"/>
          <w:color w:val="auto"/>
          <w:sz w:val="24"/>
          <w:szCs w:val="32"/>
          <w:lang w:val="en-US" w:eastAsia="zh-CN"/>
        </w:rPr>
        <w:drawing>
          <wp:inline distT="0" distB="0" distL="114300" distR="114300">
            <wp:extent cx="7919720" cy="5600700"/>
            <wp:effectExtent l="0" t="0" r="0" b="5080"/>
            <wp:docPr id="69" name="图片 69" descr="修改说明-专家李万刚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修改说明-专家李万刚_04"/>
                    <pic:cNvPicPr>
                      <a:picLocks noChangeAspect="1"/>
                    </pic:cNvPicPr>
                  </pic:nvPicPr>
                  <pic:blipFill>
                    <a:blip r:embed="rId69"/>
                    <a:stretch>
                      <a:fillRect/>
                    </a:stretch>
                  </pic:blipFill>
                  <pic:spPr>
                    <a:xfrm rot="16200000">
                      <a:off x="0" y="0"/>
                      <a:ext cx="7919720" cy="5600700"/>
                    </a:xfrm>
                    <a:prstGeom prst="rect">
                      <a:avLst/>
                    </a:prstGeom>
                  </pic:spPr>
                </pic:pic>
              </a:graphicData>
            </a:graphic>
          </wp:inline>
        </w:drawing>
      </w:r>
      <w:r>
        <w:rPr>
          <w:rFonts w:hint="default"/>
          <w:color w:val="auto"/>
          <w:sz w:val="24"/>
          <w:szCs w:val="32"/>
          <w:lang w:val="en-US" w:eastAsia="zh-CN"/>
        </w:rPr>
        <w:drawing>
          <wp:inline distT="0" distB="0" distL="114300" distR="114300">
            <wp:extent cx="5612765" cy="7937500"/>
            <wp:effectExtent l="0" t="0" r="6985" b="6350"/>
            <wp:docPr id="70" name="图片 70" descr="复核意见表（里阳1井（昌吉华诚新材料有限公司年产10万吨高磁感取向硅钢、6万吨铁芯项目-李万刚）(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复核意见表（里阳1井（昌吉华诚新材料有限公司年产10万吨高磁感取向硅钢、6万吨铁芯项目-李万刚）(1)_01"/>
                    <pic:cNvPicPr>
                      <a:picLocks noChangeAspect="1"/>
                    </pic:cNvPicPr>
                  </pic:nvPicPr>
                  <pic:blipFill>
                    <a:blip r:embed="rId70"/>
                    <a:stretch>
                      <a:fillRect/>
                    </a:stretch>
                  </pic:blipFill>
                  <pic:spPr>
                    <a:xfrm>
                      <a:off x="0" y="0"/>
                      <a:ext cx="5612765" cy="7937500"/>
                    </a:xfrm>
                    <a:prstGeom prst="rect">
                      <a:avLst/>
                    </a:prstGeom>
                  </pic:spPr>
                </pic:pic>
              </a:graphicData>
            </a:graphic>
          </wp:inline>
        </w:drawing>
      </w:r>
      <w:r>
        <w:rPr>
          <w:rFonts w:hint="default"/>
          <w:color w:val="auto"/>
          <w:sz w:val="24"/>
          <w:szCs w:val="32"/>
          <w:lang w:val="en-US" w:eastAsia="zh-CN"/>
        </w:rPr>
        <w:drawing>
          <wp:inline distT="0" distB="0" distL="114300" distR="114300">
            <wp:extent cx="5612765" cy="7937500"/>
            <wp:effectExtent l="0" t="0" r="6985" b="6350"/>
            <wp:docPr id="71" name="图片 71" descr="复核意见表（里阳1井（昌吉华诚新材料有限公司年产10万吨高磁感取向硅钢、6万吨铁芯项目-李万刚）(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复核意见表（里阳1井（昌吉华诚新材料有限公司年产10万吨高磁感取向硅钢、6万吨铁芯项目-李万刚）(1)_02"/>
                    <pic:cNvPicPr>
                      <a:picLocks noChangeAspect="1"/>
                    </pic:cNvPicPr>
                  </pic:nvPicPr>
                  <pic:blipFill>
                    <a:blip r:embed="rId71"/>
                    <a:stretch>
                      <a:fillRect/>
                    </a:stretch>
                  </pic:blipFill>
                  <pic:spPr>
                    <a:xfrm>
                      <a:off x="0" y="0"/>
                      <a:ext cx="5612765" cy="7937500"/>
                    </a:xfrm>
                    <a:prstGeom prst="rect">
                      <a:avLst/>
                    </a:prstGeom>
                  </pic:spPr>
                </pic:pic>
              </a:graphicData>
            </a:graphic>
          </wp:inline>
        </w:drawing>
      </w:r>
      <w:r>
        <w:rPr>
          <w:rFonts w:hint="default"/>
          <w:color w:val="auto"/>
          <w:sz w:val="24"/>
          <w:szCs w:val="32"/>
          <w:lang w:val="en-US" w:eastAsia="zh-CN"/>
        </w:rPr>
        <w:drawing>
          <wp:inline distT="0" distB="0" distL="114300" distR="114300">
            <wp:extent cx="5610860" cy="7935595"/>
            <wp:effectExtent l="0" t="0" r="8890" b="8255"/>
            <wp:docPr id="72" name="图片 72" descr="昌吉华诚新材料有限公司年产10万吨高磁感取向硅钢、6万吨铁芯项目复核意见表-李刚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昌吉华诚新材料有限公司年产10万吨高磁感取向硅钢、6万吨铁芯项目复核意见表-李刚_01"/>
                    <pic:cNvPicPr>
                      <a:picLocks noChangeAspect="1"/>
                    </pic:cNvPicPr>
                  </pic:nvPicPr>
                  <pic:blipFill>
                    <a:blip r:embed="rId72"/>
                    <a:stretch>
                      <a:fillRect/>
                    </a:stretch>
                  </pic:blipFill>
                  <pic:spPr>
                    <a:xfrm>
                      <a:off x="0" y="0"/>
                      <a:ext cx="5610860" cy="7935595"/>
                    </a:xfrm>
                    <a:prstGeom prst="rect">
                      <a:avLst/>
                    </a:prstGeom>
                  </pic:spPr>
                </pic:pic>
              </a:graphicData>
            </a:graphic>
          </wp:inline>
        </w:drawing>
      </w:r>
      <w:r>
        <w:rPr>
          <w:rFonts w:hint="default"/>
          <w:color w:val="auto"/>
          <w:sz w:val="24"/>
          <w:szCs w:val="32"/>
          <w:lang w:val="en-US" w:eastAsia="zh-CN"/>
        </w:rPr>
        <w:drawing>
          <wp:inline distT="0" distB="0" distL="114300" distR="114300">
            <wp:extent cx="5610860" cy="7935595"/>
            <wp:effectExtent l="0" t="0" r="8890" b="8255"/>
            <wp:docPr id="73" name="图片 73" descr="昌吉华诚新材料有限公司年产10万吨高磁感取向硅钢、6万吨铁芯项目复核意见表-李刚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昌吉华诚新材料有限公司年产10万吨高磁感取向硅钢、6万吨铁芯项目复核意见表-李刚_02"/>
                    <pic:cNvPicPr>
                      <a:picLocks noChangeAspect="1"/>
                    </pic:cNvPicPr>
                  </pic:nvPicPr>
                  <pic:blipFill>
                    <a:blip r:embed="rId73"/>
                    <a:stretch>
                      <a:fillRect/>
                    </a:stretch>
                  </pic:blipFill>
                  <pic:spPr>
                    <a:xfrm>
                      <a:off x="0" y="0"/>
                      <a:ext cx="5610860" cy="7935595"/>
                    </a:xfrm>
                    <a:prstGeom prst="rect">
                      <a:avLst/>
                    </a:prstGeom>
                  </pic:spPr>
                </pic:pic>
              </a:graphicData>
            </a:graphic>
          </wp:inline>
        </w:drawing>
      </w:r>
      <w:r>
        <w:rPr>
          <w:rFonts w:hint="default"/>
          <w:color w:val="auto"/>
          <w:sz w:val="24"/>
          <w:szCs w:val="32"/>
          <w:lang w:val="en-US" w:eastAsia="zh-CN"/>
        </w:rPr>
        <w:drawing>
          <wp:inline distT="0" distB="0" distL="114300" distR="114300">
            <wp:extent cx="5610860" cy="7935595"/>
            <wp:effectExtent l="0" t="0" r="8890" b="8255"/>
            <wp:docPr id="75" name="图片 75" descr="昌吉华诚新材料有限公司年产10万吨高磁感取向硅钢、6万吨铁芯项目复核意见表-李刚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昌吉华诚新材料有限公司年产10万吨高磁感取向硅钢、6万吨铁芯项目复核意见表-李刚_03"/>
                    <pic:cNvPicPr>
                      <a:picLocks noChangeAspect="1"/>
                    </pic:cNvPicPr>
                  </pic:nvPicPr>
                  <pic:blipFill>
                    <a:blip r:embed="rId74"/>
                    <a:stretch>
                      <a:fillRect/>
                    </a:stretch>
                  </pic:blipFill>
                  <pic:spPr>
                    <a:xfrm>
                      <a:off x="0" y="0"/>
                      <a:ext cx="5610860" cy="7935595"/>
                    </a:xfrm>
                    <a:prstGeom prst="rect">
                      <a:avLst/>
                    </a:prstGeom>
                  </pic:spPr>
                </pic:pic>
              </a:graphicData>
            </a:graphic>
          </wp:inline>
        </w:drawing>
      </w:r>
      <w:r>
        <w:rPr>
          <w:rFonts w:hint="default"/>
          <w:color w:val="auto"/>
          <w:sz w:val="24"/>
          <w:szCs w:val="32"/>
          <w:lang w:val="en-US" w:eastAsia="zh-CN"/>
        </w:rPr>
        <w:drawing>
          <wp:inline distT="0" distB="0" distL="114300" distR="114300">
            <wp:extent cx="5610860" cy="7935595"/>
            <wp:effectExtent l="0" t="0" r="8890" b="8255"/>
            <wp:docPr id="76" name="图片 76" descr="昌吉华诚新材料有限公司年产10万吨高磁感取向硅钢、6万吨铁芯项目复核意见表-李刚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昌吉华诚新材料有限公司年产10万吨高磁感取向硅钢、6万吨铁芯项目复核意见表-李刚_04"/>
                    <pic:cNvPicPr>
                      <a:picLocks noChangeAspect="1"/>
                    </pic:cNvPicPr>
                  </pic:nvPicPr>
                  <pic:blipFill>
                    <a:blip r:embed="rId75"/>
                    <a:stretch>
                      <a:fillRect/>
                    </a:stretch>
                  </pic:blipFill>
                  <pic:spPr>
                    <a:xfrm>
                      <a:off x="0" y="0"/>
                      <a:ext cx="5610860" cy="7935595"/>
                    </a:xfrm>
                    <a:prstGeom prst="rect">
                      <a:avLst/>
                    </a:prstGeom>
                  </pic:spPr>
                </pic:pic>
              </a:graphicData>
            </a:graphic>
          </wp:inline>
        </w:drawing>
      </w:r>
      <w:r>
        <w:rPr>
          <w:rFonts w:hint="default"/>
          <w:color w:val="auto"/>
          <w:sz w:val="24"/>
          <w:szCs w:val="32"/>
          <w:lang w:val="en-US" w:eastAsia="zh-CN"/>
        </w:rPr>
        <w:drawing>
          <wp:inline distT="0" distB="0" distL="114300" distR="114300">
            <wp:extent cx="7919720" cy="5600700"/>
            <wp:effectExtent l="0" t="0" r="0" b="5080"/>
            <wp:docPr id="77" name="图片 77" descr="修改说明-专家李刚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修改说明-专家李刚_01"/>
                    <pic:cNvPicPr>
                      <a:picLocks noChangeAspect="1"/>
                    </pic:cNvPicPr>
                  </pic:nvPicPr>
                  <pic:blipFill>
                    <a:blip r:embed="rId76"/>
                    <a:stretch>
                      <a:fillRect/>
                    </a:stretch>
                  </pic:blipFill>
                  <pic:spPr>
                    <a:xfrm rot="16200000">
                      <a:off x="0" y="0"/>
                      <a:ext cx="7919720" cy="5600700"/>
                    </a:xfrm>
                    <a:prstGeom prst="rect">
                      <a:avLst/>
                    </a:prstGeom>
                  </pic:spPr>
                </pic:pic>
              </a:graphicData>
            </a:graphic>
          </wp:inline>
        </w:drawing>
      </w:r>
      <w:r>
        <w:rPr>
          <w:rFonts w:hint="default"/>
          <w:color w:val="auto"/>
          <w:sz w:val="24"/>
          <w:szCs w:val="32"/>
          <w:lang w:val="en-US" w:eastAsia="zh-CN"/>
        </w:rPr>
        <w:drawing>
          <wp:inline distT="0" distB="0" distL="114300" distR="114300">
            <wp:extent cx="7919720" cy="5600700"/>
            <wp:effectExtent l="0" t="0" r="0" b="5080"/>
            <wp:docPr id="78" name="图片 78" descr="修改说明-专家李刚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修改说明-专家李刚_02"/>
                    <pic:cNvPicPr>
                      <a:picLocks noChangeAspect="1"/>
                    </pic:cNvPicPr>
                  </pic:nvPicPr>
                  <pic:blipFill>
                    <a:blip r:embed="rId77"/>
                    <a:stretch>
                      <a:fillRect/>
                    </a:stretch>
                  </pic:blipFill>
                  <pic:spPr>
                    <a:xfrm rot="16200000">
                      <a:off x="0" y="0"/>
                      <a:ext cx="7919720" cy="5600700"/>
                    </a:xfrm>
                    <a:prstGeom prst="rect">
                      <a:avLst/>
                    </a:prstGeom>
                  </pic:spPr>
                </pic:pic>
              </a:graphicData>
            </a:graphic>
          </wp:inline>
        </w:drawing>
      </w:r>
      <w:r>
        <w:rPr>
          <w:rFonts w:hint="default"/>
          <w:color w:val="auto"/>
          <w:sz w:val="24"/>
          <w:szCs w:val="32"/>
          <w:lang w:val="en-US" w:eastAsia="zh-CN"/>
        </w:rPr>
        <w:drawing>
          <wp:inline distT="0" distB="0" distL="114300" distR="114300">
            <wp:extent cx="7919720" cy="5600700"/>
            <wp:effectExtent l="0" t="0" r="0" b="5080"/>
            <wp:docPr id="79" name="图片 79" descr="修改说明-专家李刚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修改说明-专家李刚_03"/>
                    <pic:cNvPicPr>
                      <a:picLocks noChangeAspect="1"/>
                    </pic:cNvPicPr>
                  </pic:nvPicPr>
                  <pic:blipFill>
                    <a:blip r:embed="rId78"/>
                    <a:stretch>
                      <a:fillRect/>
                    </a:stretch>
                  </pic:blipFill>
                  <pic:spPr>
                    <a:xfrm rot="16200000">
                      <a:off x="0" y="0"/>
                      <a:ext cx="7919720" cy="5600700"/>
                    </a:xfrm>
                    <a:prstGeom prst="rect">
                      <a:avLst/>
                    </a:prstGeom>
                  </pic:spPr>
                </pic:pic>
              </a:graphicData>
            </a:graphic>
          </wp:inline>
        </w:drawing>
      </w:r>
      <w:r>
        <w:rPr>
          <w:rFonts w:hint="default"/>
          <w:color w:val="auto"/>
          <w:sz w:val="24"/>
          <w:szCs w:val="32"/>
          <w:lang w:val="en-US" w:eastAsia="zh-CN"/>
        </w:rPr>
        <w:drawing>
          <wp:inline distT="0" distB="0" distL="114300" distR="114300">
            <wp:extent cx="7919720" cy="5600700"/>
            <wp:effectExtent l="0" t="0" r="0" b="5080"/>
            <wp:docPr id="80" name="图片 80" descr="修改说明-专家李刚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修改说明-专家李刚_04"/>
                    <pic:cNvPicPr>
                      <a:picLocks noChangeAspect="1"/>
                    </pic:cNvPicPr>
                  </pic:nvPicPr>
                  <pic:blipFill>
                    <a:blip r:embed="rId79"/>
                    <a:stretch>
                      <a:fillRect/>
                    </a:stretch>
                  </pic:blipFill>
                  <pic:spPr>
                    <a:xfrm rot="16200000">
                      <a:off x="0" y="0"/>
                      <a:ext cx="7919720" cy="5600700"/>
                    </a:xfrm>
                    <a:prstGeom prst="rect">
                      <a:avLst/>
                    </a:prstGeom>
                  </pic:spPr>
                </pic:pic>
              </a:graphicData>
            </a:graphic>
          </wp:inline>
        </w:drawing>
      </w:r>
      <w:r>
        <w:rPr>
          <w:rFonts w:hint="default"/>
          <w:color w:val="auto"/>
          <w:sz w:val="24"/>
          <w:szCs w:val="32"/>
          <w:lang w:val="en-US" w:eastAsia="zh-CN"/>
        </w:rPr>
        <w:drawing>
          <wp:inline distT="0" distB="0" distL="114300" distR="114300">
            <wp:extent cx="5610860" cy="7935595"/>
            <wp:effectExtent l="0" t="0" r="8890" b="8255"/>
            <wp:docPr id="81" name="图片 81" descr="昌吉华诚新材料有限公司年产10万吨高磁感取向硅钢、6万吨铁芯项目复核意见表-李刚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昌吉华诚新材料有限公司年产10万吨高磁感取向硅钢、6万吨铁芯项目复核意见表-李刚_05"/>
                    <pic:cNvPicPr>
                      <a:picLocks noChangeAspect="1"/>
                    </pic:cNvPicPr>
                  </pic:nvPicPr>
                  <pic:blipFill>
                    <a:blip r:embed="rId80"/>
                    <a:stretch>
                      <a:fillRect/>
                    </a:stretch>
                  </pic:blipFill>
                  <pic:spPr>
                    <a:xfrm>
                      <a:off x="0" y="0"/>
                      <a:ext cx="5610860" cy="7935595"/>
                    </a:xfrm>
                    <a:prstGeom prst="rect">
                      <a:avLst/>
                    </a:prstGeom>
                  </pic:spPr>
                </pic:pic>
              </a:graphicData>
            </a:graphic>
          </wp:inline>
        </w:drawing>
      </w:r>
      <w:r>
        <w:rPr>
          <w:rFonts w:hint="default"/>
          <w:color w:val="auto"/>
          <w:sz w:val="24"/>
          <w:szCs w:val="32"/>
          <w:lang w:val="en-US" w:eastAsia="zh-CN"/>
        </w:rPr>
        <w:drawing>
          <wp:inline distT="0" distB="0" distL="114300" distR="114300">
            <wp:extent cx="5610860" cy="7935595"/>
            <wp:effectExtent l="0" t="0" r="8890" b="8255"/>
            <wp:docPr id="82" name="图片 82" descr="昌吉华诚新材料有限公司年产10万吨高磁感取向硅钢、6万吨铁芯项目复核意见表-李刚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昌吉华诚新材料有限公司年产10万吨高磁感取向硅钢、6万吨铁芯项目复核意见表-李刚_06"/>
                    <pic:cNvPicPr>
                      <a:picLocks noChangeAspect="1"/>
                    </pic:cNvPicPr>
                  </pic:nvPicPr>
                  <pic:blipFill>
                    <a:blip r:embed="rId81"/>
                    <a:stretch>
                      <a:fillRect/>
                    </a:stretch>
                  </pic:blipFill>
                  <pic:spPr>
                    <a:xfrm>
                      <a:off x="0" y="0"/>
                      <a:ext cx="5610860" cy="7935595"/>
                    </a:xfrm>
                    <a:prstGeom prst="rect">
                      <a:avLst/>
                    </a:prstGeom>
                  </pic:spPr>
                </pic:pic>
              </a:graphicData>
            </a:graphic>
          </wp:inline>
        </w:drawing>
      </w:r>
    </w:p>
    <w:p w14:paraId="7F6C2F3B">
      <w:pPr>
        <w:bidi w:val="0"/>
        <w:rPr>
          <w:rFonts w:hint="eastAsia"/>
          <w:color w:val="auto"/>
          <w:lang w:val="en-US" w:eastAsia="zh-CN"/>
        </w:rPr>
      </w:pPr>
    </w:p>
    <w:p w14:paraId="58B1184D">
      <w:pPr>
        <w:bidi w:val="0"/>
        <w:rPr>
          <w:rFonts w:hint="eastAsia"/>
          <w:color w:val="auto"/>
          <w:lang w:val="en-US" w:eastAsia="zh-CN"/>
        </w:rPr>
      </w:pPr>
    </w:p>
    <w:p w14:paraId="662409C0">
      <w:pPr>
        <w:bidi w:val="0"/>
        <w:rPr>
          <w:rFonts w:hint="eastAsia"/>
          <w:color w:val="auto"/>
          <w:lang w:val="en-US" w:eastAsia="zh-CN"/>
        </w:rPr>
      </w:pPr>
    </w:p>
    <w:p w14:paraId="5DC3389F">
      <w:pPr>
        <w:bidi w:val="0"/>
        <w:rPr>
          <w:rFonts w:hint="eastAsia"/>
          <w:color w:val="auto"/>
          <w:lang w:val="en-US" w:eastAsia="zh-CN"/>
        </w:rPr>
      </w:pPr>
    </w:p>
    <w:p w14:paraId="52895280">
      <w:pPr>
        <w:bidi w:val="0"/>
        <w:rPr>
          <w:rFonts w:hint="eastAsia"/>
          <w:color w:val="auto"/>
          <w:lang w:val="en-US" w:eastAsia="zh-CN"/>
        </w:rPr>
      </w:pPr>
    </w:p>
    <w:p w14:paraId="22411C2F">
      <w:pPr>
        <w:keepNext w:val="0"/>
        <w:keepLines w:val="0"/>
        <w:pageBreakBefore w:val="0"/>
        <w:widowControl w:val="0"/>
        <w:kinsoku/>
        <w:wordWrap/>
        <w:overflowPunct/>
        <w:topLinePunct w:val="0"/>
        <w:autoSpaceDE/>
        <w:autoSpaceDN/>
        <w:bidi w:val="0"/>
        <w:adjustRightInd/>
        <w:snapToGrid/>
        <w:textAlignment w:val="auto"/>
        <w:outlineLvl w:val="0"/>
        <w:rPr>
          <w:rFonts w:hint="default"/>
          <w:color w:val="auto"/>
          <w:sz w:val="24"/>
          <w:szCs w:val="32"/>
          <w:lang w:val="en-US" w:eastAsia="zh-CN"/>
        </w:rPr>
      </w:pPr>
      <w:r>
        <w:rPr>
          <w:rFonts w:hint="eastAsia"/>
          <w:color w:val="auto"/>
          <w:sz w:val="24"/>
          <w:szCs w:val="32"/>
          <w:lang w:val="en-US" w:eastAsia="zh-CN"/>
        </w:rPr>
        <w:t>附图1 项目地理位置图</w:t>
      </w:r>
    </w:p>
    <w:p w14:paraId="415009A9">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color w:val="auto"/>
          <w:sz w:val="24"/>
          <w:szCs w:val="32"/>
          <w:lang w:val="en-US" w:eastAsia="zh-CN"/>
        </w:rPr>
      </w:pPr>
      <w:r>
        <w:rPr>
          <w:rFonts w:hint="default"/>
          <w:color w:val="auto"/>
          <w:sz w:val="24"/>
          <w:szCs w:val="32"/>
          <w:lang w:val="en-US" w:eastAsia="zh-CN"/>
        </w:rPr>
        <w:drawing>
          <wp:inline distT="0" distB="0" distL="114300" distR="114300">
            <wp:extent cx="5463540" cy="8528685"/>
            <wp:effectExtent l="0" t="0" r="3810" b="5715"/>
            <wp:docPr id="14" name="图片 14" descr="附图1 地理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附图1 地理位置图"/>
                    <pic:cNvPicPr>
                      <a:picLocks noChangeAspect="1"/>
                    </pic:cNvPicPr>
                  </pic:nvPicPr>
                  <pic:blipFill>
                    <a:blip r:embed="rId82"/>
                    <a:stretch>
                      <a:fillRect/>
                    </a:stretch>
                  </pic:blipFill>
                  <pic:spPr>
                    <a:xfrm>
                      <a:off x="0" y="0"/>
                      <a:ext cx="5463540" cy="8528685"/>
                    </a:xfrm>
                    <a:prstGeom prst="rect">
                      <a:avLst/>
                    </a:prstGeom>
                  </pic:spPr>
                </pic:pic>
              </a:graphicData>
            </a:graphic>
          </wp:inline>
        </w:drawing>
      </w:r>
    </w:p>
    <w:p w14:paraId="392B8BB5">
      <w:pPr>
        <w:keepNext w:val="0"/>
        <w:keepLines w:val="0"/>
        <w:pageBreakBefore w:val="0"/>
        <w:widowControl w:val="0"/>
        <w:kinsoku/>
        <w:wordWrap/>
        <w:overflowPunct/>
        <w:topLinePunct w:val="0"/>
        <w:autoSpaceDE/>
        <w:autoSpaceDN/>
        <w:bidi w:val="0"/>
        <w:adjustRightInd/>
        <w:snapToGrid/>
        <w:textAlignment w:val="auto"/>
        <w:outlineLvl w:val="0"/>
        <w:rPr>
          <w:rFonts w:hint="eastAsia"/>
          <w:color w:val="auto"/>
          <w:sz w:val="24"/>
          <w:szCs w:val="32"/>
          <w:lang w:val="en-US" w:eastAsia="zh-CN"/>
        </w:rPr>
        <w:sectPr>
          <w:headerReference r:id="rId5" w:type="default"/>
          <w:pgSz w:w="11906" w:h="16838"/>
          <w:pgMar w:top="1134" w:right="1531" w:bottom="1701" w:left="1531" w:header="851" w:footer="850" w:gutter="0"/>
          <w:pgBorders>
            <w:top w:val="none" w:sz="0" w:space="0"/>
            <w:left w:val="none" w:sz="0" w:space="0"/>
            <w:bottom w:val="none" w:sz="0" w:space="0"/>
            <w:right w:val="none" w:sz="0" w:space="0"/>
          </w:pgBorders>
          <w:pgNumType w:fmt="numberInDash"/>
          <w:cols w:space="0" w:num="1"/>
          <w:rtlGutter w:val="0"/>
          <w:docGrid w:linePitch="312" w:charSpace="0"/>
        </w:sectPr>
      </w:pPr>
    </w:p>
    <w:p w14:paraId="4D70093B">
      <w:pPr>
        <w:keepNext w:val="0"/>
        <w:keepLines w:val="0"/>
        <w:pageBreakBefore w:val="0"/>
        <w:widowControl w:val="0"/>
        <w:tabs>
          <w:tab w:val="left" w:pos="3989"/>
        </w:tabs>
        <w:kinsoku/>
        <w:wordWrap/>
        <w:overflowPunct/>
        <w:topLinePunct w:val="0"/>
        <w:autoSpaceDE/>
        <w:autoSpaceDN/>
        <w:bidi w:val="0"/>
        <w:adjustRightInd/>
        <w:snapToGrid/>
        <w:textAlignment w:val="auto"/>
        <w:outlineLvl w:val="0"/>
        <w:rPr>
          <w:rFonts w:hint="eastAsia"/>
          <w:color w:val="auto"/>
          <w:sz w:val="24"/>
          <w:szCs w:val="32"/>
          <w:lang w:val="en-US" w:eastAsia="zh-CN"/>
        </w:rPr>
      </w:pPr>
      <w:r>
        <w:rPr>
          <w:rFonts w:hint="eastAsia"/>
          <w:color w:val="auto"/>
          <w:sz w:val="24"/>
          <w:szCs w:val="32"/>
          <w:lang w:val="en-US" w:eastAsia="zh-CN"/>
        </w:rPr>
        <w:t>附图2 项目周边关系影像图</w:t>
      </w:r>
    </w:p>
    <w:p w14:paraId="044EDB5B">
      <w:pPr>
        <w:bidi w:val="0"/>
        <w:rPr>
          <w:rFonts w:hint="eastAsia"/>
          <w:color w:val="auto"/>
          <w:lang w:val="en-US" w:eastAsia="zh-CN"/>
        </w:rPr>
      </w:pPr>
      <w:r>
        <w:rPr>
          <w:rFonts w:hint="eastAsia"/>
          <w:color w:val="auto"/>
          <w:lang w:val="en-US" w:eastAsia="zh-CN"/>
        </w:rPr>
        <w:drawing>
          <wp:inline distT="0" distB="0" distL="114300" distR="114300">
            <wp:extent cx="8423910" cy="5382260"/>
            <wp:effectExtent l="0" t="0" r="15240" b="8890"/>
            <wp:docPr id="56" name="图片 56" descr="附图2 周边关系影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附图2 周边关系影像图"/>
                    <pic:cNvPicPr>
                      <a:picLocks noChangeAspect="1"/>
                    </pic:cNvPicPr>
                  </pic:nvPicPr>
                  <pic:blipFill>
                    <a:blip r:embed="rId83"/>
                    <a:stretch>
                      <a:fillRect/>
                    </a:stretch>
                  </pic:blipFill>
                  <pic:spPr>
                    <a:xfrm>
                      <a:off x="0" y="0"/>
                      <a:ext cx="8423910" cy="5382260"/>
                    </a:xfrm>
                    <a:prstGeom prst="rect">
                      <a:avLst/>
                    </a:prstGeom>
                  </pic:spPr>
                </pic:pic>
              </a:graphicData>
            </a:graphic>
          </wp:inline>
        </w:drawing>
      </w:r>
    </w:p>
    <w:p w14:paraId="0A52DE13">
      <w:pPr>
        <w:pStyle w:val="29"/>
        <w:keepNext w:val="0"/>
        <w:keepLines w:val="0"/>
        <w:widowControl/>
        <w:suppressLineNumbers w:val="0"/>
        <w:rPr>
          <w:rFonts w:hint="eastAsia"/>
          <w:color w:val="auto"/>
          <w:sz w:val="24"/>
          <w:szCs w:val="32"/>
          <w:lang w:val="en-US" w:eastAsia="zh-CN"/>
        </w:rPr>
        <w:sectPr>
          <w:headerReference r:id="rId6" w:type="default"/>
          <w:pgSz w:w="16838" w:h="11906" w:orient="landscape"/>
          <w:pgMar w:top="1531" w:right="1701" w:bottom="1531" w:left="1701" w:header="851" w:footer="850" w:gutter="0"/>
          <w:pgBorders>
            <w:top w:val="none" w:sz="0" w:space="0"/>
            <w:left w:val="none" w:sz="0" w:space="0"/>
            <w:bottom w:val="none" w:sz="0" w:space="0"/>
            <w:right w:val="none" w:sz="0" w:space="0"/>
          </w:pgBorders>
          <w:pgNumType w:fmt="numberInDash"/>
          <w:cols w:space="0" w:num="1"/>
          <w:rtlGutter w:val="0"/>
          <w:docGrid w:linePitch="312" w:charSpace="0"/>
        </w:sectPr>
      </w:pPr>
    </w:p>
    <w:p w14:paraId="3D96AD1D">
      <w:pPr>
        <w:keepNext w:val="0"/>
        <w:keepLines w:val="0"/>
        <w:pageBreakBefore w:val="0"/>
        <w:widowControl w:val="0"/>
        <w:kinsoku/>
        <w:wordWrap/>
        <w:overflowPunct/>
        <w:topLinePunct w:val="0"/>
        <w:autoSpaceDE/>
        <w:autoSpaceDN/>
        <w:bidi w:val="0"/>
        <w:adjustRightInd/>
        <w:snapToGrid/>
        <w:textAlignment w:val="auto"/>
        <w:outlineLvl w:val="0"/>
        <w:rPr>
          <w:rFonts w:hint="default"/>
          <w:color w:val="auto"/>
          <w:sz w:val="24"/>
          <w:szCs w:val="32"/>
          <w:lang w:val="en-US" w:eastAsia="zh-CN"/>
        </w:rPr>
      </w:pPr>
      <w:r>
        <w:rPr>
          <w:rFonts w:hint="eastAsia"/>
          <w:color w:val="auto"/>
          <w:sz w:val="24"/>
          <w:szCs w:val="32"/>
          <w:lang w:val="en-US" w:eastAsia="zh-CN"/>
        </w:rPr>
        <w:t>附图3厂区平面布置图</w:t>
      </w:r>
    </w:p>
    <w:p w14:paraId="7955B765">
      <w:pPr>
        <w:bidi w:val="0"/>
        <w:jc w:val="center"/>
        <w:rPr>
          <w:rFonts w:hint="eastAsia"/>
          <w:color w:val="auto"/>
          <w:lang w:val="en-US" w:eastAsia="zh-CN"/>
        </w:rPr>
      </w:pPr>
      <w:r>
        <w:rPr>
          <w:rFonts w:hint="eastAsia"/>
          <w:color w:val="auto"/>
          <w:lang w:val="en-US" w:eastAsia="zh-CN"/>
        </w:rPr>
        <w:drawing>
          <wp:inline distT="0" distB="0" distL="114300" distR="114300">
            <wp:extent cx="5254625" cy="8283575"/>
            <wp:effectExtent l="0" t="0" r="3175" b="3175"/>
            <wp:docPr id="57" name="图片 57" descr="附图3 最新厂区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附图3 最新厂区平面布置图"/>
                    <pic:cNvPicPr>
                      <a:picLocks noChangeAspect="1"/>
                    </pic:cNvPicPr>
                  </pic:nvPicPr>
                  <pic:blipFill>
                    <a:blip r:embed="rId84"/>
                    <a:stretch>
                      <a:fillRect/>
                    </a:stretch>
                  </pic:blipFill>
                  <pic:spPr>
                    <a:xfrm>
                      <a:off x="0" y="0"/>
                      <a:ext cx="5254625" cy="8283575"/>
                    </a:xfrm>
                    <a:prstGeom prst="rect">
                      <a:avLst/>
                    </a:prstGeom>
                  </pic:spPr>
                </pic:pic>
              </a:graphicData>
            </a:graphic>
          </wp:inline>
        </w:drawing>
      </w:r>
    </w:p>
    <w:p w14:paraId="52473C86">
      <w:pPr>
        <w:keepNext w:val="0"/>
        <w:keepLines w:val="0"/>
        <w:pageBreakBefore w:val="0"/>
        <w:widowControl w:val="0"/>
        <w:kinsoku/>
        <w:wordWrap/>
        <w:overflowPunct/>
        <w:topLinePunct w:val="0"/>
        <w:autoSpaceDE/>
        <w:autoSpaceDN/>
        <w:bidi w:val="0"/>
        <w:adjustRightInd/>
        <w:snapToGrid/>
        <w:textAlignment w:val="auto"/>
        <w:outlineLvl w:val="0"/>
        <w:rPr>
          <w:rFonts w:hint="eastAsia"/>
          <w:color w:val="auto"/>
          <w:sz w:val="24"/>
          <w:szCs w:val="32"/>
          <w:lang w:val="en-US" w:eastAsia="zh-CN"/>
        </w:rPr>
        <w:sectPr>
          <w:pgSz w:w="11906" w:h="16838"/>
          <w:pgMar w:top="1701" w:right="1531" w:bottom="1701" w:left="1531" w:header="851" w:footer="850" w:gutter="0"/>
          <w:pgBorders>
            <w:top w:val="none" w:sz="0" w:space="0"/>
            <w:left w:val="none" w:sz="0" w:space="0"/>
            <w:bottom w:val="none" w:sz="0" w:space="0"/>
            <w:right w:val="none" w:sz="0" w:space="0"/>
          </w:pgBorders>
          <w:pgNumType w:fmt="numberInDash"/>
          <w:cols w:space="0" w:num="1"/>
          <w:rtlGutter w:val="0"/>
          <w:docGrid w:linePitch="312" w:charSpace="0"/>
        </w:sectPr>
      </w:pPr>
    </w:p>
    <w:p w14:paraId="18EDA239">
      <w:pPr>
        <w:keepNext w:val="0"/>
        <w:keepLines w:val="0"/>
        <w:pageBreakBefore w:val="0"/>
        <w:widowControl w:val="0"/>
        <w:kinsoku/>
        <w:wordWrap/>
        <w:overflowPunct/>
        <w:topLinePunct w:val="0"/>
        <w:autoSpaceDE/>
        <w:autoSpaceDN/>
        <w:bidi w:val="0"/>
        <w:adjustRightInd/>
        <w:snapToGrid/>
        <w:jc w:val="both"/>
        <w:textAlignment w:val="auto"/>
        <w:outlineLvl w:val="0"/>
        <w:rPr>
          <w:rFonts w:hint="eastAsia"/>
          <w:color w:val="auto"/>
          <w:sz w:val="24"/>
          <w:szCs w:val="32"/>
          <w:lang w:val="en-US" w:eastAsia="zh-CN"/>
        </w:rPr>
      </w:pPr>
      <w:r>
        <w:rPr>
          <w:rFonts w:hint="eastAsia"/>
          <w:color w:val="auto"/>
          <w:sz w:val="24"/>
          <w:szCs w:val="32"/>
          <w:lang w:val="en-US" w:eastAsia="zh-CN"/>
        </w:rPr>
        <w:t>附图4 车间设备布局图</w:t>
      </w:r>
    </w:p>
    <w:p w14:paraId="5D90EF74">
      <w:pPr>
        <w:keepNext w:val="0"/>
        <w:keepLines w:val="0"/>
        <w:pageBreakBefore w:val="0"/>
        <w:widowControl w:val="0"/>
        <w:kinsoku/>
        <w:wordWrap/>
        <w:overflowPunct/>
        <w:topLinePunct w:val="0"/>
        <w:autoSpaceDE/>
        <w:autoSpaceDN/>
        <w:bidi w:val="0"/>
        <w:adjustRightInd/>
        <w:snapToGrid/>
        <w:jc w:val="center"/>
        <w:textAlignment w:val="auto"/>
        <w:outlineLvl w:val="9"/>
        <w:rPr>
          <w:rFonts w:hint="eastAsia"/>
          <w:color w:val="auto"/>
          <w:sz w:val="24"/>
          <w:szCs w:val="32"/>
          <w:lang w:val="en-US" w:eastAsia="zh-CN"/>
        </w:rPr>
      </w:pPr>
      <w:r>
        <w:rPr>
          <w:rFonts w:hint="eastAsia"/>
          <w:color w:val="auto"/>
          <w:sz w:val="24"/>
          <w:szCs w:val="32"/>
          <w:lang w:val="en-US" w:eastAsia="zh-CN"/>
        </w:rPr>
        <w:drawing>
          <wp:inline distT="0" distB="0" distL="114300" distR="114300">
            <wp:extent cx="7889875" cy="5393055"/>
            <wp:effectExtent l="0" t="0" r="15875" b="17145"/>
            <wp:docPr id="52" name="图片 52" descr="附图4  硅钢车间布局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附图4  硅钢车间布局图"/>
                    <pic:cNvPicPr>
                      <a:picLocks noChangeAspect="1"/>
                    </pic:cNvPicPr>
                  </pic:nvPicPr>
                  <pic:blipFill>
                    <a:blip r:embed="rId85"/>
                    <a:stretch>
                      <a:fillRect/>
                    </a:stretch>
                  </pic:blipFill>
                  <pic:spPr>
                    <a:xfrm>
                      <a:off x="0" y="0"/>
                      <a:ext cx="7889875" cy="5393055"/>
                    </a:xfrm>
                    <a:prstGeom prst="rect">
                      <a:avLst/>
                    </a:prstGeom>
                  </pic:spPr>
                </pic:pic>
              </a:graphicData>
            </a:graphic>
          </wp:inline>
        </w:drawing>
      </w:r>
    </w:p>
    <w:p w14:paraId="32AC4351">
      <w:pPr>
        <w:pStyle w:val="2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jc w:val="center"/>
        <w:textAlignment w:val="auto"/>
        <w:rPr>
          <w:rFonts w:hint="eastAsia" w:eastAsia="宋体"/>
          <w:color w:val="auto"/>
          <w:lang w:eastAsia="zh-CN"/>
        </w:rPr>
      </w:pPr>
      <w:r>
        <w:rPr>
          <w:rFonts w:hint="eastAsia" w:eastAsia="宋体"/>
          <w:color w:val="auto"/>
          <w:lang w:eastAsia="zh-CN"/>
        </w:rPr>
        <w:drawing>
          <wp:inline distT="0" distB="0" distL="114300" distR="114300">
            <wp:extent cx="8265160" cy="5611495"/>
            <wp:effectExtent l="0" t="0" r="2540" b="8255"/>
            <wp:docPr id="59" name="图片 59" descr="附图4 6万吨铁芯项目车间设备布局图--3-3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附图4 6万吨铁芯项目车间设备布局图--3-31_01"/>
                    <pic:cNvPicPr>
                      <a:picLocks noChangeAspect="1"/>
                    </pic:cNvPicPr>
                  </pic:nvPicPr>
                  <pic:blipFill>
                    <a:blip r:embed="rId86"/>
                    <a:stretch>
                      <a:fillRect/>
                    </a:stretch>
                  </pic:blipFill>
                  <pic:spPr>
                    <a:xfrm>
                      <a:off x="0" y="0"/>
                      <a:ext cx="8265160" cy="5611495"/>
                    </a:xfrm>
                    <a:prstGeom prst="rect">
                      <a:avLst/>
                    </a:prstGeom>
                  </pic:spPr>
                </pic:pic>
              </a:graphicData>
            </a:graphic>
          </wp:inline>
        </w:drawing>
      </w:r>
    </w:p>
    <w:p w14:paraId="7539FBD1">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color w:val="auto"/>
          <w:sz w:val="24"/>
          <w:szCs w:val="32"/>
          <w:vertAlign w:val="baseline"/>
          <w:lang w:val="en-US" w:eastAsia="zh-CN"/>
        </w:rPr>
        <w:sectPr>
          <w:pgSz w:w="16838" w:h="11906" w:orient="landscape"/>
          <w:pgMar w:top="1531" w:right="1701" w:bottom="1531" w:left="1701" w:header="851" w:footer="850" w:gutter="0"/>
          <w:pgBorders>
            <w:top w:val="none" w:sz="0" w:space="0"/>
            <w:left w:val="none" w:sz="0" w:space="0"/>
            <w:bottom w:val="none" w:sz="0" w:space="0"/>
            <w:right w:val="none" w:sz="0" w:space="0"/>
          </w:pgBorders>
          <w:pgNumType w:fmt="numberInDash"/>
          <w:cols w:space="0" w:num="1"/>
          <w:rtlGutter w:val="0"/>
          <w:docGrid w:linePitch="312" w:charSpace="0"/>
        </w:sectPr>
      </w:pPr>
    </w:p>
    <w:p w14:paraId="0C78BC0F">
      <w:pPr>
        <w:keepNext w:val="0"/>
        <w:keepLines w:val="0"/>
        <w:pageBreakBefore w:val="0"/>
        <w:widowControl w:val="0"/>
        <w:kinsoku/>
        <w:wordWrap/>
        <w:overflowPunct/>
        <w:topLinePunct w:val="0"/>
        <w:autoSpaceDE/>
        <w:autoSpaceDN/>
        <w:bidi w:val="0"/>
        <w:adjustRightInd/>
        <w:snapToGrid/>
        <w:textAlignment w:val="auto"/>
        <w:outlineLvl w:val="0"/>
        <w:rPr>
          <w:rFonts w:hint="default"/>
          <w:color w:val="auto"/>
          <w:sz w:val="24"/>
          <w:szCs w:val="32"/>
          <w:lang w:val="en-US" w:eastAsia="zh-CN"/>
        </w:rPr>
      </w:pPr>
      <w:r>
        <w:rPr>
          <w:rFonts w:hint="eastAsia"/>
          <w:color w:val="auto"/>
          <w:sz w:val="24"/>
          <w:szCs w:val="32"/>
          <w:lang w:val="en-US" w:eastAsia="zh-CN"/>
        </w:rPr>
        <w:t>附图5 园区产业布局图</w:t>
      </w:r>
    </w:p>
    <w:p w14:paraId="1EC956A6">
      <w:pPr>
        <w:rPr>
          <w:rFonts w:hint="default"/>
          <w:color w:val="auto"/>
          <w:sz w:val="24"/>
          <w:szCs w:val="32"/>
          <w:lang w:val="en-US" w:eastAsia="zh-CN"/>
        </w:rPr>
      </w:pPr>
      <w:r>
        <w:rPr>
          <w:rFonts w:hint="default"/>
          <w:color w:val="auto"/>
          <w:sz w:val="24"/>
          <w:szCs w:val="32"/>
          <w:lang w:val="en-US" w:eastAsia="zh-CN"/>
        </w:rPr>
        <w:drawing>
          <wp:inline distT="0" distB="0" distL="114300" distR="114300">
            <wp:extent cx="8502015" cy="5615305"/>
            <wp:effectExtent l="0" t="0" r="13335" b="4445"/>
            <wp:docPr id="18" name="图片 18" descr="附图5  产业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附图5  产业规划图"/>
                    <pic:cNvPicPr>
                      <a:picLocks noChangeAspect="1"/>
                    </pic:cNvPicPr>
                  </pic:nvPicPr>
                  <pic:blipFill>
                    <a:blip r:embed="rId87"/>
                    <a:stretch>
                      <a:fillRect/>
                    </a:stretch>
                  </pic:blipFill>
                  <pic:spPr>
                    <a:xfrm>
                      <a:off x="0" y="0"/>
                      <a:ext cx="8502015" cy="5615305"/>
                    </a:xfrm>
                    <a:prstGeom prst="rect">
                      <a:avLst/>
                    </a:prstGeom>
                  </pic:spPr>
                </pic:pic>
              </a:graphicData>
            </a:graphic>
          </wp:inline>
        </w:drawing>
      </w:r>
      <w:r>
        <w:rPr>
          <w:rFonts w:hint="default"/>
          <w:color w:val="auto"/>
          <w:sz w:val="24"/>
          <w:szCs w:val="32"/>
          <w:lang w:val="en-US" w:eastAsia="zh-CN"/>
        </w:rPr>
        <w:br w:type="page"/>
      </w:r>
    </w:p>
    <w:p w14:paraId="7BBFC2B2">
      <w:pPr>
        <w:keepNext w:val="0"/>
        <w:keepLines w:val="0"/>
        <w:pageBreakBefore w:val="0"/>
        <w:widowControl w:val="0"/>
        <w:kinsoku/>
        <w:wordWrap/>
        <w:overflowPunct/>
        <w:topLinePunct w:val="0"/>
        <w:autoSpaceDE/>
        <w:autoSpaceDN/>
        <w:bidi w:val="0"/>
        <w:adjustRightInd/>
        <w:snapToGrid/>
        <w:textAlignment w:val="auto"/>
        <w:outlineLvl w:val="0"/>
        <w:rPr>
          <w:rFonts w:hint="default"/>
          <w:color w:val="auto"/>
          <w:sz w:val="24"/>
          <w:szCs w:val="32"/>
          <w:lang w:val="en-US" w:eastAsia="zh-CN"/>
        </w:rPr>
      </w:pPr>
      <w:r>
        <w:rPr>
          <w:rFonts w:hint="eastAsia"/>
          <w:color w:val="auto"/>
          <w:sz w:val="24"/>
          <w:szCs w:val="32"/>
          <w:lang w:val="en-US" w:eastAsia="zh-CN"/>
        </w:rPr>
        <w:t>附图6 生态环境分区管控图</w:t>
      </w:r>
    </w:p>
    <w:p w14:paraId="689E24EA">
      <w:pPr>
        <w:bidi w:val="0"/>
        <w:rPr>
          <w:rFonts w:hint="default"/>
          <w:color w:val="auto"/>
          <w:lang w:val="en-US" w:eastAsia="zh-CN"/>
        </w:rPr>
      </w:pPr>
      <w:r>
        <w:rPr>
          <w:rFonts w:hint="default"/>
          <w:color w:val="auto"/>
          <w:lang w:val="en-US" w:eastAsia="zh-CN"/>
        </w:rPr>
        <w:drawing>
          <wp:inline distT="0" distB="0" distL="114300" distR="114300">
            <wp:extent cx="8404860" cy="5868035"/>
            <wp:effectExtent l="0" t="0" r="15240" b="18415"/>
            <wp:docPr id="12" name="图片 12" descr="附图6 生态分区管控单元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附图6 生态分区管控单元图_01"/>
                    <pic:cNvPicPr>
                      <a:picLocks noChangeAspect="1"/>
                    </pic:cNvPicPr>
                  </pic:nvPicPr>
                  <pic:blipFill>
                    <a:blip r:embed="rId88"/>
                    <a:stretch>
                      <a:fillRect/>
                    </a:stretch>
                  </pic:blipFill>
                  <pic:spPr>
                    <a:xfrm>
                      <a:off x="0" y="0"/>
                      <a:ext cx="8404860" cy="5868035"/>
                    </a:xfrm>
                    <a:prstGeom prst="rect">
                      <a:avLst/>
                    </a:prstGeom>
                  </pic:spPr>
                </pic:pic>
              </a:graphicData>
            </a:graphic>
          </wp:inline>
        </w:drawing>
      </w:r>
    </w:p>
    <w:p w14:paraId="5346EAE5">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b/>
          <w:bCs/>
          <w:color w:val="auto"/>
          <w:sz w:val="24"/>
          <w:szCs w:val="32"/>
          <w:lang w:val="en-US" w:eastAsia="zh-CN"/>
        </w:rPr>
        <w:sectPr>
          <w:pgSz w:w="16838" w:h="11906" w:orient="landscape"/>
          <w:pgMar w:top="1134" w:right="1701" w:bottom="1134" w:left="1701" w:header="851" w:footer="850" w:gutter="0"/>
          <w:pgBorders>
            <w:top w:val="none" w:sz="0" w:space="0"/>
            <w:left w:val="none" w:sz="0" w:space="0"/>
            <w:bottom w:val="none" w:sz="0" w:space="0"/>
            <w:right w:val="none" w:sz="0" w:space="0"/>
          </w:pgBorders>
          <w:pgNumType w:fmt="numberInDash"/>
          <w:cols w:space="0" w:num="1"/>
          <w:rtlGutter w:val="0"/>
          <w:docGrid w:linePitch="312" w:charSpace="0"/>
        </w:sectPr>
      </w:pPr>
    </w:p>
    <w:p w14:paraId="71FBB30A">
      <w:pPr>
        <w:keepNext w:val="0"/>
        <w:keepLines w:val="0"/>
        <w:pageBreakBefore w:val="0"/>
        <w:widowControl w:val="0"/>
        <w:kinsoku/>
        <w:wordWrap/>
        <w:overflowPunct/>
        <w:topLinePunct w:val="0"/>
        <w:autoSpaceDE/>
        <w:autoSpaceDN/>
        <w:bidi w:val="0"/>
        <w:adjustRightInd/>
        <w:snapToGrid/>
        <w:textAlignment w:val="auto"/>
        <w:outlineLvl w:val="0"/>
        <w:rPr>
          <w:rFonts w:hint="default"/>
          <w:color w:val="auto"/>
          <w:sz w:val="24"/>
          <w:szCs w:val="32"/>
          <w:lang w:val="en-US" w:eastAsia="zh-CN"/>
        </w:rPr>
      </w:pPr>
      <w:r>
        <w:rPr>
          <w:rFonts w:hint="eastAsia"/>
          <w:color w:val="auto"/>
          <w:sz w:val="24"/>
          <w:szCs w:val="32"/>
          <w:lang w:val="en-US" w:eastAsia="zh-CN"/>
        </w:rPr>
        <w:t>附图7 分区防渗图</w:t>
      </w:r>
    </w:p>
    <w:p w14:paraId="2CCCF742">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color w:val="auto"/>
          <w:sz w:val="24"/>
          <w:szCs w:val="32"/>
          <w:vertAlign w:val="baseline"/>
          <w:lang w:val="en-US" w:eastAsia="zh-CN"/>
        </w:rPr>
        <w:sectPr>
          <w:pgSz w:w="11906" w:h="16838"/>
          <w:pgMar w:top="1701" w:right="1531" w:bottom="1701" w:left="1531" w:header="851" w:footer="850" w:gutter="0"/>
          <w:pgBorders>
            <w:top w:val="none" w:sz="0" w:space="0"/>
            <w:left w:val="none" w:sz="0" w:space="0"/>
            <w:bottom w:val="none" w:sz="0" w:space="0"/>
            <w:right w:val="none" w:sz="0" w:space="0"/>
          </w:pgBorders>
          <w:pgNumType w:fmt="numberInDash"/>
          <w:cols w:space="0" w:num="1"/>
          <w:rtlGutter w:val="0"/>
          <w:docGrid w:linePitch="312" w:charSpace="0"/>
        </w:sectPr>
      </w:pPr>
      <w:r>
        <w:rPr>
          <w:rFonts w:hint="default"/>
          <w:color w:val="auto"/>
          <w:sz w:val="24"/>
          <w:szCs w:val="32"/>
          <w:vertAlign w:val="baseline"/>
          <w:lang w:val="en-US" w:eastAsia="zh-CN"/>
        </w:rPr>
        <w:drawing>
          <wp:inline distT="0" distB="0" distL="114300" distR="114300">
            <wp:extent cx="5222240" cy="8232140"/>
            <wp:effectExtent l="0" t="0" r="16510" b="16510"/>
            <wp:docPr id="58" name="图片 58" descr="附图7最新分区防渗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附图7最新分区防渗图"/>
                    <pic:cNvPicPr>
                      <a:picLocks noChangeAspect="1"/>
                    </pic:cNvPicPr>
                  </pic:nvPicPr>
                  <pic:blipFill>
                    <a:blip r:embed="rId89"/>
                    <a:stretch>
                      <a:fillRect/>
                    </a:stretch>
                  </pic:blipFill>
                  <pic:spPr>
                    <a:xfrm>
                      <a:off x="0" y="0"/>
                      <a:ext cx="5222240" cy="8232140"/>
                    </a:xfrm>
                    <a:prstGeom prst="rect">
                      <a:avLst/>
                    </a:prstGeom>
                  </pic:spPr>
                </pic:pic>
              </a:graphicData>
            </a:graphic>
          </wp:inline>
        </w:drawing>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68"/>
        <w:gridCol w:w="4592"/>
      </w:tblGrid>
      <w:tr w14:paraId="72162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8" w:type="dxa"/>
          </w:tcPr>
          <w:p w14:paraId="0A77EE16">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color w:val="auto"/>
                <w:sz w:val="24"/>
                <w:szCs w:val="32"/>
                <w:vertAlign w:val="baseline"/>
                <w:lang w:val="en-US" w:eastAsia="zh-CN"/>
              </w:rPr>
            </w:pPr>
            <w:r>
              <w:rPr>
                <w:rFonts w:hint="default"/>
                <w:color w:val="auto"/>
                <w:sz w:val="24"/>
                <w:szCs w:val="32"/>
                <w:vertAlign w:val="baseline"/>
                <w:lang w:val="en-US" w:eastAsia="zh-CN"/>
              </w:rPr>
              <w:drawing>
                <wp:inline distT="0" distB="0" distL="114300" distR="114300">
                  <wp:extent cx="2691765" cy="2019300"/>
                  <wp:effectExtent l="0" t="0" r="13335" b="0"/>
                  <wp:docPr id="49" name="图片 49" descr="b9a860e090c8206d7f78b64f3bd3dc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b9a860e090c8206d7f78b64f3bd3dc0c"/>
                          <pic:cNvPicPr>
                            <a:picLocks noChangeAspect="1"/>
                          </pic:cNvPicPr>
                        </pic:nvPicPr>
                        <pic:blipFill>
                          <a:blip r:embed="rId90"/>
                          <a:stretch>
                            <a:fillRect/>
                          </a:stretch>
                        </pic:blipFill>
                        <pic:spPr>
                          <a:xfrm>
                            <a:off x="0" y="0"/>
                            <a:ext cx="2691765" cy="2019300"/>
                          </a:xfrm>
                          <a:prstGeom prst="rect">
                            <a:avLst/>
                          </a:prstGeom>
                        </pic:spPr>
                      </pic:pic>
                    </a:graphicData>
                  </a:graphic>
                </wp:inline>
              </w:drawing>
            </w:r>
          </w:p>
        </w:tc>
        <w:tc>
          <w:tcPr>
            <w:tcW w:w="4592" w:type="dxa"/>
          </w:tcPr>
          <w:p w14:paraId="1F5C806C">
            <w:pPr>
              <w:keepNext w:val="0"/>
              <w:keepLines w:val="0"/>
              <w:pageBreakBefore w:val="0"/>
              <w:widowControl w:val="0"/>
              <w:kinsoku/>
              <w:wordWrap/>
              <w:overflowPunct/>
              <w:topLinePunct w:val="0"/>
              <w:autoSpaceDE/>
              <w:autoSpaceDN/>
              <w:bidi w:val="0"/>
              <w:adjustRightInd/>
              <w:snapToGrid/>
              <w:jc w:val="both"/>
              <w:textAlignment w:val="auto"/>
              <w:outlineLvl w:val="0"/>
              <w:rPr>
                <w:rFonts w:hint="default"/>
                <w:color w:val="auto"/>
                <w:sz w:val="24"/>
                <w:szCs w:val="32"/>
                <w:vertAlign w:val="baseline"/>
                <w:lang w:val="en-US" w:eastAsia="zh-CN"/>
              </w:rPr>
            </w:pPr>
            <w:r>
              <w:rPr>
                <w:rFonts w:hint="default"/>
                <w:color w:val="auto"/>
                <w:sz w:val="24"/>
                <w:szCs w:val="32"/>
                <w:vertAlign w:val="baseline"/>
                <w:lang w:val="en-US" w:eastAsia="zh-CN"/>
              </w:rPr>
              <w:drawing>
                <wp:inline distT="0" distB="0" distL="114300" distR="114300">
                  <wp:extent cx="2750820" cy="2063115"/>
                  <wp:effectExtent l="0" t="0" r="11430" b="13335"/>
                  <wp:docPr id="50" name="图片 50" descr="66e6ef6da47d67cde5fcb8758ca775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66e6ef6da47d67cde5fcb8758ca775f5"/>
                          <pic:cNvPicPr>
                            <a:picLocks noChangeAspect="1"/>
                          </pic:cNvPicPr>
                        </pic:nvPicPr>
                        <pic:blipFill>
                          <a:blip r:embed="rId91"/>
                          <a:stretch>
                            <a:fillRect/>
                          </a:stretch>
                        </pic:blipFill>
                        <pic:spPr>
                          <a:xfrm>
                            <a:off x="0" y="0"/>
                            <a:ext cx="2750820" cy="2063115"/>
                          </a:xfrm>
                          <a:prstGeom prst="rect">
                            <a:avLst/>
                          </a:prstGeom>
                        </pic:spPr>
                      </pic:pic>
                    </a:graphicData>
                  </a:graphic>
                </wp:inline>
              </w:drawing>
            </w:r>
          </w:p>
        </w:tc>
      </w:tr>
      <w:tr w14:paraId="0BA9F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8" w:type="dxa"/>
          </w:tcPr>
          <w:p w14:paraId="788C2933">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color w:val="auto"/>
                <w:sz w:val="24"/>
                <w:szCs w:val="32"/>
                <w:vertAlign w:val="baseline"/>
                <w:lang w:val="en-US" w:eastAsia="zh-CN"/>
              </w:rPr>
            </w:pPr>
            <w:r>
              <w:rPr>
                <w:rFonts w:hint="eastAsia"/>
                <w:color w:val="auto"/>
                <w:sz w:val="24"/>
                <w:szCs w:val="32"/>
                <w:vertAlign w:val="baseline"/>
                <w:lang w:val="en-US" w:eastAsia="zh-CN"/>
              </w:rPr>
              <w:t>工程师现场照片</w:t>
            </w:r>
          </w:p>
        </w:tc>
        <w:tc>
          <w:tcPr>
            <w:tcW w:w="4592" w:type="dxa"/>
          </w:tcPr>
          <w:p w14:paraId="4DD04EA2">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color w:val="auto"/>
                <w:sz w:val="24"/>
                <w:szCs w:val="32"/>
                <w:vertAlign w:val="baseline"/>
                <w:lang w:val="en-US" w:eastAsia="zh-CN"/>
              </w:rPr>
            </w:pPr>
            <w:r>
              <w:rPr>
                <w:rFonts w:hint="eastAsia"/>
                <w:color w:val="auto"/>
                <w:sz w:val="24"/>
                <w:szCs w:val="32"/>
                <w:vertAlign w:val="baseline"/>
                <w:lang w:val="en-US" w:eastAsia="zh-CN"/>
              </w:rPr>
              <w:t>厂区东南</w:t>
            </w:r>
          </w:p>
        </w:tc>
      </w:tr>
    </w:tbl>
    <w:p w14:paraId="30745B45">
      <w:pPr>
        <w:keepNext w:val="0"/>
        <w:keepLines w:val="0"/>
        <w:pageBreakBefore w:val="0"/>
        <w:widowControl w:val="0"/>
        <w:kinsoku/>
        <w:wordWrap/>
        <w:overflowPunct/>
        <w:topLinePunct w:val="0"/>
        <w:autoSpaceDE/>
        <w:autoSpaceDN/>
        <w:bidi w:val="0"/>
        <w:adjustRightInd/>
        <w:snapToGrid/>
        <w:jc w:val="both"/>
        <w:textAlignment w:val="auto"/>
        <w:outlineLvl w:val="9"/>
        <w:rPr>
          <w:rFonts w:hint="default"/>
          <w:color w:val="auto"/>
          <w:sz w:val="24"/>
          <w:szCs w:val="32"/>
          <w:lang w:val="en-US" w:eastAsia="zh-CN"/>
        </w:rPr>
      </w:pPr>
    </w:p>
    <w:sectPr>
      <w:pgSz w:w="11906" w:h="16838"/>
      <w:pgMar w:top="1701" w:right="1531" w:bottom="1701" w:left="1531" w:header="851" w:footer="850" w:gutter="0"/>
      <w:pgBorders>
        <w:top w:val="none" w:sz="0" w:space="0"/>
        <w:left w:val="none" w:sz="0" w:space="0"/>
        <w:bottom w:val="none" w:sz="0" w:space="0"/>
        <w:right w:val="none" w:sz="0" w:space="0"/>
      </w:pgBorders>
      <w:pgNumType w:fmt="numberInDash"/>
      <w:cols w:space="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Arial Unicode MS">
    <w:panose1 w:val="020B0604020202020204"/>
    <w:charset w:val="86"/>
    <w:family w:val="swiss"/>
    <w:pitch w:val="default"/>
    <w:sig w:usb0="FFFFFFFF" w:usb1="E9FFFFFF" w:usb2="0000003F" w:usb3="00000000" w:csb0="603F01FF" w:csb1="FFFF0000"/>
  </w:font>
  <w:font w:name="楷体_GB2312">
    <w:panose1 w:val="02010609030101010101"/>
    <w:charset w:val="86"/>
    <w:family w:val="modern"/>
    <w:pitch w:val="default"/>
    <w:sig w:usb0="00000001" w:usb1="080E0000" w:usb2="00000000" w:usb3="00000000" w:csb0="00040000" w:csb1="00000000"/>
  </w:font>
  <w:font w:name="方正仿宋_GBK">
    <w:altName w:val="微软雅黑"/>
    <w:panose1 w:val="03000509000000000000"/>
    <w:charset w:val="86"/>
    <w:family w:val="auto"/>
    <w:pitch w:val="default"/>
    <w:sig w:usb0="00000000" w:usb1="00000000" w:usb2="00000000" w:usb3="00000000" w:csb0="00040000" w:csb1="00000000"/>
  </w:font>
  <w:font w:name="Wingdings 2">
    <w:panose1 w:val="05020102010507070707"/>
    <w:charset w:val="00"/>
    <w:family w:val="auto"/>
    <w:pitch w:val="default"/>
    <w:sig w:usb0="00000000" w:usb1="00000000" w:usb2="00000000" w:usb3="00000000" w:csb0="80000000" w:csb1="00000000"/>
  </w:font>
  <w:font w:name="FZFSK--GBK1-0">
    <w:altName w:val="宋体"/>
    <w:panose1 w:val="00000000000000000000"/>
    <w:charset w:val="86"/>
    <w:family w:val="auto"/>
    <w:pitch w:val="default"/>
    <w:sig w:usb0="00000000" w:usb1="00000000" w:usb2="00000000" w:usb3="00000000" w:csb0="00040000" w:csb1="00000000"/>
  </w:font>
  <w:font w:name="方正小标宋_GBK">
    <w:altName w:val="微软雅黑"/>
    <w:panose1 w:val="03000509000000000000"/>
    <w:charset w:val="86"/>
    <w:family w:val="script"/>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4AE740">
    <w:pPr>
      <w:pStyle w:val="22"/>
      <w:tabs>
        <w:tab w:val="left" w:pos="5414"/>
        <w:tab w:val="clear" w:pos="4153"/>
      </w:tabs>
      <w:ind w:right="360"/>
      <w:jc w:val="both"/>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10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59CFA0D">
                          <w:pPr>
                            <w:pStyle w:val="22"/>
                          </w:pPr>
                          <w:r>
                            <w:fldChar w:fldCharType="begin"/>
                          </w:r>
                          <w:r>
                            <w:instrText xml:space="preserve"> PAGE  \* MERGEFORMAT </w:instrText>
                          </w:r>
                          <w:r>
                            <w:fldChar w:fldCharType="separate"/>
                          </w:r>
                          <w:r>
                            <w:t>- 1 -</w:t>
                          </w:r>
                          <w:r>
                            <w:fldChar w:fldCharType="end"/>
                          </w:r>
                        </w:p>
                      </w:txbxContent>
                    </wps:txbx>
                    <wps:bodyPr vert="horz" wrap="none" lIns="0" tIns="0" rIns="0" bIns="0" anchor="t" anchorCtr="0" upright="0">
                      <a:spAutoFit/>
                    </wps:bodyPr>
                  </wps:wsp>
                </a:graphicData>
              </a:graphic>
            </wp:anchor>
          </w:drawing>
        </mc:Choice>
        <mc:Fallback>
          <w:pict>
            <v:shape id="文本框 1030"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DtVBPLgAQAAwgMAAA4AAAAA&#10;AAAAAQAgAAAAHgEAAGRycy9lMm9Eb2MueG1sUEsFBgAAAAAGAAYAWQEAAHAFAAAAAA==&#10;">
              <v:fill on="f" focussize="0,0"/>
              <v:stroke on="f"/>
              <v:imagedata o:title=""/>
              <o:lock v:ext="edit" aspectratio="f"/>
              <v:textbox inset="0mm,0mm,0mm,0mm" style="mso-fit-shape-to-text:t;">
                <w:txbxContent>
                  <w:p w14:paraId="559CFA0D">
                    <w:pPr>
                      <w:pStyle w:val="22"/>
                    </w:pPr>
                    <w:r>
                      <w:fldChar w:fldCharType="begin"/>
                    </w:r>
                    <w:r>
                      <w:instrText xml:space="preserve"> PAGE  \* MERGEFORMAT </w:instrText>
                    </w:r>
                    <w:r>
                      <w:fldChar w:fldCharType="separate"/>
                    </w:r>
                    <w:r>
                      <w:t>- 1 -</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63E814">
    <w:pPr>
      <w:pStyle w:val="2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445433">
    <w:pPr>
      <w:pStyle w:val="23"/>
      <w:pBdr>
        <w:bottom w:val="none" w:color="auto" w:sz="0" w:space="1"/>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FFB161">
    <w:pPr>
      <w:pStyle w:val="2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56EDC5B"/>
    <w:multiLevelType w:val="singleLevel"/>
    <w:tmpl w:val="A56EDC5B"/>
    <w:lvl w:ilvl="0" w:tentative="0">
      <w:start w:val="7"/>
      <w:numFmt w:val="decimal"/>
      <w:suff w:val="nothing"/>
      <w:lvlText w:val="%1、"/>
      <w:lvlJc w:val="left"/>
    </w:lvl>
  </w:abstractNum>
  <w:abstractNum w:abstractNumId="1">
    <w:nsid w:val="D732304C"/>
    <w:multiLevelType w:val="singleLevel"/>
    <w:tmpl w:val="D732304C"/>
    <w:lvl w:ilvl="0" w:tentative="0">
      <w:start w:val="1"/>
      <w:numFmt w:val="decimal"/>
      <w:pStyle w:val="25"/>
      <w:lvlText w:val="%1."/>
      <w:lvlJc w:val="left"/>
      <w:pPr>
        <w:tabs>
          <w:tab w:val="left" w:pos="2040"/>
        </w:tabs>
        <w:ind w:left="2040" w:hanging="360"/>
      </w:pPr>
    </w:lvl>
  </w:abstractNum>
  <w:abstractNum w:abstractNumId="2">
    <w:nsid w:val="189BEDDA"/>
    <w:multiLevelType w:val="singleLevel"/>
    <w:tmpl w:val="189BEDDA"/>
    <w:lvl w:ilvl="0" w:tentative="0">
      <w:start w:val="1"/>
      <w:numFmt w:val="bullet"/>
      <w:pStyle w:val="18"/>
      <w:lvlText w:val=""/>
      <w:lvlJc w:val="left"/>
      <w:pPr>
        <w:tabs>
          <w:tab w:val="left" w:pos="2040"/>
        </w:tabs>
        <w:ind w:left="2040" w:hanging="360"/>
      </w:pPr>
      <w:rPr>
        <w:rFonts w:hint="default" w:ascii="Wingdings" w:hAnsi="Wingdings"/>
      </w:rPr>
    </w:lvl>
  </w:abstractNum>
  <w:abstractNum w:abstractNumId="3">
    <w:nsid w:val="4CC1998A"/>
    <w:multiLevelType w:val="singleLevel"/>
    <w:tmpl w:val="4CC1998A"/>
    <w:lvl w:ilvl="0" w:tentative="0">
      <w:start w:val="3"/>
      <w:numFmt w:val="decimal"/>
      <w:suff w:val="nothing"/>
      <w:lvlText w:val="%1、"/>
      <w:lvlJc w:val="left"/>
    </w:lvl>
  </w:abstractNum>
  <w:abstractNum w:abstractNumId="4">
    <w:nsid w:val="6BB47AA4"/>
    <w:multiLevelType w:val="singleLevel"/>
    <w:tmpl w:val="6BB47AA4"/>
    <w:lvl w:ilvl="0" w:tentative="0">
      <w:start w:val="6"/>
      <w:numFmt w:val="decimal"/>
      <w:suff w:val="nothing"/>
      <w:lvlText w:val="（%1）"/>
      <w:lvlJc w:val="left"/>
    </w:lvl>
  </w:abstractNum>
  <w:abstractNum w:abstractNumId="5">
    <w:nsid w:val="6D51D325"/>
    <w:multiLevelType w:val="singleLevel"/>
    <w:tmpl w:val="6D51D325"/>
    <w:lvl w:ilvl="0" w:tentative="0">
      <w:start w:val="2"/>
      <w:numFmt w:val="decimal"/>
      <w:suff w:val="nothing"/>
      <w:lvlText w:val="%1、"/>
      <w:lvlJc w:val="left"/>
    </w:lvl>
  </w:abstractNum>
  <w:num w:numId="1">
    <w:abstractNumId w:val="2"/>
  </w:num>
  <w:num w:numId="2">
    <w:abstractNumId w:val="1"/>
  </w:num>
  <w:num w:numId="3">
    <w:abstractNumId w:val="0"/>
  </w:num>
  <w:num w:numId="4">
    <w:abstractNumId w:val="3"/>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3"/>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AwODlmODY2MjQzNjA4OTIzOGU0MGQ1OGIyYzVjZjAifQ=="/>
    <w:docVar w:name="KSO_WPS_MARK_KEY" w:val="66e47aab-3627-4536-bb1c-e7f5a0207af8"/>
  </w:docVars>
  <w:rsids>
    <w:rsidRoot w:val="00172A27"/>
    <w:rsid w:val="000060B3"/>
    <w:rsid w:val="0004364B"/>
    <w:rsid w:val="00061B1F"/>
    <w:rsid w:val="000733C4"/>
    <w:rsid w:val="00074783"/>
    <w:rsid w:val="0008070B"/>
    <w:rsid w:val="000810AC"/>
    <w:rsid w:val="00081A02"/>
    <w:rsid w:val="00082231"/>
    <w:rsid w:val="00092513"/>
    <w:rsid w:val="00092D38"/>
    <w:rsid w:val="0009377B"/>
    <w:rsid w:val="000A20C9"/>
    <w:rsid w:val="000B058F"/>
    <w:rsid w:val="000B4467"/>
    <w:rsid w:val="000B4DB9"/>
    <w:rsid w:val="000C09AC"/>
    <w:rsid w:val="000C767F"/>
    <w:rsid w:val="000D5A44"/>
    <w:rsid w:val="000E3ED2"/>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05CDF"/>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328"/>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4F3686"/>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0611"/>
    <w:rsid w:val="007C21B5"/>
    <w:rsid w:val="007E4BD2"/>
    <w:rsid w:val="00801393"/>
    <w:rsid w:val="00802F88"/>
    <w:rsid w:val="0081293E"/>
    <w:rsid w:val="00815465"/>
    <w:rsid w:val="0081665C"/>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002B6"/>
    <w:rsid w:val="00B1295A"/>
    <w:rsid w:val="00B20A45"/>
    <w:rsid w:val="00B22C5C"/>
    <w:rsid w:val="00B24F30"/>
    <w:rsid w:val="00B31ABF"/>
    <w:rsid w:val="00B33BE3"/>
    <w:rsid w:val="00B53B5D"/>
    <w:rsid w:val="00B6055E"/>
    <w:rsid w:val="00B6317D"/>
    <w:rsid w:val="00B7723F"/>
    <w:rsid w:val="00B80534"/>
    <w:rsid w:val="00B8433C"/>
    <w:rsid w:val="00B87491"/>
    <w:rsid w:val="00B93F2F"/>
    <w:rsid w:val="00BA29E9"/>
    <w:rsid w:val="00BA7142"/>
    <w:rsid w:val="00BB237C"/>
    <w:rsid w:val="00BB41A3"/>
    <w:rsid w:val="00BC32DC"/>
    <w:rsid w:val="00BC35B6"/>
    <w:rsid w:val="00BD1B51"/>
    <w:rsid w:val="00BD4596"/>
    <w:rsid w:val="00BD5E3D"/>
    <w:rsid w:val="00BE1405"/>
    <w:rsid w:val="00BE312D"/>
    <w:rsid w:val="00BE51BB"/>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848"/>
    <w:rsid w:val="00CE2910"/>
    <w:rsid w:val="00CE5393"/>
    <w:rsid w:val="00CF36BE"/>
    <w:rsid w:val="00CF6000"/>
    <w:rsid w:val="00D003F3"/>
    <w:rsid w:val="00D0364F"/>
    <w:rsid w:val="00D06834"/>
    <w:rsid w:val="00D308ED"/>
    <w:rsid w:val="00D36D86"/>
    <w:rsid w:val="00D428AA"/>
    <w:rsid w:val="00D50A34"/>
    <w:rsid w:val="00D53EFA"/>
    <w:rsid w:val="00D91EDB"/>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0E5368"/>
    <w:rsid w:val="011253ED"/>
    <w:rsid w:val="01290F7E"/>
    <w:rsid w:val="013E4434"/>
    <w:rsid w:val="01543BEA"/>
    <w:rsid w:val="015D1E09"/>
    <w:rsid w:val="01A10105"/>
    <w:rsid w:val="01E275F4"/>
    <w:rsid w:val="01EF27B2"/>
    <w:rsid w:val="01F1594A"/>
    <w:rsid w:val="022C3BD9"/>
    <w:rsid w:val="023B465A"/>
    <w:rsid w:val="02697903"/>
    <w:rsid w:val="028247F4"/>
    <w:rsid w:val="02B16457"/>
    <w:rsid w:val="02C2067B"/>
    <w:rsid w:val="02C97646"/>
    <w:rsid w:val="02D16035"/>
    <w:rsid w:val="02EA530F"/>
    <w:rsid w:val="02F96569"/>
    <w:rsid w:val="031366F3"/>
    <w:rsid w:val="0320781C"/>
    <w:rsid w:val="036D2DAF"/>
    <w:rsid w:val="03807A8D"/>
    <w:rsid w:val="03850738"/>
    <w:rsid w:val="03AE294A"/>
    <w:rsid w:val="03B3325C"/>
    <w:rsid w:val="03EA7B21"/>
    <w:rsid w:val="04177C2C"/>
    <w:rsid w:val="042A38B1"/>
    <w:rsid w:val="043E50F2"/>
    <w:rsid w:val="04697A1A"/>
    <w:rsid w:val="046D640F"/>
    <w:rsid w:val="04EC1931"/>
    <w:rsid w:val="05D91100"/>
    <w:rsid w:val="05EB2CF7"/>
    <w:rsid w:val="05F83EAE"/>
    <w:rsid w:val="05FF1EE0"/>
    <w:rsid w:val="063E7D85"/>
    <w:rsid w:val="06784A65"/>
    <w:rsid w:val="06A63059"/>
    <w:rsid w:val="06B53258"/>
    <w:rsid w:val="06EF3151"/>
    <w:rsid w:val="07192870"/>
    <w:rsid w:val="07293586"/>
    <w:rsid w:val="07295285"/>
    <w:rsid w:val="07620611"/>
    <w:rsid w:val="07636392"/>
    <w:rsid w:val="07770C56"/>
    <w:rsid w:val="07A30484"/>
    <w:rsid w:val="07AB3BC7"/>
    <w:rsid w:val="07D12A65"/>
    <w:rsid w:val="07DE24CD"/>
    <w:rsid w:val="07F77BC7"/>
    <w:rsid w:val="08A92ADB"/>
    <w:rsid w:val="08D37B58"/>
    <w:rsid w:val="08DF033F"/>
    <w:rsid w:val="08FA48F0"/>
    <w:rsid w:val="090934B1"/>
    <w:rsid w:val="092217DD"/>
    <w:rsid w:val="09350DFB"/>
    <w:rsid w:val="093A7294"/>
    <w:rsid w:val="09694018"/>
    <w:rsid w:val="098E7EBC"/>
    <w:rsid w:val="0A1A5504"/>
    <w:rsid w:val="0A263993"/>
    <w:rsid w:val="0A2C751F"/>
    <w:rsid w:val="0A2D3AC2"/>
    <w:rsid w:val="0A4D5E3F"/>
    <w:rsid w:val="0A692F63"/>
    <w:rsid w:val="0A6D4531"/>
    <w:rsid w:val="0A740EC6"/>
    <w:rsid w:val="0A893C96"/>
    <w:rsid w:val="0AA755DF"/>
    <w:rsid w:val="0AB7262C"/>
    <w:rsid w:val="0ABC4263"/>
    <w:rsid w:val="0AC62ADE"/>
    <w:rsid w:val="0ADD670E"/>
    <w:rsid w:val="0B120D44"/>
    <w:rsid w:val="0B186B99"/>
    <w:rsid w:val="0B193D02"/>
    <w:rsid w:val="0B443379"/>
    <w:rsid w:val="0B6D4294"/>
    <w:rsid w:val="0BBB5D64"/>
    <w:rsid w:val="0BD27BF6"/>
    <w:rsid w:val="0BE0262F"/>
    <w:rsid w:val="0C1E07D9"/>
    <w:rsid w:val="0C22507E"/>
    <w:rsid w:val="0C285FE7"/>
    <w:rsid w:val="0C3B3C7D"/>
    <w:rsid w:val="0C752CF5"/>
    <w:rsid w:val="0C8A75A3"/>
    <w:rsid w:val="0C931459"/>
    <w:rsid w:val="0CAB2EAE"/>
    <w:rsid w:val="0D0253AC"/>
    <w:rsid w:val="0D386551"/>
    <w:rsid w:val="0D3E47F7"/>
    <w:rsid w:val="0D621C7D"/>
    <w:rsid w:val="0D6E7E4F"/>
    <w:rsid w:val="0D7A4A46"/>
    <w:rsid w:val="0D9C0939"/>
    <w:rsid w:val="0DAC6774"/>
    <w:rsid w:val="0DD36E32"/>
    <w:rsid w:val="0E2D1F54"/>
    <w:rsid w:val="0E666B26"/>
    <w:rsid w:val="0E73034D"/>
    <w:rsid w:val="0E821359"/>
    <w:rsid w:val="0E891619"/>
    <w:rsid w:val="0E957FEC"/>
    <w:rsid w:val="0E97502D"/>
    <w:rsid w:val="0E9D6A64"/>
    <w:rsid w:val="0E9F4D51"/>
    <w:rsid w:val="0EA32AFA"/>
    <w:rsid w:val="0EAF091B"/>
    <w:rsid w:val="0EB601BD"/>
    <w:rsid w:val="0EF21B46"/>
    <w:rsid w:val="0F13775A"/>
    <w:rsid w:val="0F1574FF"/>
    <w:rsid w:val="0F1F0A31"/>
    <w:rsid w:val="0F23204B"/>
    <w:rsid w:val="0F57570D"/>
    <w:rsid w:val="0F5F45FE"/>
    <w:rsid w:val="0F6E7396"/>
    <w:rsid w:val="0F9A112B"/>
    <w:rsid w:val="0FAB33F8"/>
    <w:rsid w:val="101225D4"/>
    <w:rsid w:val="106D2F64"/>
    <w:rsid w:val="10710323"/>
    <w:rsid w:val="107769EA"/>
    <w:rsid w:val="10B63710"/>
    <w:rsid w:val="10EE0CFE"/>
    <w:rsid w:val="10F10820"/>
    <w:rsid w:val="10F72A91"/>
    <w:rsid w:val="111C2F7A"/>
    <w:rsid w:val="1142647A"/>
    <w:rsid w:val="114775E0"/>
    <w:rsid w:val="114F3C6F"/>
    <w:rsid w:val="1163361A"/>
    <w:rsid w:val="11665CA1"/>
    <w:rsid w:val="11717F0E"/>
    <w:rsid w:val="11812C2C"/>
    <w:rsid w:val="118769CB"/>
    <w:rsid w:val="11AA5CB6"/>
    <w:rsid w:val="11E30636"/>
    <w:rsid w:val="120A59B4"/>
    <w:rsid w:val="120B3C17"/>
    <w:rsid w:val="12152F8F"/>
    <w:rsid w:val="123A7218"/>
    <w:rsid w:val="127162CF"/>
    <w:rsid w:val="12AF0704"/>
    <w:rsid w:val="12B10733"/>
    <w:rsid w:val="12F00E32"/>
    <w:rsid w:val="130F4D0D"/>
    <w:rsid w:val="134E4AD6"/>
    <w:rsid w:val="13951726"/>
    <w:rsid w:val="139D41E3"/>
    <w:rsid w:val="13BF7656"/>
    <w:rsid w:val="13DD188A"/>
    <w:rsid w:val="14396509"/>
    <w:rsid w:val="143A746E"/>
    <w:rsid w:val="14504752"/>
    <w:rsid w:val="147B2DD7"/>
    <w:rsid w:val="149E2C94"/>
    <w:rsid w:val="14DD2C3C"/>
    <w:rsid w:val="14F14B90"/>
    <w:rsid w:val="151C72DE"/>
    <w:rsid w:val="15472591"/>
    <w:rsid w:val="15664823"/>
    <w:rsid w:val="15747FCD"/>
    <w:rsid w:val="15AF0586"/>
    <w:rsid w:val="15C95EAC"/>
    <w:rsid w:val="15DA0777"/>
    <w:rsid w:val="15DA3CC3"/>
    <w:rsid w:val="15DD5EE7"/>
    <w:rsid w:val="15E321B6"/>
    <w:rsid w:val="16087E1D"/>
    <w:rsid w:val="161C2147"/>
    <w:rsid w:val="163B2945"/>
    <w:rsid w:val="1666025D"/>
    <w:rsid w:val="167713D0"/>
    <w:rsid w:val="16A00F8B"/>
    <w:rsid w:val="16CD42DD"/>
    <w:rsid w:val="17260828"/>
    <w:rsid w:val="172A4DE7"/>
    <w:rsid w:val="174329DC"/>
    <w:rsid w:val="17701D14"/>
    <w:rsid w:val="17735226"/>
    <w:rsid w:val="17AB37B2"/>
    <w:rsid w:val="17B466DB"/>
    <w:rsid w:val="17F319D0"/>
    <w:rsid w:val="185B5DCF"/>
    <w:rsid w:val="18842C1C"/>
    <w:rsid w:val="18953CB7"/>
    <w:rsid w:val="189F624C"/>
    <w:rsid w:val="1901516B"/>
    <w:rsid w:val="190168A7"/>
    <w:rsid w:val="19017351"/>
    <w:rsid w:val="196100F0"/>
    <w:rsid w:val="198E54D1"/>
    <w:rsid w:val="19E16A10"/>
    <w:rsid w:val="19E33973"/>
    <w:rsid w:val="19F47BA6"/>
    <w:rsid w:val="1A1C66C0"/>
    <w:rsid w:val="1A264412"/>
    <w:rsid w:val="1A42393B"/>
    <w:rsid w:val="1A4354A9"/>
    <w:rsid w:val="1A4A7921"/>
    <w:rsid w:val="1A5B2F56"/>
    <w:rsid w:val="1A6065BF"/>
    <w:rsid w:val="1A937147"/>
    <w:rsid w:val="1A9923CA"/>
    <w:rsid w:val="1A9C0D7A"/>
    <w:rsid w:val="1AA8538E"/>
    <w:rsid w:val="1AAD45DE"/>
    <w:rsid w:val="1AE25E37"/>
    <w:rsid w:val="1B046F80"/>
    <w:rsid w:val="1B3267B5"/>
    <w:rsid w:val="1B40161D"/>
    <w:rsid w:val="1B426D59"/>
    <w:rsid w:val="1B441859"/>
    <w:rsid w:val="1B6606B1"/>
    <w:rsid w:val="1B8D3014"/>
    <w:rsid w:val="1B994DBF"/>
    <w:rsid w:val="1BBD166B"/>
    <w:rsid w:val="1BCE6780"/>
    <w:rsid w:val="1BE901B1"/>
    <w:rsid w:val="1BFE3FAE"/>
    <w:rsid w:val="1C5E7925"/>
    <w:rsid w:val="1CC5184E"/>
    <w:rsid w:val="1CFD070F"/>
    <w:rsid w:val="1D51499E"/>
    <w:rsid w:val="1D5F6196"/>
    <w:rsid w:val="1D6132A5"/>
    <w:rsid w:val="1D8E56D5"/>
    <w:rsid w:val="1D9210AE"/>
    <w:rsid w:val="1D993A50"/>
    <w:rsid w:val="1DC0363D"/>
    <w:rsid w:val="1DE068D2"/>
    <w:rsid w:val="1DFB762F"/>
    <w:rsid w:val="1E2B2302"/>
    <w:rsid w:val="1E392547"/>
    <w:rsid w:val="1E3C7D3B"/>
    <w:rsid w:val="1E5C3407"/>
    <w:rsid w:val="1E636E30"/>
    <w:rsid w:val="1E7A43DA"/>
    <w:rsid w:val="1E8C751D"/>
    <w:rsid w:val="1ECE699F"/>
    <w:rsid w:val="1F161A25"/>
    <w:rsid w:val="1F21614E"/>
    <w:rsid w:val="1F3B73E3"/>
    <w:rsid w:val="1F5A1C58"/>
    <w:rsid w:val="1F5C04BB"/>
    <w:rsid w:val="1F7F760C"/>
    <w:rsid w:val="1FB530DE"/>
    <w:rsid w:val="1FBA5A84"/>
    <w:rsid w:val="1FD17905"/>
    <w:rsid w:val="1FD32F0D"/>
    <w:rsid w:val="1FE12702"/>
    <w:rsid w:val="1FE7539E"/>
    <w:rsid w:val="202E26F3"/>
    <w:rsid w:val="204B6DA2"/>
    <w:rsid w:val="205305A0"/>
    <w:rsid w:val="20623843"/>
    <w:rsid w:val="20671BE0"/>
    <w:rsid w:val="20963CB8"/>
    <w:rsid w:val="2098790F"/>
    <w:rsid w:val="20A81A1B"/>
    <w:rsid w:val="20A911BD"/>
    <w:rsid w:val="20AE1FAA"/>
    <w:rsid w:val="20B07FB6"/>
    <w:rsid w:val="20B646FB"/>
    <w:rsid w:val="20D25A3E"/>
    <w:rsid w:val="20E152BD"/>
    <w:rsid w:val="20E8432F"/>
    <w:rsid w:val="210C7B3D"/>
    <w:rsid w:val="211757B4"/>
    <w:rsid w:val="213B74B1"/>
    <w:rsid w:val="214C7B4D"/>
    <w:rsid w:val="215A2310"/>
    <w:rsid w:val="21751B5F"/>
    <w:rsid w:val="21A47E8B"/>
    <w:rsid w:val="21A67158"/>
    <w:rsid w:val="21DE318A"/>
    <w:rsid w:val="21E8421C"/>
    <w:rsid w:val="21EF5B80"/>
    <w:rsid w:val="222039B6"/>
    <w:rsid w:val="223B6EB7"/>
    <w:rsid w:val="224A32D0"/>
    <w:rsid w:val="22576990"/>
    <w:rsid w:val="225A1D90"/>
    <w:rsid w:val="227275E7"/>
    <w:rsid w:val="228141AC"/>
    <w:rsid w:val="229807E8"/>
    <w:rsid w:val="22981EF3"/>
    <w:rsid w:val="22F47480"/>
    <w:rsid w:val="23706277"/>
    <w:rsid w:val="23C75000"/>
    <w:rsid w:val="23DE1C48"/>
    <w:rsid w:val="23F138EA"/>
    <w:rsid w:val="23FA4168"/>
    <w:rsid w:val="240210CD"/>
    <w:rsid w:val="242C7F09"/>
    <w:rsid w:val="244157BF"/>
    <w:rsid w:val="24A3442A"/>
    <w:rsid w:val="24AB2ACE"/>
    <w:rsid w:val="24AF64C1"/>
    <w:rsid w:val="24BF09F7"/>
    <w:rsid w:val="24C616C8"/>
    <w:rsid w:val="24D50353"/>
    <w:rsid w:val="24E726F7"/>
    <w:rsid w:val="2512146E"/>
    <w:rsid w:val="251A6283"/>
    <w:rsid w:val="252D53FE"/>
    <w:rsid w:val="25545324"/>
    <w:rsid w:val="256A4F48"/>
    <w:rsid w:val="25E35426"/>
    <w:rsid w:val="25EC2D81"/>
    <w:rsid w:val="26025181"/>
    <w:rsid w:val="261A5477"/>
    <w:rsid w:val="262260CC"/>
    <w:rsid w:val="2634778C"/>
    <w:rsid w:val="26445307"/>
    <w:rsid w:val="26585C75"/>
    <w:rsid w:val="2687419E"/>
    <w:rsid w:val="269C55D5"/>
    <w:rsid w:val="26A317D1"/>
    <w:rsid w:val="26BA715E"/>
    <w:rsid w:val="26BE5BC3"/>
    <w:rsid w:val="272555CB"/>
    <w:rsid w:val="272A498F"/>
    <w:rsid w:val="277057A2"/>
    <w:rsid w:val="278A1A07"/>
    <w:rsid w:val="279972FE"/>
    <w:rsid w:val="27A85B99"/>
    <w:rsid w:val="27B4270D"/>
    <w:rsid w:val="280D1663"/>
    <w:rsid w:val="284C64E6"/>
    <w:rsid w:val="28795323"/>
    <w:rsid w:val="2879672F"/>
    <w:rsid w:val="28F02A98"/>
    <w:rsid w:val="28F14206"/>
    <w:rsid w:val="29206EB8"/>
    <w:rsid w:val="29595666"/>
    <w:rsid w:val="297A3ED9"/>
    <w:rsid w:val="29874881"/>
    <w:rsid w:val="298906F8"/>
    <w:rsid w:val="29B217CF"/>
    <w:rsid w:val="29B703CF"/>
    <w:rsid w:val="29CE6D9A"/>
    <w:rsid w:val="29DB7F66"/>
    <w:rsid w:val="29E325E0"/>
    <w:rsid w:val="29EA5F2C"/>
    <w:rsid w:val="2A452503"/>
    <w:rsid w:val="2A9036A3"/>
    <w:rsid w:val="2A926F01"/>
    <w:rsid w:val="2AAA155C"/>
    <w:rsid w:val="2AC1385C"/>
    <w:rsid w:val="2ACA6525"/>
    <w:rsid w:val="2ADA115E"/>
    <w:rsid w:val="2AFA50E7"/>
    <w:rsid w:val="2AFE060C"/>
    <w:rsid w:val="2B5D3F7C"/>
    <w:rsid w:val="2B6C2FB1"/>
    <w:rsid w:val="2B8A0985"/>
    <w:rsid w:val="2BA542C0"/>
    <w:rsid w:val="2BA936A8"/>
    <w:rsid w:val="2BB81905"/>
    <w:rsid w:val="2C315A5A"/>
    <w:rsid w:val="2C387E60"/>
    <w:rsid w:val="2C4B1C25"/>
    <w:rsid w:val="2C8F2F85"/>
    <w:rsid w:val="2C945297"/>
    <w:rsid w:val="2C987DB1"/>
    <w:rsid w:val="2CAD4098"/>
    <w:rsid w:val="2CAF74CA"/>
    <w:rsid w:val="2CB20E6D"/>
    <w:rsid w:val="2D220853"/>
    <w:rsid w:val="2D241E80"/>
    <w:rsid w:val="2D4F1345"/>
    <w:rsid w:val="2D5D5AE4"/>
    <w:rsid w:val="2D925870"/>
    <w:rsid w:val="2D9657C5"/>
    <w:rsid w:val="2D984953"/>
    <w:rsid w:val="2D9E56F5"/>
    <w:rsid w:val="2DA16371"/>
    <w:rsid w:val="2DB84264"/>
    <w:rsid w:val="2DFD3322"/>
    <w:rsid w:val="2DFD6959"/>
    <w:rsid w:val="2E1A4A6C"/>
    <w:rsid w:val="2E5F2CE0"/>
    <w:rsid w:val="2E667F96"/>
    <w:rsid w:val="2E6B420B"/>
    <w:rsid w:val="2E6C4C69"/>
    <w:rsid w:val="2E7C226E"/>
    <w:rsid w:val="2E8226AB"/>
    <w:rsid w:val="2E8E61AD"/>
    <w:rsid w:val="2E9C4566"/>
    <w:rsid w:val="2EB3170E"/>
    <w:rsid w:val="2EE12C5A"/>
    <w:rsid w:val="2F014E9E"/>
    <w:rsid w:val="2F662F6B"/>
    <w:rsid w:val="2F753D1B"/>
    <w:rsid w:val="2F9E06AA"/>
    <w:rsid w:val="2FD065E6"/>
    <w:rsid w:val="2FD96870"/>
    <w:rsid w:val="302E5C4B"/>
    <w:rsid w:val="30307393"/>
    <w:rsid w:val="3039066C"/>
    <w:rsid w:val="304A60A2"/>
    <w:rsid w:val="30544A56"/>
    <w:rsid w:val="30580BC9"/>
    <w:rsid w:val="30750CEC"/>
    <w:rsid w:val="309D08C8"/>
    <w:rsid w:val="30D33232"/>
    <w:rsid w:val="30D95414"/>
    <w:rsid w:val="311E2ED7"/>
    <w:rsid w:val="31204624"/>
    <w:rsid w:val="31365304"/>
    <w:rsid w:val="314A6E35"/>
    <w:rsid w:val="315619EE"/>
    <w:rsid w:val="315C449C"/>
    <w:rsid w:val="31633FBA"/>
    <w:rsid w:val="31731652"/>
    <w:rsid w:val="317F1A10"/>
    <w:rsid w:val="31B82709"/>
    <w:rsid w:val="31C36C8F"/>
    <w:rsid w:val="31C93785"/>
    <w:rsid w:val="31D05482"/>
    <w:rsid w:val="31E45544"/>
    <w:rsid w:val="320504D2"/>
    <w:rsid w:val="32400B34"/>
    <w:rsid w:val="326D07E7"/>
    <w:rsid w:val="329E6876"/>
    <w:rsid w:val="32C74681"/>
    <w:rsid w:val="33122EA7"/>
    <w:rsid w:val="3325613D"/>
    <w:rsid w:val="333015F2"/>
    <w:rsid w:val="334B6320"/>
    <w:rsid w:val="334D6771"/>
    <w:rsid w:val="335E44EC"/>
    <w:rsid w:val="335F5A1F"/>
    <w:rsid w:val="33664FA1"/>
    <w:rsid w:val="336851BD"/>
    <w:rsid w:val="33925B91"/>
    <w:rsid w:val="3394060B"/>
    <w:rsid w:val="33A33969"/>
    <w:rsid w:val="33D934D4"/>
    <w:rsid w:val="33FE2F6A"/>
    <w:rsid w:val="340B76B8"/>
    <w:rsid w:val="340E07E5"/>
    <w:rsid w:val="34235BF7"/>
    <w:rsid w:val="342619BC"/>
    <w:rsid w:val="34697178"/>
    <w:rsid w:val="349E522C"/>
    <w:rsid w:val="34B65C39"/>
    <w:rsid w:val="34D80C7F"/>
    <w:rsid w:val="350411D9"/>
    <w:rsid w:val="350C423F"/>
    <w:rsid w:val="35322552"/>
    <w:rsid w:val="35521215"/>
    <w:rsid w:val="355866B9"/>
    <w:rsid w:val="356937A4"/>
    <w:rsid w:val="357A52F5"/>
    <w:rsid w:val="358C5FA8"/>
    <w:rsid w:val="35AC5410"/>
    <w:rsid w:val="35C15DF1"/>
    <w:rsid w:val="35F31319"/>
    <w:rsid w:val="360271DA"/>
    <w:rsid w:val="360463E3"/>
    <w:rsid w:val="36074A7F"/>
    <w:rsid w:val="36184B7C"/>
    <w:rsid w:val="365105E6"/>
    <w:rsid w:val="3660360A"/>
    <w:rsid w:val="36923549"/>
    <w:rsid w:val="36B65F04"/>
    <w:rsid w:val="36B75FBF"/>
    <w:rsid w:val="36BD0C45"/>
    <w:rsid w:val="37017A71"/>
    <w:rsid w:val="370E4596"/>
    <w:rsid w:val="371B78DF"/>
    <w:rsid w:val="374D654E"/>
    <w:rsid w:val="3782618E"/>
    <w:rsid w:val="37E00298"/>
    <w:rsid w:val="381C77DA"/>
    <w:rsid w:val="38334870"/>
    <w:rsid w:val="38386413"/>
    <w:rsid w:val="38827B3C"/>
    <w:rsid w:val="389F3C6F"/>
    <w:rsid w:val="38B302F9"/>
    <w:rsid w:val="38B87553"/>
    <w:rsid w:val="38BF0F28"/>
    <w:rsid w:val="38CF7415"/>
    <w:rsid w:val="38F12CD3"/>
    <w:rsid w:val="38F372D7"/>
    <w:rsid w:val="38F94775"/>
    <w:rsid w:val="392971ED"/>
    <w:rsid w:val="39325651"/>
    <w:rsid w:val="395E1EC2"/>
    <w:rsid w:val="39BC268B"/>
    <w:rsid w:val="39C033CC"/>
    <w:rsid w:val="39DF6723"/>
    <w:rsid w:val="3A1A5E6F"/>
    <w:rsid w:val="3A64183E"/>
    <w:rsid w:val="3A872856"/>
    <w:rsid w:val="3AA03BB9"/>
    <w:rsid w:val="3AD357AF"/>
    <w:rsid w:val="3AE64A02"/>
    <w:rsid w:val="3AED5E7C"/>
    <w:rsid w:val="3AFE5F12"/>
    <w:rsid w:val="3B10605F"/>
    <w:rsid w:val="3B1861F6"/>
    <w:rsid w:val="3B1D0E7B"/>
    <w:rsid w:val="3B3763D1"/>
    <w:rsid w:val="3B42180B"/>
    <w:rsid w:val="3B4B7CFD"/>
    <w:rsid w:val="3B5B598A"/>
    <w:rsid w:val="3B871D8D"/>
    <w:rsid w:val="3BA24190"/>
    <w:rsid w:val="3BF03FA1"/>
    <w:rsid w:val="3BF97574"/>
    <w:rsid w:val="3C093205"/>
    <w:rsid w:val="3C2F6E1E"/>
    <w:rsid w:val="3C4F64BA"/>
    <w:rsid w:val="3C6727D5"/>
    <w:rsid w:val="3C6D4B49"/>
    <w:rsid w:val="3CA302B6"/>
    <w:rsid w:val="3CAE11CF"/>
    <w:rsid w:val="3CB44FCF"/>
    <w:rsid w:val="3CB576DA"/>
    <w:rsid w:val="3CDA245A"/>
    <w:rsid w:val="3CED5E62"/>
    <w:rsid w:val="3CFE2C12"/>
    <w:rsid w:val="3D1E06B7"/>
    <w:rsid w:val="3D3925F2"/>
    <w:rsid w:val="3DC5629B"/>
    <w:rsid w:val="3DD95C5B"/>
    <w:rsid w:val="3DE34FAD"/>
    <w:rsid w:val="3DF66D78"/>
    <w:rsid w:val="3DF842DD"/>
    <w:rsid w:val="3E026A7B"/>
    <w:rsid w:val="3E144ECB"/>
    <w:rsid w:val="3E3A013B"/>
    <w:rsid w:val="3E3E201E"/>
    <w:rsid w:val="3E4E2A46"/>
    <w:rsid w:val="3E6560E4"/>
    <w:rsid w:val="3EA90890"/>
    <w:rsid w:val="3EB40C8A"/>
    <w:rsid w:val="3EDA0523"/>
    <w:rsid w:val="3F042695"/>
    <w:rsid w:val="3F0D3AA8"/>
    <w:rsid w:val="3F49237A"/>
    <w:rsid w:val="3F4E6988"/>
    <w:rsid w:val="3F595253"/>
    <w:rsid w:val="3F8A7F0B"/>
    <w:rsid w:val="3F980303"/>
    <w:rsid w:val="3FBE7F13"/>
    <w:rsid w:val="40001413"/>
    <w:rsid w:val="4011711D"/>
    <w:rsid w:val="40325444"/>
    <w:rsid w:val="407A6407"/>
    <w:rsid w:val="407D51B2"/>
    <w:rsid w:val="40A45B10"/>
    <w:rsid w:val="40B92F71"/>
    <w:rsid w:val="40E21887"/>
    <w:rsid w:val="40F46F69"/>
    <w:rsid w:val="412B52CF"/>
    <w:rsid w:val="41854B97"/>
    <w:rsid w:val="41D803ED"/>
    <w:rsid w:val="41DA54D8"/>
    <w:rsid w:val="41E53E7C"/>
    <w:rsid w:val="41F37E89"/>
    <w:rsid w:val="4200449D"/>
    <w:rsid w:val="42116A20"/>
    <w:rsid w:val="42154762"/>
    <w:rsid w:val="42157286"/>
    <w:rsid w:val="42262C5B"/>
    <w:rsid w:val="4227116C"/>
    <w:rsid w:val="423A3BCC"/>
    <w:rsid w:val="424E57D2"/>
    <w:rsid w:val="42580E90"/>
    <w:rsid w:val="426D1C7C"/>
    <w:rsid w:val="42903DE8"/>
    <w:rsid w:val="429E155E"/>
    <w:rsid w:val="42A72EE0"/>
    <w:rsid w:val="42B26C49"/>
    <w:rsid w:val="42CA7E2C"/>
    <w:rsid w:val="42D40D22"/>
    <w:rsid w:val="42D63832"/>
    <w:rsid w:val="42E87CE6"/>
    <w:rsid w:val="431419BD"/>
    <w:rsid w:val="433A6FE6"/>
    <w:rsid w:val="43480868"/>
    <w:rsid w:val="4350713C"/>
    <w:rsid w:val="436653E0"/>
    <w:rsid w:val="43A83C7B"/>
    <w:rsid w:val="43C4431A"/>
    <w:rsid w:val="44130A96"/>
    <w:rsid w:val="44866606"/>
    <w:rsid w:val="449776B0"/>
    <w:rsid w:val="44B951CC"/>
    <w:rsid w:val="44C97E40"/>
    <w:rsid w:val="44CB5608"/>
    <w:rsid w:val="44CD14E0"/>
    <w:rsid w:val="44CE4220"/>
    <w:rsid w:val="44F20B0B"/>
    <w:rsid w:val="45146FC2"/>
    <w:rsid w:val="452E5F4C"/>
    <w:rsid w:val="455D33E8"/>
    <w:rsid w:val="45612018"/>
    <w:rsid w:val="45811822"/>
    <w:rsid w:val="458946E9"/>
    <w:rsid w:val="45A47C0E"/>
    <w:rsid w:val="45B90B81"/>
    <w:rsid w:val="45ED757A"/>
    <w:rsid w:val="46472607"/>
    <w:rsid w:val="46577FD6"/>
    <w:rsid w:val="465A21F0"/>
    <w:rsid w:val="46731A57"/>
    <w:rsid w:val="46737CA9"/>
    <w:rsid w:val="467C793E"/>
    <w:rsid w:val="46997E9F"/>
    <w:rsid w:val="469A5235"/>
    <w:rsid w:val="46AE0E07"/>
    <w:rsid w:val="46D955A7"/>
    <w:rsid w:val="47133957"/>
    <w:rsid w:val="47190B3A"/>
    <w:rsid w:val="47255961"/>
    <w:rsid w:val="47306EFC"/>
    <w:rsid w:val="4756333D"/>
    <w:rsid w:val="475B2A41"/>
    <w:rsid w:val="4765466F"/>
    <w:rsid w:val="47A07E0C"/>
    <w:rsid w:val="47CF42D1"/>
    <w:rsid w:val="47D14C87"/>
    <w:rsid w:val="480029CE"/>
    <w:rsid w:val="482065B3"/>
    <w:rsid w:val="4831503B"/>
    <w:rsid w:val="48486B1C"/>
    <w:rsid w:val="484F1C98"/>
    <w:rsid w:val="4870272E"/>
    <w:rsid w:val="48893D7D"/>
    <w:rsid w:val="488B68E0"/>
    <w:rsid w:val="48F57760"/>
    <w:rsid w:val="4919013F"/>
    <w:rsid w:val="49286EE2"/>
    <w:rsid w:val="494F49B8"/>
    <w:rsid w:val="495F2991"/>
    <w:rsid w:val="498D2709"/>
    <w:rsid w:val="49A71E97"/>
    <w:rsid w:val="49AF7A52"/>
    <w:rsid w:val="49B9359C"/>
    <w:rsid w:val="49DC7715"/>
    <w:rsid w:val="49E04D5D"/>
    <w:rsid w:val="49E54986"/>
    <w:rsid w:val="4A023139"/>
    <w:rsid w:val="4A4C079B"/>
    <w:rsid w:val="4A703CC0"/>
    <w:rsid w:val="4A723167"/>
    <w:rsid w:val="4A770888"/>
    <w:rsid w:val="4A7B576F"/>
    <w:rsid w:val="4AA4338C"/>
    <w:rsid w:val="4AAB12AF"/>
    <w:rsid w:val="4AC05DF2"/>
    <w:rsid w:val="4ACF1226"/>
    <w:rsid w:val="4AEE7C05"/>
    <w:rsid w:val="4AF561A9"/>
    <w:rsid w:val="4AF968C3"/>
    <w:rsid w:val="4B1062C6"/>
    <w:rsid w:val="4B127D99"/>
    <w:rsid w:val="4B1B4647"/>
    <w:rsid w:val="4B5E2B61"/>
    <w:rsid w:val="4B62575E"/>
    <w:rsid w:val="4B645E12"/>
    <w:rsid w:val="4B976C73"/>
    <w:rsid w:val="4B9F1D7F"/>
    <w:rsid w:val="4C082C41"/>
    <w:rsid w:val="4C4A0649"/>
    <w:rsid w:val="4C781A7F"/>
    <w:rsid w:val="4C7E5ECA"/>
    <w:rsid w:val="4C876AA5"/>
    <w:rsid w:val="4CE03BAB"/>
    <w:rsid w:val="4CEC66B6"/>
    <w:rsid w:val="4D08643E"/>
    <w:rsid w:val="4D0E00FB"/>
    <w:rsid w:val="4D106C40"/>
    <w:rsid w:val="4D176606"/>
    <w:rsid w:val="4D230AE0"/>
    <w:rsid w:val="4D391625"/>
    <w:rsid w:val="4D6245D3"/>
    <w:rsid w:val="4DEC4FB0"/>
    <w:rsid w:val="4E075D8A"/>
    <w:rsid w:val="4E110156"/>
    <w:rsid w:val="4E14095C"/>
    <w:rsid w:val="4E7A36C9"/>
    <w:rsid w:val="4E9E163B"/>
    <w:rsid w:val="4EC00FAD"/>
    <w:rsid w:val="4ECF7A46"/>
    <w:rsid w:val="4EE02A60"/>
    <w:rsid w:val="4EE334F2"/>
    <w:rsid w:val="4EF760CE"/>
    <w:rsid w:val="4EFF3AAF"/>
    <w:rsid w:val="4F652159"/>
    <w:rsid w:val="4F8151E4"/>
    <w:rsid w:val="4F970138"/>
    <w:rsid w:val="4F9843DC"/>
    <w:rsid w:val="4FB938AD"/>
    <w:rsid w:val="4FC62A8C"/>
    <w:rsid w:val="4FD06A1D"/>
    <w:rsid w:val="4FE20F0D"/>
    <w:rsid w:val="4FE51552"/>
    <w:rsid w:val="4FF9636C"/>
    <w:rsid w:val="50022746"/>
    <w:rsid w:val="50331784"/>
    <w:rsid w:val="503C65DF"/>
    <w:rsid w:val="50504C4B"/>
    <w:rsid w:val="507D3B2E"/>
    <w:rsid w:val="5086682B"/>
    <w:rsid w:val="50932288"/>
    <w:rsid w:val="509C6E7C"/>
    <w:rsid w:val="50C8082B"/>
    <w:rsid w:val="50E2776F"/>
    <w:rsid w:val="513D64BF"/>
    <w:rsid w:val="5162104E"/>
    <w:rsid w:val="51626474"/>
    <w:rsid w:val="516760CA"/>
    <w:rsid w:val="516D24F1"/>
    <w:rsid w:val="51725CF0"/>
    <w:rsid w:val="51827841"/>
    <w:rsid w:val="519A0C31"/>
    <w:rsid w:val="51BE117B"/>
    <w:rsid w:val="51C67B1E"/>
    <w:rsid w:val="51CD2963"/>
    <w:rsid w:val="51F45E97"/>
    <w:rsid w:val="52156AEA"/>
    <w:rsid w:val="52206EBC"/>
    <w:rsid w:val="52253F45"/>
    <w:rsid w:val="525E7DAE"/>
    <w:rsid w:val="52765B96"/>
    <w:rsid w:val="5283262F"/>
    <w:rsid w:val="52953EDE"/>
    <w:rsid w:val="52CA773E"/>
    <w:rsid w:val="52E74736"/>
    <w:rsid w:val="52EE58B9"/>
    <w:rsid w:val="530A189D"/>
    <w:rsid w:val="5352494F"/>
    <w:rsid w:val="53791C66"/>
    <w:rsid w:val="539F2CF4"/>
    <w:rsid w:val="53A039CC"/>
    <w:rsid w:val="53A1505A"/>
    <w:rsid w:val="53B06DB5"/>
    <w:rsid w:val="53D04E0C"/>
    <w:rsid w:val="53D870C9"/>
    <w:rsid w:val="53F65640"/>
    <w:rsid w:val="54063E08"/>
    <w:rsid w:val="541648CE"/>
    <w:rsid w:val="54180096"/>
    <w:rsid w:val="543437E8"/>
    <w:rsid w:val="543547EF"/>
    <w:rsid w:val="544F62C7"/>
    <w:rsid w:val="548A4C91"/>
    <w:rsid w:val="548E73BC"/>
    <w:rsid w:val="54E32427"/>
    <w:rsid w:val="54F73313"/>
    <w:rsid w:val="54F80955"/>
    <w:rsid w:val="55100217"/>
    <w:rsid w:val="554C144A"/>
    <w:rsid w:val="555170A7"/>
    <w:rsid w:val="55544E7D"/>
    <w:rsid w:val="55572DBD"/>
    <w:rsid w:val="555C4B46"/>
    <w:rsid w:val="557E12F1"/>
    <w:rsid w:val="558037ED"/>
    <w:rsid w:val="5587536D"/>
    <w:rsid w:val="55927BF4"/>
    <w:rsid w:val="559B174B"/>
    <w:rsid w:val="55B6493C"/>
    <w:rsid w:val="55B703A3"/>
    <w:rsid w:val="55CE0CF4"/>
    <w:rsid w:val="55DF4C40"/>
    <w:rsid w:val="561118F0"/>
    <w:rsid w:val="56215401"/>
    <w:rsid w:val="562A125A"/>
    <w:rsid w:val="563D0287"/>
    <w:rsid w:val="56435691"/>
    <w:rsid w:val="564E08D4"/>
    <w:rsid w:val="56B22127"/>
    <w:rsid w:val="56B22A9C"/>
    <w:rsid w:val="56D4741F"/>
    <w:rsid w:val="56DA2328"/>
    <w:rsid w:val="571F27EF"/>
    <w:rsid w:val="577B3044"/>
    <w:rsid w:val="57A4509A"/>
    <w:rsid w:val="57B72A76"/>
    <w:rsid w:val="57C3426C"/>
    <w:rsid w:val="57CE1F93"/>
    <w:rsid w:val="57DB5E06"/>
    <w:rsid w:val="57F51971"/>
    <w:rsid w:val="58051AFB"/>
    <w:rsid w:val="582C095E"/>
    <w:rsid w:val="582E108C"/>
    <w:rsid w:val="585F43F9"/>
    <w:rsid w:val="588743D1"/>
    <w:rsid w:val="5887701A"/>
    <w:rsid w:val="589449B7"/>
    <w:rsid w:val="58953AAF"/>
    <w:rsid w:val="58D77C23"/>
    <w:rsid w:val="58E25576"/>
    <w:rsid w:val="58EB05FD"/>
    <w:rsid w:val="58F478EF"/>
    <w:rsid w:val="59492D02"/>
    <w:rsid w:val="595B13AE"/>
    <w:rsid w:val="598D30EA"/>
    <w:rsid w:val="59C0439F"/>
    <w:rsid w:val="59D5764F"/>
    <w:rsid w:val="5A0D5F30"/>
    <w:rsid w:val="5A151E24"/>
    <w:rsid w:val="5A1B2D58"/>
    <w:rsid w:val="5A364E1D"/>
    <w:rsid w:val="5A4A2CDD"/>
    <w:rsid w:val="5A4C610A"/>
    <w:rsid w:val="5A561D3F"/>
    <w:rsid w:val="5A776714"/>
    <w:rsid w:val="5A8C3B90"/>
    <w:rsid w:val="5A911569"/>
    <w:rsid w:val="5AA2601A"/>
    <w:rsid w:val="5ABE2233"/>
    <w:rsid w:val="5AC62345"/>
    <w:rsid w:val="5AC72CEE"/>
    <w:rsid w:val="5ADD225D"/>
    <w:rsid w:val="5AE42ACB"/>
    <w:rsid w:val="5B0A0784"/>
    <w:rsid w:val="5B0F7567"/>
    <w:rsid w:val="5B207809"/>
    <w:rsid w:val="5B3F5A4E"/>
    <w:rsid w:val="5B830FDE"/>
    <w:rsid w:val="5B850341"/>
    <w:rsid w:val="5B940C18"/>
    <w:rsid w:val="5BA120E2"/>
    <w:rsid w:val="5BA36841"/>
    <w:rsid w:val="5BB26726"/>
    <w:rsid w:val="5BB32C0F"/>
    <w:rsid w:val="5BDE6F59"/>
    <w:rsid w:val="5BDF5D95"/>
    <w:rsid w:val="5BF4283B"/>
    <w:rsid w:val="5BFD4E80"/>
    <w:rsid w:val="5BFE7528"/>
    <w:rsid w:val="5C314689"/>
    <w:rsid w:val="5C36449D"/>
    <w:rsid w:val="5C463815"/>
    <w:rsid w:val="5C5108B3"/>
    <w:rsid w:val="5C602CB5"/>
    <w:rsid w:val="5C613A56"/>
    <w:rsid w:val="5C6E7F81"/>
    <w:rsid w:val="5C897058"/>
    <w:rsid w:val="5C9629E2"/>
    <w:rsid w:val="5C9B5C38"/>
    <w:rsid w:val="5CBE4D9B"/>
    <w:rsid w:val="5CD37878"/>
    <w:rsid w:val="5CEC74DE"/>
    <w:rsid w:val="5D5702B3"/>
    <w:rsid w:val="5D652E89"/>
    <w:rsid w:val="5D7E091D"/>
    <w:rsid w:val="5D813889"/>
    <w:rsid w:val="5DD22853"/>
    <w:rsid w:val="5E2467F1"/>
    <w:rsid w:val="5E426DD1"/>
    <w:rsid w:val="5E4329AF"/>
    <w:rsid w:val="5E551224"/>
    <w:rsid w:val="5E556380"/>
    <w:rsid w:val="5E810FAD"/>
    <w:rsid w:val="5EC716ED"/>
    <w:rsid w:val="5ED510A9"/>
    <w:rsid w:val="5ED96276"/>
    <w:rsid w:val="5EFC0977"/>
    <w:rsid w:val="5F0B7476"/>
    <w:rsid w:val="5F1A2B43"/>
    <w:rsid w:val="5F1A462F"/>
    <w:rsid w:val="5F486A0E"/>
    <w:rsid w:val="5F5C0DC2"/>
    <w:rsid w:val="5F7A7AC4"/>
    <w:rsid w:val="5F882AB1"/>
    <w:rsid w:val="5FB837BB"/>
    <w:rsid w:val="5FBE0AB2"/>
    <w:rsid w:val="5FC1264B"/>
    <w:rsid w:val="5FD96EE4"/>
    <w:rsid w:val="5FE1243E"/>
    <w:rsid w:val="600E4D66"/>
    <w:rsid w:val="604C7149"/>
    <w:rsid w:val="60544C2E"/>
    <w:rsid w:val="607105C1"/>
    <w:rsid w:val="608D5FEE"/>
    <w:rsid w:val="60CC405A"/>
    <w:rsid w:val="60FC3330"/>
    <w:rsid w:val="612373F6"/>
    <w:rsid w:val="61436035"/>
    <w:rsid w:val="61585145"/>
    <w:rsid w:val="619E1664"/>
    <w:rsid w:val="61A04177"/>
    <w:rsid w:val="61A04C3D"/>
    <w:rsid w:val="61BC02FE"/>
    <w:rsid w:val="61C069A6"/>
    <w:rsid w:val="61C3355C"/>
    <w:rsid w:val="61D932AC"/>
    <w:rsid w:val="61E215D8"/>
    <w:rsid w:val="61ED465E"/>
    <w:rsid w:val="621B3775"/>
    <w:rsid w:val="62364782"/>
    <w:rsid w:val="62537FC6"/>
    <w:rsid w:val="629C17D8"/>
    <w:rsid w:val="62A14C1F"/>
    <w:rsid w:val="62B45C12"/>
    <w:rsid w:val="62BB17F5"/>
    <w:rsid w:val="62EA0B16"/>
    <w:rsid w:val="63164528"/>
    <w:rsid w:val="63343633"/>
    <w:rsid w:val="633B31FE"/>
    <w:rsid w:val="63403EC4"/>
    <w:rsid w:val="6394356A"/>
    <w:rsid w:val="63A87C9F"/>
    <w:rsid w:val="63C61B2C"/>
    <w:rsid w:val="63D40BE9"/>
    <w:rsid w:val="63EA73A4"/>
    <w:rsid w:val="640D3E11"/>
    <w:rsid w:val="64102431"/>
    <w:rsid w:val="64145B6A"/>
    <w:rsid w:val="641F641E"/>
    <w:rsid w:val="64204496"/>
    <w:rsid w:val="643358C4"/>
    <w:rsid w:val="64507A64"/>
    <w:rsid w:val="6497069B"/>
    <w:rsid w:val="649E4FF6"/>
    <w:rsid w:val="64A44745"/>
    <w:rsid w:val="64A5243A"/>
    <w:rsid w:val="64A67482"/>
    <w:rsid w:val="64F531DE"/>
    <w:rsid w:val="64F765B7"/>
    <w:rsid w:val="652D3B02"/>
    <w:rsid w:val="653319F2"/>
    <w:rsid w:val="65373578"/>
    <w:rsid w:val="653D7F10"/>
    <w:rsid w:val="6549746A"/>
    <w:rsid w:val="6582360D"/>
    <w:rsid w:val="658A44C5"/>
    <w:rsid w:val="659554F0"/>
    <w:rsid w:val="65BD63F3"/>
    <w:rsid w:val="6623249E"/>
    <w:rsid w:val="66263F98"/>
    <w:rsid w:val="66587766"/>
    <w:rsid w:val="66670C8E"/>
    <w:rsid w:val="66714604"/>
    <w:rsid w:val="66C353F2"/>
    <w:rsid w:val="670A38BA"/>
    <w:rsid w:val="671604B0"/>
    <w:rsid w:val="671F124A"/>
    <w:rsid w:val="67553F18"/>
    <w:rsid w:val="677A33C6"/>
    <w:rsid w:val="678217E4"/>
    <w:rsid w:val="6790164C"/>
    <w:rsid w:val="67D00472"/>
    <w:rsid w:val="67DD4DDC"/>
    <w:rsid w:val="681F6961"/>
    <w:rsid w:val="684742F3"/>
    <w:rsid w:val="68610A2F"/>
    <w:rsid w:val="68805514"/>
    <w:rsid w:val="68DC1286"/>
    <w:rsid w:val="68F32D76"/>
    <w:rsid w:val="68FE5094"/>
    <w:rsid w:val="69161888"/>
    <w:rsid w:val="69316E2F"/>
    <w:rsid w:val="694E2071"/>
    <w:rsid w:val="695D7716"/>
    <w:rsid w:val="695E7F19"/>
    <w:rsid w:val="69762C7C"/>
    <w:rsid w:val="69766163"/>
    <w:rsid w:val="697A3B33"/>
    <w:rsid w:val="699F3DD1"/>
    <w:rsid w:val="69AF0748"/>
    <w:rsid w:val="69BB5960"/>
    <w:rsid w:val="69D44760"/>
    <w:rsid w:val="6A074B9F"/>
    <w:rsid w:val="6A17472B"/>
    <w:rsid w:val="6A520EC7"/>
    <w:rsid w:val="6A6956A9"/>
    <w:rsid w:val="6AB04B01"/>
    <w:rsid w:val="6AB46A51"/>
    <w:rsid w:val="6AC45F98"/>
    <w:rsid w:val="6ADD5482"/>
    <w:rsid w:val="6AEE61C9"/>
    <w:rsid w:val="6AF87E20"/>
    <w:rsid w:val="6B0D324D"/>
    <w:rsid w:val="6B2215FA"/>
    <w:rsid w:val="6B322639"/>
    <w:rsid w:val="6B5504E2"/>
    <w:rsid w:val="6B5E5F82"/>
    <w:rsid w:val="6B6F63E1"/>
    <w:rsid w:val="6BA01D5F"/>
    <w:rsid w:val="6BA64240"/>
    <w:rsid w:val="6BC47E0A"/>
    <w:rsid w:val="6BD46B1B"/>
    <w:rsid w:val="6C0554B5"/>
    <w:rsid w:val="6C502B9C"/>
    <w:rsid w:val="6C636C38"/>
    <w:rsid w:val="6C7B2883"/>
    <w:rsid w:val="6C7C6288"/>
    <w:rsid w:val="6CB33807"/>
    <w:rsid w:val="6CB51B57"/>
    <w:rsid w:val="6CBB1967"/>
    <w:rsid w:val="6CE56A7D"/>
    <w:rsid w:val="6CEF69FE"/>
    <w:rsid w:val="6D2A5254"/>
    <w:rsid w:val="6D4473FA"/>
    <w:rsid w:val="6D531191"/>
    <w:rsid w:val="6D762625"/>
    <w:rsid w:val="6D8C51BC"/>
    <w:rsid w:val="6D901F2E"/>
    <w:rsid w:val="6D932D29"/>
    <w:rsid w:val="6DB34098"/>
    <w:rsid w:val="6DB545B6"/>
    <w:rsid w:val="6DE02FB4"/>
    <w:rsid w:val="6DE42A87"/>
    <w:rsid w:val="6DE54372"/>
    <w:rsid w:val="6E3B6E44"/>
    <w:rsid w:val="6E514CED"/>
    <w:rsid w:val="6EB563D5"/>
    <w:rsid w:val="6ED92677"/>
    <w:rsid w:val="6F094457"/>
    <w:rsid w:val="6F155D42"/>
    <w:rsid w:val="6F1E5799"/>
    <w:rsid w:val="6F225983"/>
    <w:rsid w:val="6F346C31"/>
    <w:rsid w:val="6F8A20C7"/>
    <w:rsid w:val="6FB407ED"/>
    <w:rsid w:val="6FC571BE"/>
    <w:rsid w:val="6FDF70C2"/>
    <w:rsid w:val="6FF43359"/>
    <w:rsid w:val="6FFC5590"/>
    <w:rsid w:val="702D75DE"/>
    <w:rsid w:val="70381498"/>
    <w:rsid w:val="70400196"/>
    <w:rsid w:val="70476FB4"/>
    <w:rsid w:val="705A615D"/>
    <w:rsid w:val="70666098"/>
    <w:rsid w:val="706D1DD0"/>
    <w:rsid w:val="70826F57"/>
    <w:rsid w:val="70856B87"/>
    <w:rsid w:val="70AF7F0C"/>
    <w:rsid w:val="70D0673D"/>
    <w:rsid w:val="70D527EE"/>
    <w:rsid w:val="70F535E6"/>
    <w:rsid w:val="71001640"/>
    <w:rsid w:val="710A49AD"/>
    <w:rsid w:val="715B5300"/>
    <w:rsid w:val="71973F9C"/>
    <w:rsid w:val="71D26ADE"/>
    <w:rsid w:val="71D27F8A"/>
    <w:rsid w:val="71E4082E"/>
    <w:rsid w:val="71F5662D"/>
    <w:rsid w:val="723A6C5E"/>
    <w:rsid w:val="724014F1"/>
    <w:rsid w:val="72446227"/>
    <w:rsid w:val="724E3012"/>
    <w:rsid w:val="72533059"/>
    <w:rsid w:val="72553024"/>
    <w:rsid w:val="72BA375D"/>
    <w:rsid w:val="72DC2192"/>
    <w:rsid w:val="73122968"/>
    <w:rsid w:val="731F5D5E"/>
    <w:rsid w:val="732A43E9"/>
    <w:rsid w:val="732E4B8C"/>
    <w:rsid w:val="73667EFE"/>
    <w:rsid w:val="73685786"/>
    <w:rsid w:val="736B20C1"/>
    <w:rsid w:val="737020DE"/>
    <w:rsid w:val="73720B98"/>
    <w:rsid w:val="73AC61F1"/>
    <w:rsid w:val="73C51AD5"/>
    <w:rsid w:val="73DE4A8D"/>
    <w:rsid w:val="73E0759B"/>
    <w:rsid w:val="73FA488D"/>
    <w:rsid w:val="74086CFF"/>
    <w:rsid w:val="741A327D"/>
    <w:rsid w:val="741E793C"/>
    <w:rsid w:val="744F5174"/>
    <w:rsid w:val="74512B28"/>
    <w:rsid w:val="745E3944"/>
    <w:rsid w:val="746A72E3"/>
    <w:rsid w:val="747E6DD2"/>
    <w:rsid w:val="749B2C16"/>
    <w:rsid w:val="74BA06CD"/>
    <w:rsid w:val="74D2082E"/>
    <w:rsid w:val="74E40330"/>
    <w:rsid w:val="755D1092"/>
    <w:rsid w:val="75616D9B"/>
    <w:rsid w:val="75E63744"/>
    <w:rsid w:val="75F61D2B"/>
    <w:rsid w:val="7631219F"/>
    <w:rsid w:val="76342701"/>
    <w:rsid w:val="7635099D"/>
    <w:rsid w:val="76414B86"/>
    <w:rsid w:val="764D4EA7"/>
    <w:rsid w:val="766B03C4"/>
    <w:rsid w:val="76C85441"/>
    <w:rsid w:val="77256D30"/>
    <w:rsid w:val="77762421"/>
    <w:rsid w:val="77864D9F"/>
    <w:rsid w:val="77B56B1F"/>
    <w:rsid w:val="77B632C9"/>
    <w:rsid w:val="77BA09E4"/>
    <w:rsid w:val="77BB3F30"/>
    <w:rsid w:val="77F4269E"/>
    <w:rsid w:val="77F57C6E"/>
    <w:rsid w:val="780F09F4"/>
    <w:rsid w:val="782B3690"/>
    <w:rsid w:val="78342545"/>
    <w:rsid w:val="78474A20"/>
    <w:rsid w:val="786033AE"/>
    <w:rsid w:val="78A05DDC"/>
    <w:rsid w:val="78A90480"/>
    <w:rsid w:val="78B223BE"/>
    <w:rsid w:val="791E4FA3"/>
    <w:rsid w:val="793B3DA7"/>
    <w:rsid w:val="793F5200"/>
    <w:rsid w:val="794049E4"/>
    <w:rsid w:val="79782385"/>
    <w:rsid w:val="79891A1F"/>
    <w:rsid w:val="79943B71"/>
    <w:rsid w:val="7A03546E"/>
    <w:rsid w:val="7A1113AD"/>
    <w:rsid w:val="7A1E0C67"/>
    <w:rsid w:val="7A213B89"/>
    <w:rsid w:val="7A364017"/>
    <w:rsid w:val="7A383BDB"/>
    <w:rsid w:val="7A521144"/>
    <w:rsid w:val="7A523156"/>
    <w:rsid w:val="7A7903F9"/>
    <w:rsid w:val="7A8265E1"/>
    <w:rsid w:val="7AA11249"/>
    <w:rsid w:val="7AA53BCD"/>
    <w:rsid w:val="7AB556D2"/>
    <w:rsid w:val="7ACC2F08"/>
    <w:rsid w:val="7B09415C"/>
    <w:rsid w:val="7B1309E5"/>
    <w:rsid w:val="7B244A56"/>
    <w:rsid w:val="7B382024"/>
    <w:rsid w:val="7B686D42"/>
    <w:rsid w:val="7B811A36"/>
    <w:rsid w:val="7B841746"/>
    <w:rsid w:val="7BC32882"/>
    <w:rsid w:val="7BC736D0"/>
    <w:rsid w:val="7BD54DD3"/>
    <w:rsid w:val="7BE3689C"/>
    <w:rsid w:val="7C021EA6"/>
    <w:rsid w:val="7C2E46B7"/>
    <w:rsid w:val="7C6C5AC7"/>
    <w:rsid w:val="7C752D98"/>
    <w:rsid w:val="7C757C7D"/>
    <w:rsid w:val="7CAA54CB"/>
    <w:rsid w:val="7CC6544B"/>
    <w:rsid w:val="7CF01A88"/>
    <w:rsid w:val="7D0239FF"/>
    <w:rsid w:val="7D30449B"/>
    <w:rsid w:val="7D3F179E"/>
    <w:rsid w:val="7D443449"/>
    <w:rsid w:val="7D5E40CD"/>
    <w:rsid w:val="7D967F99"/>
    <w:rsid w:val="7DCD56F2"/>
    <w:rsid w:val="7DCE69B8"/>
    <w:rsid w:val="7DD408E5"/>
    <w:rsid w:val="7DDF75F2"/>
    <w:rsid w:val="7E176753"/>
    <w:rsid w:val="7E285CB9"/>
    <w:rsid w:val="7E5D284B"/>
    <w:rsid w:val="7E825F91"/>
    <w:rsid w:val="7E841CD2"/>
    <w:rsid w:val="7E91588D"/>
    <w:rsid w:val="7EB04953"/>
    <w:rsid w:val="7ECB34D7"/>
    <w:rsid w:val="7EEE03D0"/>
    <w:rsid w:val="7F001CE7"/>
    <w:rsid w:val="7F055666"/>
    <w:rsid w:val="7F4A2A3B"/>
    <w:rsid w:val="7FE067C2"/>
    <w:rsid w:val="7FE47E50"/>
    <w:rsid w:val="7FE508AA"/>
    <w:rsid w:val="7FFA4C26"/>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EmbedSmartTag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iPriority="0" w:semiHidden="0" w:name="heading 3" w:locked="1"/>
    <w:lsdException w:qFormat="1" w:unhideWhenUsed="0" w:uiPriority="0" w:semiHidden="0" w:name="heading 4" w:locked="1"/>
    <w:lsdException w:qFormat="1" w:uiPriority="0" w:semiHidden="0" w:name="heading 5" w:locked="1"/>
    <w:lsdException w:qFormat="1" w:uiPriority="0" w:name="heading 6" w:locked="1"/>
    <w:lsdException w:qFormat="1" w:uiPriority="0" w:name="heading 7" w:locked="1"/>
    <w:lsdException w:qFormat="1" w:unhideWhenUsed="0" w:uiPriority="0" w:semiHidden="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iPriority="39"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35"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qFormat="1"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qFormat="1" w:unhideWhenUsed="0" w:uiPriority="0" w:semiHidden="0" w:name="Message Header" w:locked="1"/>
    <w:lsdException w:qFormat="1" w:unhideWhenUsed="0" w:uiPriority="0" w:semiHidden="0" w:name="Subtitle" w:locked="1"/>
    <w:lsdException w:qFormat="1"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qFormat="1"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99" w:semiHidden="0" w:name="Plain Text" w:locked="1"/>
    <w:lsdException w:unhideWhenUsed="0" w:uiPriority="0" w:semiHidden="0" w:name="E-mail Signature" w:locked="1"/>
    <w:lsdException w:qFormat="1" w:unhideWhenUsed="0" w:uiPriority="0" w:semiHidden="0" w:name="Normal (Web)"/>
    <w:lsdException w:qFormat="1" w:unhideWhenUsed="0" w:uiPriority="0" w:semiHidden="0" w:name="HTML Acronym" w:locked="1"/>
    <w:lsdException w:unhideWhenUsed="0" w:uiPriority="0" w:semiHidden="0" w:name="HTML Address" w:locked="1"/>
    <w:lsdException w:qFormat="1" w:unhideWhenUsed="0" w:uiPriority="0" w:semiHidden="0" w:name="HTML Cite" w:locked="1"/>
    <w:lsdException w:qFormat="1" w:unhideWhenUsed="0" w:uiPriority="0" w:semiHidden="0" w:name="HTML Code" w:locked="1"/>
    <w:lsdException w:qFormat="1"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qFormat="1"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2"/>
    <w:next w:val="1"/>
    <w:qFormat/>
    <w:locked/>
    <w:uiPriority w:val="0"/>
    <w:pPr>
      <w:keepNext/>
      <w:keepLines/>
      <w:spacing w:beforeLines="0" w:beforeAutospacing="0" w:afterLines="0" w:afterAutospacing="0" w:line="360" w:lineRule="auto"/>
      <w:ind w:firstLine="0" w:firstLineChars="0"/>
      <w:jc w:val="left"/>
      <w:outlineLvl w:val="1"/>
    </w:pPr>
    <w:rPr>
      <w:rFonts w:ascii="Arial" w:hAnsi="Arial" w:eastAsia="宋体"/>
      <w:sz w:val="24"/>
    </w:rPr>
  </w:style>
  <w:style w:type="paragraph" w:styleId="4">
    <w:name w:val="heading 3"/>
    <w:basedOn w:val="1"/>
    <w:next w:val="1"/>
    <w:unhideWhenUsed/>
    <w:qFormat/>
    <w:locked/>
    <w:uiPriority w:val="0"/>
    <w:pPr>
      <w:spacing w:before="100" w:beforeAutospacing="1" w:after="100" w:afterAutospacing="1"/>
      <w:jc w:val="left"/>
      <w:outlineLvl w:val="2"/>
    </w:pPr>
    <w:rPr>
      <w:rFonts w:hint="eastAsia" w:ascii="宋体" w:hAnsi="宋体" w:eastAsia="宋体" w:cs="宋体"/>
      <w:b/>
      <w:bCs/>
      <w:kern w:val="0"/>
      <w:sz w:val="27"/>
      <w:szCs w:val="27"/>
      <w:lang w:val="en-US" w:eastAsia="zh-CN" w:bidi="ar"/>
    </w:rPr>
  </w:style>
  <w:style w:type="paragraph" w:styleId="5">
    <w:name w:val="heading 4"/>
    <w:basedOn w:val="1"/>
    <w:next w:val="1"/>
    <w:qFormat/>
    <w:locked/>
    <w:uiPriority w:val="0"/>
    <w:pPr>
      <w:keepNext/>
      <w:keepLines/>
      <w:spacing w:before="280" w:after="290" w:line="376" w:lineRule="auto"/>
      <w:outlineLvl w:val="3"/>
    </w:pPr>
    <w:rPr>
      <w:rFonts w:ascii="Arial" w:hAnsi="Arial" w:eastAsia="黑体"/>
      <w:b/>
      <w:bCs/>
      <w:sz w:val="28"/>
      <w:szCs w:val="28"/>
    </w:rPr>
  </w:style>
  <w:style w:type="paragraph" w:styleId="6">
    <w:name w:val="heading 5"/>
    <w:basedOn w:val="1"/>
    <w:next w:val="1"/>
    <w:unhideWhenUsed/>
    <w:qFormat/>
    <w:locked/>
    <w:uiPriority w:val="0"/>
    <w:pPr>
      <w:keepNext/>
      <w:keepLines/>
      <w:spacing w:beforeLines="0" w:beforeAutospacing="0" w:afterLines="0" w:afterAutospacing="0" w:line="360" w:lineRule="auto"/>
      <w:ind w:firstLine="600" w:firstLineChars="200"/>
      <w:outlineLvl w:val="4"/>
    </w:pPr>
    <w:rPr>
      <w:rFonts w:ascii="Times New Roman" w:hAnsi="Times New Roman" w:eastAsia="宋体"/>
    </w:rPr>
  </w:style>
  <w:style w:type="paragraph" w:styleId="7">
    <w:name w:val="heading 8"/>
    <w:basedOn w:val="1"/>
    <w:next w:val="1"/>
    <w:qFormat/>
    <w:locked/>
    <w:uiPriority w:val="0"/>
    <w:pPr>
      <w:keepNext/>
      <w:keepLines/>
      <w:tabs>
        <w:tab w:val="left" w:pos="1440"/>
      </w:tabs>
      <w:spacing w:before="50" w:beforeLines="50" w:line="240" w:lineRule="auto"/>
      <w:ind w:left="0" w:firstLine="0" w:firstLineChars="0"/>
      <w:jc w:val="center"/>
      <w:outlineLvl w:val="7"/>
    </w:pPr>
    <w:rPr>
      <w:rFonts w:ascii="Times New Roman" w:hAnsi="Times New Roman"/>
      <w:b/>
      <w:kern w:val="0"/>
      <w:sz w:val="24"/>
      <w:szCs w:val="20"/>
    </w:rPr>
  </w:style>
  <w:style w:type="character" w:default="1" w:styleId="35">
    <w:name w:val="Default Paragraph Font"/>
    <w:semiHidden/>
    <w:qFormat/>
    <w:uiPriority w:val="0"/>
  </w:style>
  <w:style w:type="table" w:default="1" w:styleId="33">
    <w:name w:val="Normal Table"/>
    <w:semiHidden/>
    <w:qFormat/>
    <w:uiPriority w:val="0"/>
    <w:tblPr>
      <w:tblCellMar>
        <w:top w:w="0" w:type="dxa"/>
        <w:left w:w="108" w:type="dxa"/>
        <w:bottom w:w="0" w:type="dxa"/>
        <w:right w:w="108" w:type="dxa"/>
      </w:tblCellMar>
    </w:tblPr>
  </w:style>
  <w:style w:type="paragraph" w:styleId="8">
    <w:name w:val="Normal Indent"/>
    <w:basedOn w:val="1"/>
    <w:next w:val="9"/>
    <w:qFormat/>
    <w:locked/>
    <w:uiPriority w:val="0"/>
    <w:pPr>
      <w:ind w:firstLine="420" w:firstLineChars="200"/>
    </w:pPr>
    <w:rPr>
      <w:rFonts w:eastAsia="仿宋_GB2312"/>
      <w:bCs/>
      <w:sz w:val="32"/>
      <w:szCs w:val="20"/>
    </w:rPr>
  </w:style>
  <w:style w:type="paragraph" w:styleId="9">
    <w:name w:val="Body Text Indent"/>
    <w:basedOn w:val="1"/>
    <w:next w:val="10"/>
    <w:link w:val="59"/>
    <w:qFormat/>
    <w:uiPriority w:val="0"/>
    <w:pPr>
      <w:spacing w:after="120"/>
      <w:ind w:left="420" w:leftChars="200"/>
    </w:pPr>
    <w:rPr>
      <w:kern w:val="0"/>
      <w:sz w:val="24"/>
      <w:szCs w:val="20"/>
    </w:rPr>
  </w:style>
  <w:style w:type="paragraph" w:customStyle="1" w:styleId="10">
    <w:name w:val="样式 正文文本缩进 + 行距: 1.5 倍行距"/>
    <w:basedOn w:val="11"/>
    <w:next w:val="1"/>
    <w:qFormat/>
    <w:uiPriority w:val="0"/>
    <w:pPr>
      <w:spacing w:after="120" w:line="360" w:lineRule="auto"/>
      <w:ind w:left="90" w:leftChars="32" w:firstLine="560" w:firstLineChars="200"/>
    </w:pPr>
    <w:rPr>
      <w:rFonts w:cs="宋体"/>
    </w:rPr>
  </w:style>
  <w:style w:type="paragraph" w:customStyle="1" w:styleId="11">
    <w:name w:val="正文文本缩进1"/>
    <w:basedOn w:val="1"/>
    <w:next w:val="10"/>
    <w:qFormat/>
    <w:uiPriority w:val="0"/>
    <w:pPr>
      <w:spacing w:line="560" w:lineRule="exact"/>
      <w:ind w:firstLine="560" w:firstLineChars="200"/>
    </w:pPr>
    <w:rPr>
      <w:kern w:val="0"/>
      <w:sz w:val="28"/>
    </w:rPr>
  </w:style>
  <w:style w:type="paragraph" w:styleId="12">
    <w:name w:val="caption"/>
    <w:basedOn w:val="1"/>
    <w:next w:val="1"/>
    <w:qFormat/>
    <w:locked/>
    <w:uiPriority w:val="35"/>
    <w:pPr>
      <w:keepNext/>
      <w:spacing w:before="50" w:beforeLines="50"/>
      <w:jc w:val="center"/>
    </w:pPr>
    <w:rPr>
      <w:rFonts w:ascii="Times New Roman" w:hAnsi="Times New Roman" w:eastAsia="黑体" w:cs="Times New Roman"/>
      <w:szCs w:val="24"/>
    </w:rPr>
  </w:style>
  <w:style w:type="paragraph" w:styleId="13">
    <w:name w:val="annotation text"/>
    <w:basedOn w:val="1"/>
    <w:link w:val="57"/>
    <w:semiHidden/>
    <w:qFormat/>
    <w:uiPriority w:val="0"/>
    <w:pPr>
      <w:jc w:val="left"/>
    </w:pPr>
    <w:rPr>
      <w:kern w:val="0"/>
      <w:sz w:val="24"/>
      <w:szCs w:val="20"/>
    </w:rPr>
  </w:style>
  <w:style w:type="paragraph" w:styleId="14">
    <w:name w:val="Salutation"/>
    <w:basedOn w:val="1"/>
    <w:next w:val="1"/>
    <w:qFormat/>
    <w:locked/>
    <w:uiPriority w:val="0"/>
  </w:style>
  <w:style w:type="paragraph" w:styleId="15">
    <w:name w:val="Body Text"/>
    <w:basedOn w:val="1"/>
    <w:next w:val="16"/>
    <w:link w:val="58"/>
    <w:qFormat/>
    <w:uiPriority w:val="0"/>
    <w:pPr>
      <w:widowControl/>
      <w:snapToGrid w:val="0"/>
      <w:spacing w:before="60" w:after="160" w:line="259" w:lineRule="auto"/>
      <w:ind w:right="113"/>
    </w:pPr>
    <w:rPr>
      <w:kern w:val="0"/>
      <w:sz w:val="18"/>
      <w:szCs w:val="20"/>
    </w:rPr>
  </w:style>
  <w:style w:type="paragraph" w:customStyle="1" w:styleId="16">
    <w:name w:val="xl27"/>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kern w:val="0"/>
      <w:szCs w:val="21"/>
    </w:rPr>
  </w:style>
  <w:style w:type="paragraph" w:styleId="17">
    <w:name w:val="Plain Text"/>
    <w:basedOn w:val="1"/>
    <w:qFormat/>
    <w:locked/>
    <w:uiPriority w:val="99"/>
    <w:rPr>
      <w:rFonts w:ascii="宋体" w:hAnsi="Courier New"/>
      <w:sz w:val="21"/>
      <w:szCs w:val="21"/>
    </w:rPr>
  </w:style>
  <w:style w:type="paragraph" w:styleId="18">
    <w:name w:val="List Bullet 5"/>
    <w:basedOn w:val="1"/>
    <w:qFormat/>
    <w:locked/>
    <w:uiPriority w:val="0"/>
    <w:pPr>
      <w:numPr>
        <w:ilvl w:val="0"/>
        <w:numId w:val="1"/>
      </w:numPr>
    </w:pPr>
  </w:style>
  <w:style w:type="paragraph" w:styleId="19">
    <w:name w:val="Date"/>
    <w:basedOn w:val="1"/>
    <w:next w:val="1"/>
    <w:link w:val="60"/>
    <w:qFormat/>
    <w:uiPriority w:val="0"/>
    <w:pPr>
      <w:ind w:left="100" w:leftChars="2500"/>
    </w:pPr>
    <w:rPr>
      <w:kern w:val="0"/>
      <w:sz w:val="24"/>
      <w:szCs w:val="20"/>
    </w:rPr>
  </w:style>
  <w:style w:type="paragraph" w:styleId="20">
    <w:name w:val="Body Text Indent 2"/>
    <w:basedOn w:val="1"/>
    <w:qFormat/>
    <w:locked/>
    <w:uiPriority w:val="0"/>
    <w:pPr>
      <w:spacing w:line="500" w:lineRule="exact"/>
      <w:ind w:firstLine="556"/>
    </w:pPr>
    <w:rPr>
      <w:bCs/>
      <w:sz w:val="28"/>
    </w:rPr>
  </w:style>
  <w:style w:type="paragraph" w:styleId="21">
    <w:name w:val="Balloon Text"/>
    <w:basedOn w:val="1"/>
    <w:link w:val="61"/>
    <w:semiHidden/>
    <w:qFormat/>
    <w:uiPriority w:val="0"/>
    <w:rPr>
      <w:kern w:val="0"/>
      <w:sz w:val="18"/>
      <w:szCs w:val="20"/>
    </w:rPr>
  </w:style>
  <w:style w:type="paragraph" w:styleId="22">
    <w:name w:val="footer"/>
    <w:basedOn w:val="1"/>
    <w:link w:val="62"/>
    <w:qFormat/>
    <w:uiPriority w:val="99"/>
    <w:pPr>
      <w:tabs>
        <w:tab w:val="center" w:pos="4153"/>
        <w:tab w:val="right" w:pos="8306"/>
      </w:tabs>
      <w:snapToGrid w:val="0"/>
      <w:jc w:val="left"/>
    </w:pPr>
    <w:rPr>
      <w:kern w:val="0"/>
      <w:sz w:val="18"/>
      <w:szCs w:val="20"/>
    </w:rPr>
  </w:style>
  <w:style w:type="paragraph" w:styleId="23">
    <w:name w:val="header"/>
    <w:basedOn w:val="1"/>
    <w:next w:val="1"/>
    <w:link w:val="63"/>
    <w:qFormat/>
    <w:uiPriority w:val="0"/>
    <w:pPr>
      <w:pBdr>
        <w:bottom w:val="single" w:color="auto" w:sz="6" w:space="1"/>
      </w:pBdr>
      <w:tabs>
        <w:tab w:val="center" w:pos="4153"/>
        <w:tab w:val="right" w:pos="8306"/>
      </w:tabs>
      <w:snapToGrid w:val="0"/>
      <w:jc w:val="center"/>
    </w:pPr>
    <w:rPr>
      <w:kern w:val="0"/>
      <w:sz w:val="18"/>
      <w:szCs w:val="20"/>
    </w:rPr>
  </w:style>
  <w:style w:type="paragraph" w:styleId="24">
    <w:name w:val="toc 1"/>
    <w:basedOn w:val="1"/>
    <w:next w:val="1"/>
    <w:unhideWhenUsed/>
    <w:qFormat/>
    <w:locked/>
    <w:uiPriority w:val="39"/>
  </w:style>
  <w:style w:type="paragraph" w:styleId="25">
    <w:name w:val="List Number 5"/>
    <w:basedOn w:val="1"/>
    <w:qFormat/>
    <w:locked/>
    <w:uiPriority w:val="0"/>
    <w:pPr>
      <w:numPr>
        <w:ilvl w:val="0"/>
        <w:numId w:val="2"/>
      </w:numPr>
    </w:pPr>
  </w:style>
  <w:style w:type="paragraph" w:styleId="26">
    <w:name w:val="List"/>
    <w:basedOn w:val="1"/>
    <w:next w:val="1"/>
    <w:qFormat/>
    <w:locked/>
    <w:uiPriority w:val="0"/>
    <w:pPr>
      <w:ind w:left="200" w:hanging="200" w:hangingChars="200"/>
    </w:pPr>
    <w:rPr>
      <w:rFonts w:ascii="Times New Roman" w:hAnsi="Times New Roman" w:eastAsia="宋体" w:cs="Times New Roman"/>
      <w:szCs w:val="24"/>
    </w:rPr>
  </w:style>
  <w:style w:type="paragraph" w:styleId="27">
    <w:name w:val="Body Text 2"/>
    <w:basedOn w:val="1"/>
    <w:next w:val="1"/>
    <w:qFormat/>
    <w:locked/>
    <w:uiPriority w:val="0"/>
    <w:pPr>
      <w:spacing w:after="120" w:line="480" w:lineRule="auto"/>
    </w:pPr>
  </w:style>
  <w:style w:type="paragraph" w:styleId="28">
    <w:name w:val="Message Header"/>
    <w:basedOn w:val="1"/>
    <w:next w:val="1"/>
    <w:qFormat/>
    <w:locked/>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eastAsia="宋体" w:cs="Times New Roman"/>
      <w:sz w:val="24"/>
    </w:rPr>
  </w:style>
  <w:style w:type="paragraph" w:styleId="29">
    <w:name w:val="Normal (Web)"/>
    <w:basedOn w:val="1"/>
    <w:link w:val="64"/>
    <w:qFormat/>
    <w:uiPriority w:val="0"/>
    <w:pPr>
      <w:widowControl/>
      <w:spacing w:before="100" w:beforeAutospacing="1" w:after="100" w:afterAutospacing="1"/>
      <w:jc w:val="left"/>
    </w:pPr>
    <w:rPr>
      <w:rFonts w:ascii="宋体" w:hAnsi="宋体"/>
      <w:kern w:val="0"/>
      <w:sz w:val="24"/>
      <w:szCs w:val="20"/>
    </w:rPr>
  </w:style>
  <w:style w:type="paragraph" w:styleId="30">
    <w:name w:val="annotation subject"/>
    <w:basedOn w:val="13"/>
    <w:next w:val="13"/>
    <w:link w:val="65"/>
    <w:semiHidden/>
    <w:qFormat/>
    <w:uiPriority w:val="0"/>
    <w:rPr>
      <w:b/>
      <w:sz w:val="24"/>
      <w:szCs w:val="20"/>
    </w:rPr>
  </w:style>
  <w:style w:type="paragraph" w:styleId="31">
    <w:name w:val="Body Text First Indent"/>
    <w:basedOn w:val="15"/>
    <w:qFormat/>
    <w:locked/>
    <w:uiPriority w:val="0"/>
    <w:pPr>
      <w:ind w:firstLine="420" w:firstLineChars="100"/>
    </w:pPr>
  </w:style>
  <w:style w:type="paragraph" w:styleId="32">
    <w:name w:val="Body Text First Indent 2"/>
    <w:basedOn w:val="9"/>
    <w:next w:val="1"/>
    <w:qFormat/>
    <w:locked/>
    <w:uiPriority w:val="0"/>
    <w:pPr>
      <w:spacing w:line="240" w:lineRule="auto"/>
      <w:ind w:firstLine="420"/>
    </w:pPr>
    <w:rPr>
      <w:sz w:val="21"/>
      <w:szCs w:val="24"/>
    </w:rPr>
  </w:style>
  <w:style w:type="table" w:styleId="34">
    <w:name w:val="Table Grid"/>
    <w:basedOn w:val="33"/>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6">
    <w:name w:val="Strong"/>
    <w:basedOn w:val="35"/>
    <w:qFormat/>
    <w:locked/>
    <w:uiPriority w:val="0"/>
    <w:rPr>
      <w:b/>
    </w:rPr>
  </w:style>
  <w:style w:type="character" w:styleId="37">
    <w:name w:val="page number"/>
    <w:basedOn w:val="35"/>
    <w:qFormat/>
    <w:locked/>
    <w:uiPriority w:val="0"/>
  </w:style>
  <w:style w:type="character" w:styleId="38">
    <w:name w:val="FollowedHyperlink"/>
    <w:basedOn w:val="35"/>
    <w:qFormat/>
    <w:locked/>
    <w:uiPriority w:val="0"/>
    <w:rPr>
      <w:color w:val="800080"/>
      <w:u w:val="none"/>
    </w:rPr>
  </w:style>
  <w:style w:type="character" w:styleId="39">
    <w:name w:val="Emphasis"/>
    <w:basedOn w:val="35"/>
    <w:qFormat/>
    <w:locked/>
    <w:uiPriority w:val="0"/>
  </w:style>
  <w:style w:type="character" w:styleId="40">
    <w:name w:val="HTML Definition"/>
    <w:basedOn w:val="35"/>
    <w:qFormat/>
    <w:locked/>
    <w:uiPriority w:val="0"/>
  </w:style>
  <w:style w:type="character" w:styleId="41">
    <w:name w:val="HTML Acronym"/>
    <w:basedOn w:val="35"/>
    <w:qFormat/>
    <w:locked/>
    <w:uiPriority w:val="0"/>
  </w:style>
  <w:style w:type="character" w:styleId="42">
    <w:name w:val="HTML Variable"/>
    <w:basedOn w:val="35"/>
    <w:qFormat/>
    <w:locked/>
    <w:uiPriority w:val="0"/>
  </w:style>
  <w:style w:type="character" w:styleId="43">
    <w:name w:val="Hyperlink"/>
    <w:basedOn w:val="35"/>
    <w:qFormat/>
    <w:locked/>
    <w:uiPriority w:val="0"/>
    <w:rPr>
      <w:color w:val="0000FF"/>
      <w:u w:val="single"/>
    </w:rPr>
  </w:style>
  <w:style w:type="character" w:styleId="44">
    <w:name w:val="HTML Code"/>
    <w:basedOn w:val="35"/>
    <w:qFormat/>
    <w:locked/>
    <w:uiPriority w:val="0"/>
    <w:rPr>
      <w:rFonts w:ascii="Courier New" w:hAnsi="Courier New"/>
      <w:sz w:val="20"/>
    </w:rPr>
  </w:style>
  <w:style w:type="character" w:styleId="45">
    <w:name w:val="annotation reference"/>
    <w:basedOn w:val="35"/>
    <w:semiHidden/>
    <w:qFormat/>
    <w:uiPriority w:val="0"/>
    <w:rPr>
      <w:sz w:val="21"/>
    </w:rPr>
  </w:style>
  <w:style w:type="character" w:styleId="46">
    <w:name w:val="HTML Cite"/>
    <w:basedOn w:val="35"/>
    <w:qFormat/>
    <w:locked/>
    <w:uiPriority w:val="0"/>
  </w:style>
  <w:style w:type="paragraph" w:customStyle="1" w:styleId="47">
    <w:name w:val="样式5"/>
    <w:basedOn w:val="48"/>
    <w:next w:val="1"/>
    <w:qFormat/>
    <w:uiPriority w:val="0"/>
    <w:pPr>
      <w:spacing w:line="480" w:lineRule="exact"/>
      <w:ind w:firstLine="523" w:firstLineChars="218"/>
    </w:pPr>
    <w:rPr>
      <w:i/>
      <w:iCs/>
      <w:color w:val="auto"/>
    </w:rPr>
  </w:style>
  <w:style w:type="paragraph" w:customStyle="1" w:styleId="48">
    <w:name w:val="正文1"/>
    <w:basedOn w:val="15"/>
    <w:next w:val="1"/>
    <w:qFormat/>
    <w:uiPriority w:val="0"/>
    <w:pPr>
      <w:adjustRightInd w:val="0"/>
      <w:snapToGrid w:val="0"/>
      <w:spacing w:line="500" w:lineRule="atLeast"/>
      <w:ind w:firstLine="567"/>
    </w:pPr>
    <w:rPr>
      <w:rFonts w:ascii="Times New Roman" w:hAnsi="Times New Roman" w:eastAsia="宋体" w:cs="Times New Roman"/>
      <w:sz w:val="28"/>
      <w:lang w:val="en-US" w:eastAsia="zh-CN" w:bidi="ar-SA"/>
    </w:rPr>
  </w:style>
  <w:style w:type="paragraph" w:customStyle="1" w:styleId="49">
    <w:name w:val="Default"/>
    <w:basedOn w:val="50"/>
    <w:next w:val="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50">
    <w:name w:val="1 表头"/>
    <w:basedOn w:val="1"/>
    <w:qFormat/>
    <w:uiPriority w:val="0"/>
    <w:pPr>
      <w:adjustRightInd w:val="0"/>
      <w:snapToGrid w:val="0"/>
      <w:spacing w:line="240" w:lineRule="auto"/>
      <w:ind w:firstLine="0" w:firstLineChars="0"/>
      <w:jc w:val="center"/>
    </w:pPr>
    <w:rPr>
      <w:b/>
      <w:color w:val="000000"/>
      <w:sz w:val="21"/>
      <w:szCs w:val="21"/>
    </w:rPr>
  </w:style>
  <w:style w:type="paragraph" w:customStyle="1" w:styleId="51">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52">
    <w:name w:val="Body Text Indent"/>
    <w:basedOn w:val="1"/>
    <w:next w:val="10"/>
    <w:qFormat/>
    <w:uiPriority w:val="0"/>
    <w:pPr>
      <w:spacing w:after="120" w:afterLines="0"/>
      <w:ind w:left="420" w:leftChars="200"/>
    </w:pPr>
    <w:rPr>
      <w:rFonts w:ascii="Times New Roman" w:hAnsi="Times New Roman" w:eastAsia="宋体"/>
      <w:sz w:val="24"/>
    </w:rPr>
  </w:style>
  <w:style w:type="paragraph" w:customStyle="1" w:styleId="53">
    <w:name w:val="表格内"/>
    <w:basedOn w:val="1"/>
    <w:qFormat/>
    <w:uiPriority w:val="0"/>
    <w:pPr>
      <w:adjustRightInd w:val="0"/>
      <w:snapToGrid w:val="0"/>
      <w:spacing w:line="360" w:lineRule="exact"/>
      <w:jc w:val="center"/>
    </w:pPr>
    <w:rPr>
      <w:rFonts w:eastAsia="Times New Roman"/>
      <w:snapToGrid w:val="0"/>
      <w:kern w:val="0"/>
      <w:szCs w:val="21"/>
    </w:rPr>
  </w:style>
  <w:style w:type="paragraph" w:customStyle="1" w:styleId="54">
    <w:name w:val="纯文本1"/>
    <w:basedOn w:val="1"/>
    <w:qFormat/>
    <w:uiPriority w:val="0"/>
    <w:rPr>
      <w:rFonts w:ascii="宋体" w:hAnsi="Courier New" w:cs="Courier New"/>
      <w:szCs w:val="21"/>
    </w:rPr>
  </w:style>
  <w:style w:type="paragraph" w:customStyle="1" w:styleId="55">
    <w:name w:val="样式 正文文本 + 首行缩进:  2 字符"/>
    <w:qFormat/>
    <w:uiPriority w:val="99"/>
    <w:pPr>
      <w:spacing w:after="200" w:line="480" w:lineRule="exact"/>
      <w:ind w:firstLine="480" w:firstLineChars="200"/>
    </w:pPr>
    <w:rPr>
      <w:rFonts w:ascii="宋体" w:hAnsi="宋体" w:eastAsia="宋体" w:cs="Times New Roman"/>
      <w:sz w:val="24"/>
      <w:lang w:val="en-US" w:eastAsia="zh-CN" w:bidi="ar-SA"/>
    </w:rPr>
  </w:style>
  <w:style w:type="paragraph" w:customStyle="1" w:styleId="56">
    <w:name w:val="Date1"/>
    <w:basedOn w:val="1"/>
    <w:next w:val="1"/>
    <w:qFormat/>
    <w:uiPriority w:val="0"/>
    <w:pPr>
      <w:adjustRightInd w:val="0"/>
      <w:jc w:val="left"/>
      <w:textAlignment w:val="baseline"/>
    </w:pPr>
    <w:rPr>
      <w:rFonts w:ascii="宋体" w:hAnsi="宋体"/>
      <w:sz w:val="28"/>
      <w:szCs w:val="20"/>
    </w:rPr>
  </w:style>
  <w:style w:type="character" w:customStyle="1" w:styleId="57">
    <w:name w:val="批注文字 Char"/>
    <w:link w:val="13"/>
    <w:qFormat/>
    <w:locked/>
    <w:uiPriority w:val="0"/>
    <w:rPr>
      <w:rFonts w:ascii="Times New Roman" w:hAnsi="Times New Roman" w:eastAsia="宋体"/>
      <w:sz w:val="24"/>
    </w:rPr>
  </w:style>
  <w:style w:type="character" w:customStyle="1" w:styleId="58">
    <w:name w:val="正文文本 Char"/>
    <w:link w:val="15"/>
    <w:qFormat/>
    <w:locked/>
    <w:uiPriority w:val="0"/>
    <w:rPr>
      <w:sz w:val="18"/>
    </w:rPr>
  </w:style>
  <w:style w:type="character" w:customStyle="1" w:styleId="59">
    <w:name w:val="正文文本缩进 Char"/>
    <w:link w:val="9"/>
    <w:semiHidden/>
    <w:qFormat/>
    <w:locked/>
    <w:uiPriority w:val="0"/>
    <w:rPr>
      <w:rFonts w:ascii="Times New Roman" w:hAnsi="Times New Roman" w:eastAsia="宋体"/>
      <w:sz w:val="24"/>
    </w:rPr>
  </w:style>
  <w:style w:type="character" w:customStyle="1" w:styleId="60">
    <w:name w:val="日期 Char"/>
    <w:link w:val="19"/>
    <w:qFormat/>
    <w:locked/>
    <w:uiPriority w:val="0"/>
    <w:rPr>
      <w:rFonts w:ascii="Times New Roman" w:hAnsi="Times New Roman" w:eastAsia="宋体"/>
      <w:sz w:val="24"/>
    </w:rPr>
  </w:style>
  <w:style w:type="character" w:customStyle="1" w:styleId="61">
    <w:name w:val="批注框文本 Char"/>
    <w:link w:val="21"/>
    <w:semiHidden/>
    <w:qFormat/>
    <w:locked/>
    <w:uiPriority w:val="0"/>
    <w:rPr>
      <w:rFonts w:ascii="Times New Roman" w:hAnsi="Times New Roman" w:eastAsia="宋体"/>
      <w:sz w:val="18"/>
    </w:rPr>
  </w:style>
  <w:style w:type="character" w:customStyle="1" w:styleId="62">
    <w:name w:val="页脚 Char"/>
    <w:link w:val="22"/>
    <w:qFormat/>
    <w:locked/>
    <w:uiPriority w:val="99"/>
    <w:rPr>
      <w:sz w:val="18"/>
    </w:rPr>
  </w:style>
  <w:style w:type="character" w:customStyle="1" w:styleId="63">
    <w:name w:val="页眉 Char"/>
    <w:link w:val="23"/>
    <w:qFormat/>
    <w:locked/>
    <w:uiPriority w:val="0"/>
    <w:rPr>
      <w:sz w:val="18"/>
    </w:rPr>
  </w:style>
  <w:style w:type="character" w:customStyle="1" w:styleId="64">
    <w:name w:val="普通(网站) Char"/>
    <w:link w:val="29"/>
    <w:qFormat/>
    <w:locked/>
    <w:uiPriority w:val="0"/>
    <w:rPr>
      <w:rFonts w:ascii="宋体" w:hAnsi="宋体" w:eastAsia="宋体"/>
      <w:sz w:val="24"/>
    </w:rPr>
  </w:style>
  <w:style w:type="character" w:customStyle="1" w:styleId="65">
    <w:name w:val="批注主题 Char"/>
    <w:link w:val="30"/>
    <w:semiHidden/>
    <w:qFormat/>
    <w:locked/>
    <w:uiPriority w:val="0"/>
    <w:rPr>
      <w:rFonts w:ascii="Times New Roman" w:hAnsi="Times New Roman" w:eastAsia="宋体"/>
      <w:b/>
      <w:kern w:val="2"/>
      <w:sz w:val="24"/>
    </w:rPr>
  </w:style>
  <w:style w:type="character" w:customStyle="1" w:styleId="66">
    <w:name w:val="页脚 字符"/>
    <w:basedOn w:val="35"/>
    <w:qFormat/>
    <w:uiPriority w:val="99"/>
  </w:style>
  <w:style w:type="character" w:customStyle="1" w:styleId="67">
    <w:name w:val="正文文本 字符1"/>
    <w:semiHidden/>
    <w:qFormat/>
    <w:uiPriority w:val="0"/>
    <w:rPr>
      <w:rFonts w:ascii="Times New Roman" w:hAnsi="Times New Roman" w:eastAsia="宋体"/>
      <w:sz w:val="24"/>
    </w:rPr>
  </w:style>
  <w:style w:type="character" w:customStyle="1" w:styleId="68">
    <w:name w:val="表格 Char"/>
    <w:link w:val="69"/>
    <w:qFormat/>
    <w:locked/>
    <w:uiPriority w:val="0"/>
    <w:rPr>
      <w:rFonts w:ascii="宋体"/>
      <w:sz w:val="21"/>
    </w:rPr>
  </w:style>
  <w:style w:type="paragraph" w:customStyle="1" w:styleId="69">
    <w:name w:val="表格"/>
    <w:basedOn w:val="1"/>
    <w:next w:val="1"/>
    <w:link w:val="68"/>
    <w:qFormat/>
    <w:uiPriority w:val="0"/>
    <w:pPr>
      <w:adjustRightInd w:val="0"/>
      <w:snapToGrid w:val="0"/>
      <w:spacing w:beforeLines="10" w:afterLines="10" w:line="259" w:lineRule="auto"/>
      <w:jc w:val="center"/>
    </w:pPr>
    <w:rPr>
      <w:rFonts w:ascii="宋体"/>
      <w:kern w:val="0"/>
      <w:szCs w:val="20"/>
    </w:rPr>
  </w:style>
  <w:style w:type="character" w:customStyle="1" w:styleId="70">
    <w:name w:val="日期 字符"/>
    <w:semiHidden/>
    <w:qFormat/>
    <w:uiPriority w:val="0"/>
    <w:rPr>
      <w:rFonts w:ascii="Times New Roman" w:hAnsi="Times New Roman" w:eastAsia="宋体"/>
      <w:sz w:val="24"/>
    </w:rPr>
  </w:style>
  <w:style w:type="character" w:customStyle="1" w:styleId="71">
    <w:name w:val="批注文字 字符1"/>
    <w:semiHidden/>
    <w:qFormat/>
    <w:uiPriority w:val="0"/>
    <w:rPr>
      <w:rFonts w:ascii="Times New Roman" w:hAnsi="Times New Roman" w:eastAsia="宋体"/>
      <w:sz w:val="24"/>
    </w:rPr>
  </w:style>
  <w:style w:type="paragraph" w:customStyle="1" w:styleId="72">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73">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74">
    <w:name w:val="图表名称"/>
    <w:next w:val="1"/>
    <w:qFormat/>
    <w:uiPriority w:val="0"/>
    <w:pPr>
      <w:adjustRightInd w:val="0"/>
      <w:snapToGrid w:val="0"/>
      <w:spacing w:line="360" w:lineRule="auto"/>
      <w:jc w:val="center"/>
    </w:pPr>
    <w:rPr>
      <w:rFonts w:ascii="宋体" w:hAnsi="宋体" w:eastAsia="Times New Roman" w:cs="Times New Roman"/>
      <w:b/>
      <w:bCs/>
      <w:kern w:val="2"/>
      <w:sz w:val="24"/>
      <w:szCs w:val="24"/>
      <w:lang w:val="en-US" w:eastAsia="zh-CN" w:bidi="ar-SA"/>
    </w:rPr>
  </w:style>
  <w:style w:type="paragraph" w:customStyle="1" w:styleId="75">
    <w:name w:val="表文字"/>
    <w:qFormat/>
    <w:uiPriority w:val="0"/>
    <w:pPr>
      <w:widowControl w:val="0"/>
      <w:adjustRightInd w:val="0"/>
      <w:snapToGrid w:val="0"/>
      <w:jc w:val="center"/>
    </w:pPr>
    <w:rPr>
      <w:rFonts w:ascii="Times New Roman" w:hAnsi="Times New Roman" w:eastAsia="宋体" w:cs="Times New Roman"/>
      <w:kern w:val="2"/>
      <w:sz w:val="24"/>
      <w:szCs w:val="22"/>
      <w:lang w:val="en-US" w:eastAsia="zh-CN" w:bidi="ar-SA"/>
    </w:rPr>
  </w:style>
  <w:style w:type="character" w:customStyle="1" w:styleId="76">
    <w:name w:val="nth-of-type(3)"/>
    <w:basedOn w:val="35"/>
    <w:qFormat/>
    <w:uiPriority w:val="0"/>
  </w:style>
  <w:style w:type="character" w:customStyle="1" w:styleId="77">
    <w:name w:val="nth-of-type(3)1"/>
    <w:basedOn w:val="35"/>
    <w:qFormat/>
    <w:uiPriority w:val="0"/>
    <w:rPr>
      <w:color w:val="FFFFFF"/>
    </w:rPr>
  </w:style>
  <w:style w:type="character" w:customStyle="1" w:styleId="78">
    <w:name w:val="nth-of-type(3)2"/>
    <w:basedOn w:val="35"/>
    <w:qFormat/>
    <w:uiPriority w:val="0"/>
  </w:style>
  <w:style w:type="character" w:customStyle="1" w:styleId="79">
    <w:name w:val="nth-of-type(3)3"/>
    <w:basedOn w:val="35"/>
    <w:qFormat/>
    <w:uiPriority w:val="0"/>
    <w:rPr>
      <w:color w:val="EE5959"/>
    </w:rPr>
  </w:style>
  <w:style w:type="character" w:customStyle="1" w:styleId="80">
    <w:name w:val="before8"/>
    <w:basedOn w:val="35"/>
    <w:qFormat/>
    <w:uiPriority w:val="0"/>
    <w:rPr>
      <w:shd w:val="clear" w:color="auto" w:fill="EEEEEE"/>
    </w:rPr>
  </w:style>
  <w:style w:type="character" w:customStyle="1" w:styleId="81">
    <w:name w:val="before9"/>
    <w:basedOn w:val="35"/>
    <w:qFormat/>
    <w:uiPriority w:val="0"/>
  </w:style>
  <w:style w:type="character" w:customStyle="1" w:styleId="82">
    <w:name w:val="hover"/>
    <w:basedOn w:val="35"/>
    <w:qFormat/>
    <w:uiPriority w:val="0"/>
    <w:rPr>
      <w:u w:val="single"/>
    </w:rPr>
  </w:style>
  <w:style w:type="character" w:customStyle="1" w:styleId="83">
    <w:name w:val="hover1"/>
    <w:basedOn w:val="35"/>
    <w:qFormat/>
    <w:uiPriority w:val="0"/>
    <w:rPr>
      <w:shd w:val="clear" w:color="auto" w:fill="F6F6F6"/>
    </w:rPr>
  </w:style>
  <w:style w:type="character" w:customStyle="1" w:styleId="84">
    <w:name w:val="hover2"/>
    <w:basedOn w:val="35"/>
    <w:qFormat/>
    <w:uiPriority w:val="0"/>
    <w:rPr>
      <w:u w:val="single"/>
    </w:rPr>
  </w:style>
  <w:style w:type="character" w:customStyle="1" w:styleId="85">
    <w:name w:val="hover3"/>
    <w:basedOn w:val="35"/>
    <w:qFormat/>
    <w:uiPriority w:val="0"/>
  </w:style>
  <w:style w:type="character" w:customStyle="1" w:styleId="86">
    <w:name w:val="hover4"/>
    <w:basedOn w:val="35"/>
    <w:qFormat/>
    <w:uiPriority w:val="0"/>
    <w:rPr>
      <w:u w:val="none"/>
    </w:rPr>
  </w:style>
  <w:style w:type="character" w:customStyle="1" w:styleId="87">
    <w:name w:val="hover5"/>
    <w:basedOn w:val="35"/>
    <w:qFormat/>
    <w:uiPriority w:val="0"/>
    <w:rPr>
      <w:color w:val="3C88FF"/>
    </w:rPr>
  </w:style>
  <w:style w:type="character" w:customStyle="1" w:styleId="88">
    <w:name w:val="hover6"/>
    <w:basedOn w:val="35"/>
    <w:qFormat/>
    <w:uiPriority w:val="0"/>
    <w:rPr>
      <w:color w:val="3C88FF"/>
    </w:rPr>
  </w:style>
  <w:style w:type="character" w:customStyle="1" w:styleId="89">
    <w:name w:val="hover7"/>
    <w:basedOn w:val="35"/>
    <w:qFormat/>
    <w:uiPriority w:val="0"/>
    <w:rPr>
      <w:color w:val="3C88FF"/>
    </w:rPr>
  </w:style>
  <w:style w:type="character" w:customStyle="1" w:styleId="90">
    <w:name w:val="hover8"/>
    <w:basedOn w:val="35"/>
    <w:qFormat/>
    <w:uiPriority w:val="0"/>
    <w:rPr>
      <w:u w:val="single"/>
    </w:rPr>
  </w:style>
  <w:style w:type="character" w:customStyle="1" w:styleId="91">
    <w:name w:val="hover9"/>
    <w:basedOn w:val="35"/>
    <w:qFormat/>
    <w:uiPriority w:val="0"/>
    <w:rPr>
      <w:u w:val="none"/>
    </w:rPr>
  </w:style>
  <w:style w:type="character" w:customStyle="1" w:styleId="92">
    <w:name w:val="hover10"/>
    <w:basedOn w:val="35"/>
    <w:qFormat/>
    <w:uiPriority w:val="0"/>
    <w:rPr>
      <w:u w:val="single"/>
    </w:rPr>
  </w:style>
  <w:style w:type="character" w:customStyle="1" w:styleId="93">
    <w:name w:val="hover11"/>
    <w:basedOn w:val="35"/>
    <w:qFormat/>
    <w:uiPriority w:val="0"/>
    <w:rPr>
      <w:color w:val="3D91FF"/>
    </w:rPr>
  </w:style>
  <w:style w:type="character" w:customStyle="1" w:styleId="94">
    <w:name w:val="hover12"/>
    <w:basedOn w:val="35"/>
    <w:qFormat/>
    <w:uiPriority w:val="0"/>
    <w:rPr>
      <w:color w:val="1632EF"/>
      <w:u w:val="single"/>
    </w:rPr>
  </w:style>
  <w:style w:type="character" w:customStyle="1" w:styleId="95">
    <w:name w:val="hover13"/>
    <w:basedOn w:val="35"/>
    <w:qFormat/>
    <w:uiPriority w:val="0"/>
    <w:rPr>
      <w:color w:val="1632EF"/>
      <w:u w:val="single"/>
    </w:rPr>
  </w:style>
  <w:style w:type="character" w:customStyle="1" w:styleId="96">
    <w:name w:val="hover14"/>
    <w:basedOn w:val="35"/>
    <w:qFormat/>
    <w:uiPriority w:val="0"/>
    <w:rPr>
      <w:color w:val="3D91FF"/>
    </w:rPr>
  </w:style>
  <w:style w:type="character" w:customStyle="1" w:styleId="97">
    <w:name w:val="hover15"/>
    <w:basedOn w:val="35"/>
    <w:qFormat/>
    <w:uiPriority w:val="0"/>
    <w:rPr>
      <w:u w:val="single"/>
    </w:rPr>
  </w:style>
  <w:style w:type="character" w:customStyle="1" w:styleId="98">
    <w:name w:val="hover16"/>
    <w:basedOn w:val="35"/>
    <w:qFormat/>
    <w:uiPriority w:val="0"/>
    <w:rPr>
      <w:u w:val="single"/>
    </w:rPr>
  </w:style>
  <w:style w:type="character" w:customStyle="1" w:styleId="99">
    <w:name w:val="hover17"/>
    <w:basedOn w:val="35"/>
    <w:qFormat/>
    <w:uiPriority w:val="0"/>
    <w:rPr>
      <w:u w:val="single"/>
    </w:rPr>
  </w:style>
  <w:style w:type="character" w:customStyle="1" w:styleId="100">
    <w:name w:val="hover18"/>
    <w:basedOn w:val="35"/>
    <w:qFormat/>
    <w:uiPriority w:val="0"/>
    <w:rPr>
      <w:u w:val="single"/>
    </w:rPr>
  </w:style>
  <w:style w:type="character" w:customStyle="1" w:styleId="101">
    <w:name w:val="hover19"/>
    <w:basedOn w:val="35"/>
    <w:qFormat/>
    <w:uiPriority w:val="0"/>
    <w:rPr>
      <w:u w:val="none"/>
    </w:rPr>
  </w:style>
  <w:style w:type="character" w:customStyle="1" w:styleId="102">
    <w:name w:val="text"/>
    <w:basedOn w:val="35"/>
    <w:qFormat/>
    <w:uiPriority w:val="0"/>
    <w:rPr>
      <w:color w:val="666666"/>
    </w:rPr>
  </w:style>
  <w:style w:type="character" w:customStyle="1" w:styleId="103">
    <w:name w:val="text1"/>
    <w:basedOn w:val="35"/>
    <w:qFormat/>
    <w:uiPriority w:val="0"/>
    <w:rPr>
      <w:color w:val="666666"/>
    </w:rPr>
  </w:style>
  <w:style w:type="character" w:customStyle="1" w:styleId="104">
    <w:name w:val="nth-child(5)"/>
    <w:basedOn w:val="35"/>
    <w:qFormat/>
    <w:uiPriority w:val="0"/>
    <w:rPr>
      <w:color w:val="666666"/>
    </w:rPr>
  </w:style>
  <w:style w:type="character" w:customStyle="1" w:styleId="105">
    <w:name w:val="nth-child(1)"/>
    <w:basedOn w:val="35"/>
    <w:qFormat/>
    <w:uiPriority w:val="0"/>
  </w:style>
  <w:style w:type="character" w:customStyle="1" w:styleId="106">
    <w:name w:val="nth-child(1)1"/>
    <w:basedOn w:val="35"/>
    <w:qFormat/>
    <w:uiPriority w:val="0"/>
  </w:style>
  <w:style w:type="character" w:customStyle="1" w:styleId="107">
    <w:name w:val="nth-child(1)2"/>
    <w:basedOn w:val="35"/>
    <w:qFormat/>
    <w:uiPriority w:val="0"/>
    <w:rPr>
      <w:color w:val="999999"/>
    </w:rPr>
  </w:style>
  <w:style w:type="character" w:customStyle="1" w:styleId="108">
    <w:name w:val="nth-child(1)3"/>
    <w:basedOn w:val="35"/>
    <w:qFormat/>
    <w:uiPriority w:val="0"/>
    <w:rPr>
      <w:color w:val="666666"/>
    </w:rPr>
  </w:style>
  <w:style w:type="character" w:customStyle="1" w:styleId="109">
    <w:name w:val="nth-child(3)"/>
    <w:basedOn w:val="35"/>
    <w:qFormat/>
    <w:uiPriority w:val="0"/>
    <w:rPr>
      <w:color w:val="222222"/>
    </w:rPr>
  </w:style>
  <w:style w:type="character" w:customStyle="1" w:styleId="110">
    <w:name w:val="index-select-0a605"/>
    <w:basedOn w:val="35"/>
    <w:qFormat/>
    <w:uiPriority w:val="0"/>
    <w:rPr>
      <w:color w:val="FFFFFF"/>
      <w:shd w:val="clear" w:color="auto" w:fill="3C88FF"/>
    </w:rPr>
  </w:style>
  <w:style w:type="character" w:customStyle="1" w:styleId="111">
    <w:name w:val="index-select-0a6051"/>
    <w:basedOn w:val="35"/>
    <w:qFormat/>
    <w:uiPriority w:val="0"/>
    <w:rPr>
      <w:color w:val="3088FF"/>
    </w:rPr>
  </w:style>
  <w:style w:type="character" w:customStyle="1" w:styleId="112">
    <w:name w:val="index-headcontent-0ccba"/>
    <w:basedOn w:val="35"/>
    <w:qFormat/>
    <w:uiPriority w:val="0"/>
    <w:rPr>
      <w:vanish/>
    </w:rPr>
  </w:style>
  <w:style w:type="character" w:customStyle="1" w:styleId="113">
    <w:name w:val="nth-child(7)"/>
    <w:basedOn w:val="35"/>
    <w:qFormat/>
    <w:uiPriority w:val="0"/>
    <w:rPr>
      <w:color w:val="FFFFFF"/>
    </w:rPr>
  </w:style>
  <w:style w:type="character" w:customStyle="1" w:styleId="114">
    <w:name w:val="nth-of-type(1)6"/>
    <w:basedOn w:val="35"/>
    <w:qFormat/>
    <w:uiPriority w:val="0"/>
  </w:style>
  <w:style w:type="character" w:customStyle="1" w:styleId="115">
    <w:name w:val="nth-of-type(1)7"/>
    <w:basedOn w:val="35"/>
    <w:qFormat/>
    <w:uiPriority w:val="0"/>
    <w:rPr>
      <w:color w:val="FFFFFF"/>
    </w:rPr>
  </w:style>
  <w:style w:type="character" w:customStyle="1" w:styleId="116">
    <w:name w:val="nth-of-type(1)8"/>
    <w:basedOn w:val="35"/>
    <w:qFormat/>
    <w:uiPriority w:val="0"/>
  </w:style>
  <w:style w:type="character" w:customStyle="1" w:styleId="117">
    <w:name w:val="nth-of-type(1)9"/>
    <w:basedOn w:val="35"/>
    <w:qFormat/>
    <w:uiPriority w:val="0"/>
    <w:rPr>
      <w:b/>
      <w:bCs/>
      <w:color w:val="2B74FB"/>
      <w:sz w:val="19"/>
      <w:szCs w:val="19"/>
    </w:rPr>
  </w:style>
  <w:style w:type="character" w:customStyle="1" w:styleId="118">
    <w:name w:val="nth-of-type(1)10"/>
    <w:basedOn w:val="35"/>
    <w:qFormat/>
    <w:uiPriority w:val="0"/>
  </w:style>
  <w:style w:type="character" w:customStyle="1" w:styleId="119">
    <w:name w:val="nth-of-type(1)11"/>
    <w:basedOn w:val="35"/>
    <w:qFormat/>
    <w:uiPriority w:val="0"/>
    <w:rPr>
      <w:color w:val="0C0C0C"/>
      <w:sz w:val="21"/>
      <w:szCs w:val="21"/>
    </w:rPr>
  </w:style>
  <w:style w:type="character" w:customStyle="1" w:styleId="120">
    <w:name w:val="nth-of-type(1)12"/>
    <w:basedOn w:val="35"/>
    <w:qFormat/>
    <w:uiPriority w:val="0"/>
  </w:style>
  <w:style w:type="character" w:customStyle="1" w:styleId="121">
    <w:name w:val="nth-of-type(1)13"/>
    <w:basedOn w:val="35"/>
    <w:qFormat/>
    <w:uiPriority w:val="0"/>
  </w:style>
  <w:style w:type="character" w:customStyle="1" w:styleId="122">
    <w:name w:val="nth-of-type(1)14"/>
    <w:basedOn w:val="35"/>
    <w:qFormat/>
    <w:uiPriority w:val="0"/>
  </w:style>
  <w:style w:type="character" w:customStyle="1" w:styleId="123">
    <w:name w:val="nth-of-type(1)15"/>
    <w:basedOn w:val="35"/>
    <w:qFormat/>
    <w:uiPriority w:val="0"/>
  </w:style>
  <w:style w:type="character" w:customStyle="1" w:styleId="124">
    <w:name w:val="nth-of-type(2)"/>
    <w:basedOn w:val="35"/>
    <w:qFormat/>
    <w:uiPriority w:val="0"/>
  </w:style>
  <w:style w:type="character" w:customStyle="1" w:styleId="125">
    <w:name w:val="nth-of-type(2)1"/>
    <w:basedOn w:val="35"/>
    <w:qFormat/>
    <w:uiPriority w:val="0"/>
    <w:rPr>
      <w:shd w:val="clear" w:color="auto" w:fill="555555"/>
    </w:rPr>
  </w:style>
  <w:style w:type="character" w:customStyle="1" w:styleId="126">
    <w:name w:val="nth-of-type(2)2"/>
    <w:basedOn w:val="35"/>
    <w:qFormat/>
    <w:uiPriority w:val="0"/>
    <w:rPr>
      <w:b/>
      <w:bCs/>
      <w:color w:val="000000"/>
      <w:sz w:val="19"/>
      <w:szCs w:val="19"/>
    </w:rPr>
  </w:style>
  <w:style w:type="character" w:customStyle="1" w:styleId="127">
    <w:name w:val="nth-of-type(2)3"/>
    <w:basedOn w:val="35"/>
    <w:qFormat/>
    <w:uiPriority w:val="0"/>
  </w:style>
  <w:style w:type="character" w:customStyle="1" w:styleId="128">
    <w:name w:val="nth-of-type(2)4"/>
    <w:basedOn w:val="35"/>
    <w:qFormat/>
    <w:uiPriority w:val="0"/>
    <w:rPr>
      <w:shd w:val="clear" w:color="auto" w:fill="D5D9EB"/>
    </w:rPr>
  </w:style>
  <w:style w:type="character" w:customStyle="1" w:styleId="129">
    <w:name w:val="nth-of-type(2)5"/>
    <w:basedOn w:val="35"/>
    <w:qFormat/>
    <w:uiPriority w:val="0"/>
  </w:style>
  <w:style w:type="character" w:customStyle="1" w:styleId="130">
    <w:name w:val="nth-of-type(2)6"/>
    <w:basedOn w:val="35"/>
    <w:qFormat/>
    <w:uiPriority w:val="0"/>
  </w:style>
  <w:style w:type="character" w:customStyle="1" w:styleId="131">
    <w:name w:val="nth-of-type(2)7"/>
    <w:basedOn w:val="35"/>
    <w:qFormat/>
    <w:uiPriority w:val="0"/>
  </w:style>
  <w:style w:type="character" w:customStyle="1" w:styleId="132">
    <w:name w:val="nth-of-type(2)8"/>
    <w:basedOn w:val="35"/>
    <w:qFormat/>
    <w:uiPriority w:val="0"/>
    <w:rPr>
      <w:shd w:val="clear" w:color="auto" w:fill="F74A4E"/>
    </w:rPr>
  </w:style>
  <w:style w:type="character" w:customStyle="1" w:styleId="133">
    <w:name w:val="nth-last-of-type(1)"/>
    <w:basedOn w:val="35"/>
    <w:qFormat/>
    <w:uiPriority w:val="0"/>
    <w:rPr>
      <w:bdr w:val="single" w:color="45CAA1" w:sz="6" w:space="0"/>
    </w:rPr>
  </w:style>
  <w:style w:type="character" w:customStyle="1" w:styleId="134">
    <w:name w:val="nth-last-of-type(1)1"/>
    <w:basedOn w:val="35"/>
    <w:qFormat/>
    <w:uiPriority w:val="0"/>
  </w:style>
  <w:style w:type="character" w:customStyle="1" w:styleId="135">
    <w:name w:val="nth-child(2)"/>
    <w:basedOn w:val="35"/>
    <w:qFormat/>
    <w:uiPriority w:val="0"/>
  </w:style>
  <w:style w:type="character" w:customStyle="1" w:styleId="136">
    <w:name w:val="nth-child(2)1"/>
    <w:basedOn w:val="35"/>
    <w:qFormat/>
    <w:uiPriority w:val="0"/>
    <w:rPr>
      <w:color w:val="000000"/>
    </w:rPr>
  </w:style>
  <w:style w:type="character" w:customStyle="1" w:styleId="137">
    <w:name w:val="index-name-935ff"/>
    <w:basedOn w:val="35"/>
    <w:qFormat/>
    <w:uiPriority w:val="0"/>
    <w:rPr>
      <w:sz w:val="24"/>
      <w:szCs w:val="24"/>
    </w:rPr>
  </w:style>
  <w:style w:type="character" w:customStyle="1" w:styleId="138">
    <w:name w:val="back"/>
    <w:basedOn w:val="35"/>
    <w:qFormat/>
    <w:uiPriority w:val="0"/>
    <w:rPr>
      <w:shd w:val="clear" w:color="auto" w:fill="111111"/>
    </w:rPr>
  </w:style>
  <w:style w:type="character" w:customStyle="1" w:styleId="139">
    <w:name w:val="back1"/>
    <w:basedOn w:val="35"/>
    <w:qFormat/>
    <w:uiPriority w:val="0"/>
    <w:rPr>
      <w:shd w:val="clear" w:color="auto" w:fill="111111"/>
    </w:rPr>
  </w:style>
  <w:style w:type="character" w:customStyle="1" w:styleId="140">
    <w:name w:val="first-child"/>
    <w:basedOn w:val="35"/>
    <w:qFormat/>
    <w:uiPriority w:val="0"/>
    <w:rPr>
      <w:color w:val="FFA800"/>
    </w:rPr>
  </w:style>
  <w:style w:type="character" w:customStyle="1" w:styleId="141">
    <w:name w:val="first-child1"/>
    <w:basedOn w:val="35"/>
    <w:qFormat/>
    <w:uiPriority w:val="0"/>
    <w:rPr>
      <w:color w:val="FFA800"/>
    </w:rPr>
  </w:style>
  <w:style w:type="character" w:customStyle="1" w:styleId="142">
    <w:name w:val="adalbumlist-album_ads_tip-3c9b7"/>
    <w:basedOn w:val="35"/>
    <w:qFormat/>
    <w:uiPriority w:val="0"/>
    <w:rPr>
      <w:color w:val="FFFFFF"/>
    </w:rPr>
  </w:style>
  <w:style w:type="character" w:customStyle="1" w:styleId="143">
    <w:name w:val="adalbumlist-btn-841bd"/>
    <w:basedOn w:val="35"/>
    <w:qFormat/>
    <w:uiPriority w:val="0"/>
    <w:rPr>
      <w:color w:val="FFFFFF"/>
      <w:shd w:val="clear" w:color="auto" w:fill="FF3F3F"/>
    </w:rPr>
  </w:style>
  <w:style w:type="character" w:customStyle="1" w:styleId="144">
    <w:name w:val="after4"/>
    <w:basedOn w:val="35"/>
    <w:qFormat/>
    <w:uiPriority w:val="0"/>
  </w:style>
  <w:style w:type="character" w:customStyle="1" w:styleId="145">
    <w:name w:val="nth-child(6)"/>
    <w:basedOn w:val="35"/>
    <w:qFormat/>
    <w:uiPriority w:val="0"/>
    <w:rPr>
      <w:color w:val="A1A1A1"/>
      <w:sz w:val="19"/>
      <w:szCs w:val="19"/>
    </w:rPr>
  </w:style>
  <w:style w:type="character" w:customStyle="1" w:styleId="146">
    <w:name w:val="nth-child(4)"/>
    <w:basedOn w:val="35"/>
    <w:qFormat/>
    <w:uiPriority w:val="0"/>
    <w:rPr>
      <w:color w:val="222222"/>
    </w:rPr>
  </w:style>
  <w:style w:type="character" w:customStyle="1" w:styleId="147">
    <w:name w:val="nth-child(4)1"/>
    <w:basedOn w:val="35"/>
    <w:qFormat/>
    <w:uiPriority w:val="0"/>
    <w:rPr>
      <w:color w:val="222222"/>
    </w:rPr>
  </w:style>
  <w:style w:type="character" w:customStyle="1" w:styleId="148">
    <w:name w:val="after1"/>
    <w:basedOn w:val="35"/>
    <w:qFormat/>
    <w:uiPriority w:val="0"/>
  </w:style>
  <w:style w:type="character" w:customStyle="1" w:styleId="149">
    <w:name w:val="before10"/>
    <w:basedOn w:val="35"/>
    <w:qFormat/>
    <w:uiPriority w:val="0"/>
    <w:rPr>
      <w:shd w:val="clear" w:color="auto" w:fill="EEEEEE"/>
    </w:rPr>
  </w:style>
  <w:style w:type="character" w:customStyle="1" w:styleId="150">
    <w:name w:val="before11"/>
    <w:basedOn w:val="35"/>
    <w:qFormat/>
    <w:uiPriority w:val="0"/>
  </w:style>
  <w:style w:type="character" w:customStyle="1" w:styleId="151">
    <w:name w:val="nth-child(3)1"/>
    <w:basedOn w:val="35"/>
    <w:qFormat/>
    <w:uiPriority w:val="0"/>
    <w:rPr>
      <w:color w:val="222222"/>
    </w:rPr>
  </w:style>
  <w:style w:type="paragraph" w:customStyle="1" w:styleId="152">
    <w:name w:val="表"/>
    <w:basedOn w:val="1"/>
    <w:qFormat/>
    <w:uiPriority w:val="0"/>
    <w:pPr>
      <w:snapToGrid w:val="0"/>
      <w:jc w:val="center"/>
    </w:pPr>
    <w:rPr>
      <w:rFonts w:ascii="Times New Roman" w:hAnsi="Times New Roman" w:eastAsia="宋体" w:cs="Times New Roman"/>
      <w:spacing w:val="2"/>
    </w:rPr>
  </w:style>
  <w:style w:type="character" w:customStyle="1" w:styleId="153">
    <w:name w:val="书籍标题"/>
    <w:basedOn w:val="35"/>
    <w:qFormat/>
    <w:uiPriority w:val="0"/>
    <w:rPr>
      <w:b/>
      <w:smallCaps/>
      <w:spacing w:val="5"/>
    </w:rPr>
  </w:style>
  <w:style w:type="paragraph" w:customStyle="1" w:styleId="154">
    <w:name w:val="表头1"/>
    <w:basedOn w:val="1"/>
    <w:qFormat/>
    <w:uiPriority w:val="0"/>
    <w:pPr>
      <w:tabs>
        <w:tab w:val="left" w:pos="5280"/>
      </w:tabs>
      <w:autoSpaceDE w:val="0"/>
      <w:autoSpaceDN w:val="0"/>
      <w:adjustRightInd w:val="0"/>
      <w:snapToGrid w:val="0"/>
      <w:ind w:firstLine="422"/>
      <w:jc w:val="center"/>
      <w:textAlignment w:val="baseline"/>
    </w:pPr>
    <w:rPr>
      <w:b/>
      <w:color w:val="auto"/>
      <w:spacing w:val="0"/>
      <w:kern w:val="16"/>
      <w:sz w:val="21"/>
      <w:szCs w:val="20"/>
    </w:rPr>
  </w:style>
  <w:style w:type="paragraph" w:customStyle="1" w:styleId="155">
    <w:name w:val="Table Paragraph"/>
    <w:basedOn w:val="1"/>
    <w:qFormat/>
    <w:uiPriority w:val="1"/>
    <w:rPr>
      <w:rFonts w:ascii="宋体" w:hAnsi="宋体" w:eastAsia="宋体" w:cs="宋体"/>
      <w:lang w:val="zh-CN" w:eastAsia="zh-CN" w:bidi="zh-CN"/>
    </w:rPr>
  </w:style>
  <w:style w:type="character" w:customStyle="1" w:styleId="156">
    <w:name w:val="正文文本缩进 2 Char"/>
    <w:basedOn w:val="35"/>
    <w:qFormat/>
    <w:uiPriority w:val="0"/>
    <w:rPr>
      <w:rFonts w:eastAsia="宋体"/>
      <w:kern w:val="2"/>
      <w:sz w:val="28"/>
      <w:szCs w:val="24"/>
      <w:lang w:val="en-US" w:eastAsia="zh-CN" w:bidi="ar-SA"/>
    </w:rPr>
  </w:style>
  <w:style w:type="paragraph" w:customStyle="1" w:styleId="157">
    <w:name w:val="xl59"/>
    <w:basedOn w:val="1"/>
    <w:qFormat/>
    <w:uiPriority w:val="0"/>
    <w:pPr>
      <w:widowControl/>
      <w:pBdr>
        <w:bottom w:val="single" w:color="auto" w:sz="8" w:space="0"/>
        <w:right w:val="single" w:color="000000" w:sz="8" w:space="0"/>
      </w:pBdr>
      <w:spacing w:before="100" w:beforeAutospacing="1" w:after="100" w:afterAutospacing="1"/>
      <w:textAlignment w:val="top"/>
    </w:pPr>
    <w:rPr>
      <w:rFonts w:ascii="Arial Unicode MS" w:hAnsi="Arial Unicode MS" w:eastAsia="Arial Unicode MS"/>
      <w:kern w:val="0"/>
      <w:szCs w:val="21"/>
    </w:rPr>
  </w:style>
  <w:style w:type="paragraph" w:customStyle="1" w:styleId="158">
    <w:name w:val="表头"/>
    <w:basedOn w:val="159"/>
    <w:next w:val="1"/>
    <w:qFormat/>
    <w:uiPriority w:val="0"/>
    <w:pPr>
      <w:keepNext/>
      <w:snapToGrid w:val="0"/>
      <w:spacing w:before="60" w:after="60" w:line="400" w:lineRule="exact"/>
      <w:jc w:val="center"/>
    </w:pPr>
    <w:rPr>
      <w:rFonts w:ascii="黑体" w:eastAsia="黑体"/>
      <w:snapToGrid w:val="0"/>
      <w:spacing w:val="10"/>
      <w:w w:val="98"/>
      <w:kern w:val="21"/>
      <w:szCs w:val="20"/>
    </w:rPr>
  </w:style>
  <w:style w:type="paragraph" w:customStyle="1" w:styleId="159">
    <w:name w:val="表格内容"/>
    <w:basedOn w:val="160"/>
    <w:qFormat/>
    <w:uiPriority w:val="0"/>
    <w:pPr>
      <w:autoSpaceDE w:val="0"/>
      <w:autoSpaceDN w:val="0"/>
      <w:adjustRightInd w:val="0"/>
      <w:snapToGrid/>
      <w:spacing w:line="240" w:lineRule="auto"/>
      <w:ind w:firstLine="0" w:firstLineChars="0"/>
      <w:jc w:val="center"/>
      <w:textAlignment w:val="center"/>
    </w:pPr>
    <w:rPr>
      <w:rFonts w:ascii="Times New Roman" w:hAnsi="Times New Roman" w:eastAsia="宋体"/>
      <w:kern w:val="0"/>
      <w:sz w:val="21"/>
      <w:szCs w:val="21"/>
    </w:rPr>
  </w:style>
  <w:style w:type="paragraph" w:customStyle="1" w:styleId="160">
    <w:name w:val="四级标题"/>
    <w:basedOn w:val="161"/>
    <w:next w:val="1"/>
    <w:qFormat/>
    <w:uiPriority w:val="0"/>
    <w:pPr>
      <w:outlineLvl w:val="3"/>
    </w:pPr>
    <w:rPr>
      <w:rFonts w:eastAsia="宋体"/>
      <w:b/>
      <w:sz w:val="24"/>
    </w:rPr>
  </w:style>
  <w:style w:type="paragraph" w:customStyle="1" w:styleId="161">
    <w:name w:val="三级标题"/>
    <w:basedOn w:val="1"/>
    <w:next w:val="1"/>
    <w:qFormat/>
    <w:uiPriority w:val="0"/>
    <w:pPr>
      <w:keepNext/>
      <w:ind w:firstLine="0" w:firstLineChars="0"/>
      <w:outlineLvl w:val="2"/>
    </w:pPr>
    <w:rPr>
      <w:rFonts w:eastAsia="黑体"/>
      <w:sz w:val="28"/>
    </w:rPr>
  </w:style>
  <w:style w:type="paragraph" w:customStyle="1" w:styleId="162">
    <w:name w:val="表外"/>
    <w:basedOn w:val="1"/>
    <w:qFormat/>
    <w:uiPriority w:val="0"/>
    <w:pPr>
      <w:ind w:firstLine="0" w:firstLineChars="0"/>
    </w:pPr>
    <w:rPr>
      <w:rFonts w:ascii="Times New Roman"/>
      <w:b/>
      <w:sz w:val="32"/>
    </w:rPr>
  </w:style>
  <w:style w:type="character" w:customStyle="1" w:styleId="163">
    <w:name w:val="NormalCharacter"/>
    <w:semiHidden/>
    <w:qFormat/>
    <w:uiPriority w:val="0"/>
  </w:style>
  <w:style w:type="paragraph" w:customStyle="1" w:styleId="164">
    <w:name w:val="Other|1"/>
    <w:basedOn w:val="1"/>
    <w:qFormat/>
    <w:uiPriority w:val="0"/>
    <w:pPr>
      <w:widowControl w:val="0"/>
      <w:shd w:val="clear" w:color="auto" w:fill="auto"/>
      <w:spacing w:line="266" w:lineRule="exact"/>
    </w:pPr>
    <w:rPr>
      <w:rFonts w:ascii="宋体" w:hAnsi="宋体" w:eastAsia="宋体" w:cs="宋体"/>
      <w:sz w:val="17"/>
      <w:szCs w:val="17"/>
      <w:u w:val="none"/>
      <w:shd w:val="clear" w:color="auto" w:fill="auto"/>
      <w:lang w:val="zh-TW" w:eastAsia="zh-TW" w:bidi="zh-TW"/>
    </w:rPr>
  </w:style>
  <w:style w:type="paragraph" w:customStyle="1" w:styleId="165">
    <w:name w:val="正"/>
    <w:basedOn w:val="1"/>
    <w:qFormat/>
    <w:uiPriority w:val="0"/>
    <w:pPr>
      <w:snapToGrid/>
      <w:spacing w:line="360" w:lineRule="auto"/>
      <w:ind w:firstLine="200" w:firstLineChars="200"/>
    </w:pPr>
    <w:rPr>
      <w:rFonts w:eastAsia="宋体" w:cs="Times New Roman"/>
      <w:szCs w:val="28"/>
    </w:rPr>
  </w:style>
  <w:style w:type="paragraph" w:customStyle="1" w:styleId="166">
    <w:name w:val="报告表正文"/>
    <w:basedOn w:val="167"/>
    <w:qFormat/>
    <w:uiPriority w:val="0"/>
    <w:pPr>
      <w:adjustRightInd w:val="0"/>
      <w:spacing w:line="360" w:lineRule="auto"/>
      <w:ind w:left="0" w:leftChars="0" w:right="0" w:firstLine="482"/>
      <w:jc w:val="both"/>
      <w:textAlignment w:val="baseline"/>
    </w:pPr>
    <w:rPr>
      <w:rFonts w:ascii="Times New Roman" w:hAnsi="Times New Roman" w:eastAsia="Times New Roman"/>
      <w:kern w:val="0"/>
    </w:rPr>
  </w:style>
  <w:style w:type="paragraph" w:customStyle="1" w:styleId="167">
    <w:name w:val="报告正文"/>
    <w:basedOn w:val="168"/>
    <w:qFormat/>
    <w:uiPriority w:val="0"/>
    <w:pPr>
      <w:widowControl w:val="0"/>
      <w:snapToGrid w:val="0"/>
      <w:spacing w:line="360" w:lineRule="auto"/>
      <w:ind w:firstLine="200" w:firstLineChars="200"/>
    </w:pPr>
    <w:rPr>
      <w:rFonts w:ascii="Times New Roman" w:hAnsi="Times New Roman" w:cs="Times New Roman"/>
      <w:snapToGrid w:val="0"/>
      <w:sz w:val="24"/>
      <w:szCs w:val="28"/>
    </w:rPr>
  </w:style>
  <w:style w:type="paragraph" w:customStyle="1" w:styleId="168">
    <w:name w:val="p17"/>
    <w:basedOn w:val="1"/>
    <w:qFormat/>
    <w:uiPriority w:val="0"/>
    <w:pPr>
      <w:widowControl/>
    </w:pPr>
    <w:rPr>
      <w:rFonts w:ascii="宋体" w:hAnsi="宋体" w:cs="宋体"/>
      <w:kern w:val="0"/>
      <w:szCs w:val="21"/>
    </w:rPr>
  </w:style>
  <w:style w:type="paragraph" w:customStyle="1" w:styleId="169">
    <w:name w:val="表格内容1"/>
    <w:basedOn w:val="1"/>
    <w:qFormat/>
    <w:uiPriority w:val="0"/>
    <w:pPr>
      <w:tabs>
        <w:tab w:val="left" w:pos="1535"/>
        <w:tab w:val="left" w:pos="3105"/>
        <w:tab w:val="left" w:pos="4676"/>
        <w:tab w:val="left" w:pos="6247"/>
        <w:tab w:val="left" w:pos="7740"/>
        <w:tab w:val="left" w:pos="9288"/>
      </w:tabs>
      <w:adjustRightInd w:val="0"/>
      <w:snapToGrid w:val="0"/>
      <w:spacing w:line="240" w:lineRule="auto"/>
      <w:ind w:firstLine="0" w:firstLineChars="0"/>
      <w:jc w:val="center"/>
      <w:textAlignment w:val="baseline"/>
    </w:pPr>
    <w:rPr>
      <w:rFonts w:ascii="Times New Roman" w:hAnsi="Times New Roman"/>
      <w:sz w:val="21"/>
      <w:szCs w:val="21"/>
    </w:rPr>
  </w:style>
  <w:style w:type="paragraph" w:customStyle="1" w:styleId="170">
    <w:name w:val="样式 首行缩进:  2 字符1"/>
    <w:basedOn w:val="1"/>
    <w:qFormat/>
    <w:uiPriority w:val="0"/>
    <w:pPr>
      <w:spacing w:before="120" w:line="400" w:lineRule="exact"/>
      <w:ind w:firstLine="200" w:firstLineChars="200"/>
    </w:pPr>
    <w:rPr>
      <w:rFonts w:ascii="宋体"/>
      <w:sz w:val="24"/>
      <w:szCs w:val="20"/>
    </w:rPr>
  </w:style>
  <w:style w:type="paragraph" w:customStyle="1" w:styleId="171">
    <w:name w:val="报告书正文"/>
    <w:basedOn w:val="17"/>
    <w:qFormat/>
    <w:uiPriority w:val="0"/>
    <w:pPr>
      <w:widowControl/>
      <w:spacing w:line="360" w:lineRule="auto"/>
      <w:ind w:firstLine="480" w:firstLineChars="200"/>
      <w:jc w:val="both"/>
    </w:pPr>
    <w:rPr>
      <w:rFonts w:ascii="Times New Roman" w:hAnsi="Times New Roman" w:cs="Times New Roman"/>
      <w:sz w:val="24"/>
      <w:szCs w:val="24"/>
    </w:rPr>
  </w:style>
  <w:style w:type="paragraph" w:customStyle="1" w:styleId="172">
    <w:name w:val="正文新"/>
    <w:basedOn w:val="1"/>
    <w:qFormat/>
    <w:uiPriority w:val="0"/>
    <w:pPr>
      <w:keepNext w:val="0"/>
      <w:keepLines w:val="0"/>
      <w:widowControl w:val="0"/>
      <w:suppressLineNumbers w:val="0"/>
      <w:spacing w:before="0" w:beforeAutospacing="0" w:after="0" w:afterAutospacing="0" w:line="348" w:lineRule="auto"/>
      <w:ind w:left="0" w:right="0" w:firstLine="200" w:firstLineChars="200"/>
      <w:jc w:val="both"/>
    </w:pPr>
    <w:rPr>
      <w:rFonts w:hint="default" w:ascii="Times New Roman" w:hAnsi="Times New Roman" w:eastAsia="宋体" w:cs="Times New Roman"/>
      <w:color w:val="000000"/>
      <w:kern w:val="2"/>
      <w:sz w:val="24"/>
      <w:szCs w:val="24"/>
      <w:lang w:val="en-US" w:eastAsia="zh-CN" w:bidi="ar"/>
    </w:rPr>
  </w:style>
  <w:style w:type="paragraph" w:customStyle="1" w:styleId="173">
    <w:name w:val="表格题目新"/>
    <w:basedOn w:val="1"/>
    <w:qFormat/>
    <w:uiPriority w:val="0"/>
    <w:pPr>
      <w:keepNext w:val="0"/>
      <w:keepLines w:val="0"/>
      <w:widowControl w:val="0"/>
      <w:suppressLineNumbers w:val="0"/>
      <w:autoSpaceDE w:val="0"/>
      <w:autoSpaceDN w:val="0"/>
      <w:spacing w:before="0" w:beforeAutospacing="0" w:after="0" w:afterAutospacing="0" w:line="312" w:lineRule="auto"/>
      <w:ind w:left="0" w:right="0" w:firstLine="200" w:firstLineChars="200"/>
      <w:jc w:val="left"/>
    </w:pPr>
    <w:rPr>
      <w:rFonts w:hint="default" w:ascii="Times New Roman" w:hAnsi="Times New Roman" w:eastAsia="黑体" w:cs="宋体"/>
      <w:kern w:val="2"/>
      <w:sz w:val="21"/>
      <w:szCs w:val="24"/>
      <w:lang w:val="en-US" w:eastAsia="zh-CN" w:bidi="ar"/>
    </w:rPr>
  </w:style>
  <w:style w:type="paragraph" w:customStyle="1" w:styleId="174">
    <w:name w:val="表格自用"/>
    <w:basedOn w:val="1"/>
    <w:qFormat/>
    <w:uiPriority w:val="0"/>
    <w:pPr>
      <w:spacing w:line="240" w:lineRule="auto"/>
      <w:jc w:val="center"/>
    </w:pPr>
    <w:rPr>
      <w:sz w:val="21"/>
    </w:rPr>
  </w:style>
  <w:style w:type="paragraph" w:customStyle="1" w:styleId="175">
    <w:name w:val="表、图名"/>
    <w:basedOn w:val="1"/>
    <w:qFormat/>
    <w:uiPriority w:val="0"/>
    <w:pPr>
      <w:adjustRightInd w:val="0"/>
      <w:snapToGrid w:val="0"/>
      <w:spacing w:line="240" w:lineRule="auto"/>
      <w:ind w:left="0" w:firstLine="561"/>
      <w:jc w:val="center"/>
    </w:pPr>
    <w:rPr>
      <w:rFonts w:ascii="Times New Roman" w:hAnsi="Times New Roman" w:eastAsia="宋体"/>
      <w:b/>
      <w:sz w:val="21"/>
      <w:szCs w:val="24"/>
    </w:rPr>
  </w:style>
  <w:style w:type="paragraph" w:customStyle="1" w:styleId="176">
    <w:name w:val="Heading 6"/>
    <w:basedOn w:val="1"/>
    <w:qFormat/>
    <w:uiPriority w:val="1"/>
    <w:pPr>
      <w:autoSpaceDE w:val="0"/>
      <w:autoSpaceDN w:val="0"/>
      <w:jc w:val="center"/>
      <w:outlineLvl w:val="6"/>
    </w:pPr>
    <w:rPr>
      <w:rFonts w:ascii="宋体" w:hAnsi="宋体" w:eastAsia="宋体" w:cs="宋体"/>
      <w:b/>
      <w:bCs/>
      <w:kern w:val="0"/>
      <w:sz w:val="24"/>
      <w:szCs w:val="24"/>
      <w:lang w:val="zh-CN" w:bidi="zh-CN"/>
    </w:rPr>
  </w:style>
  <w:style w:type="paragraph" w:customStyle="1" w:styleId="177">
    <w:name w:val="Table caption|1"/>
    <w:basedOn w:val="1"/>
    <w:qFormat/>
    <w:uiPriority w:val="0"/>
    <w:pPr>
      <w:widowControl w:val="0"/>
      <w:shd w:val="clear" w:color="auto" w:fill="auto"/>
    </w:pPr>
    <w:rPr>
      <w:rFonts w:ascii="宋体" w:hAnsi="宋体" w:eastAsia="宋体" w:cs="宋体"/>
      <w:sz w:val="17"/>
      <w:szCs w:val="17"/>
      <w:u w:val="none"/>
      <w:shd w:val="clear" w:color="auto" w:fill="auto"/>
      <w:lang w:val="zh-TW" w:eastAsia="zh-TW" w:bidi="zh-TW"/>
    </w:rPr>
  </w:style>
  <w:style w:type="paragraph" w:customStyle="1" w:styleId="178">
    <w:name w:val="Body text|1"/>
    <w:basedOn w:val="1"/>
    <w:qFormat/>
    <w:uiPriority w:val="0"/>
    <w:pPr>
      <w:spacing w:line="470" w:lineRule="exact"/>
      <w:ind w:firstLine="560"/>
    </w:pPr>
    <w:rPr>
      <w:rFonts w:ascii="宋体" w:hAnsi="宋体" w:cs="宋体"/>
      <w:sz w:val="20"/>
      <w:szCs w:val="20"/>
      <w:lang w:val="zh-TW" w:eastAsia="zh-TW" w:bidi="zh-TW"/>
    </w:rPr>
  </w:style>
  <w:style w:type="character" w:customStyle="1" w:styleId="179">
    <w:name w:val="lable"/>
    <w:basedOn w:val="35"/>
    <w:qFormat/>
    <w:uiPriority w:val="0"/>
    <w:rPr>
      <w:sz w:val="24"/>
      <w:szCs w:val="24"/>
    </w:rPr>
  </w:style>
  <w:style w:type="paragraph" w:customStyle="1" w:styleId="180">
    <w:name w:val="WPSOffice手动目录 1"/>
    <w:qFormat/>
    <w:uiPriority w:val="0"/>
    <w:pPr>
      <w:ind w:leftChars="0"/>
    </w:pPr>
    <w:rPr>
      <w:rFonts w:ascii="Times New Roman" w:hAnsi="Times New Roman" w:eastAsia="宋体" w:cs="Times New Roman"/>
      <w:sz w:val="20"/>
      <w:szCs w:val="20"/>
    </w:rPr>
  </w:style>
  <w:style w:type="paragraph" w:customStyle="1" w:styleId="181">
    <w:name w:val="表+五号"/>
    <w:basedOn w:val="1"/>
    <w:qFormat/>
    <w:uiPriority w:val="0"/>
    <w:rPr>
      <w:szCs w:val="28"/>
    </w:rPr>
  </w:style>
  <w:style w:type="paragraph" w:customStyle="1" w:styleId="182">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183">
    <w:name w:val="正文 楷体"/>
    <w:basedOn w:val="1"/>
    <w:qFormat/>
    <w:uiPriority w:val="0"/>
    <w:pPr>
      <w:spacing w:line="500" w:lineRule="exact"/>
      <w:ind w:firstLine="200" w:firstLineChars="200"/>
    </w:pPr>
    <w:rPr>
      <w:rFonts w:ascii="楷体_GB2312" w:hAnsi="楷体_GB2312" w:eastAsia="楷体_GB2312" w:cs="宋体"/>
      <w:sz w:val="24"/>
    </w:rPr>
  </w:style>
  <w:style w:type="paragraph" w:customStyle="1" w:styleId="184">
    <w:name w:val="正文-ls"/>
    <w:basedOn w:val="1"/>
    <w:qFormat/>
    <w:uiPriority w:val="0"/>
    <w:pPr>
      <w:widowControl/>
      <w:spacing w:line="360" w:lineRule="auto"/>
      <w:ind w:firstLine="200" w:firstLineChars="200"/>
      <w:jc w:val="left"/>
    </w:pPr>
    <w:rPr>
      <w:rFonts w:hAnsi="宋体" w:cs="宋体"/>
      <w:sz w:val="24"/>
      <w:szCs w:val="20"/>
    </w:rPr>
  </w:style>
  <w:style w:type="paragraph" w:customStyle="1" w:styleId="185">
    <w:name w:val="文本"/>
    <w:basedOn w:val="1"/>
    <w:qFormat/>
    <w:uiPriority w:val="0"/>
    <w:pPr>
      <w:adjustRightInd w:val="0"/>
      <w:snapToGrid w:val="0"/>
      <w:spacing w:line="440" w:lineRule="exact"/>
      <w:ind w:firstLine="480" w:firstLineChars="200"/>
    </w:pPr>
    <w:rPr>
      <w:rFonts w:ascii="宋体" w:hAnsi="宋体"/>
      <w:sz w:val="24"/>
      <w:szCs w:val="24"/>
    </w:rPr>
  </w:style>
  <w:style w:type="paragraph" w:customStyle="1" w:styleId="186">
    <w:name w:val="正文(首行缩进)"/>
    <w:basedOn w:val="1"/>
    <w:qFormat/>
    <w:uiPriority w:val="0"/>
    <w:pPr>
      <w:spacing w:line="360" w:lineRule="auto"/>
      <w:ind w:firstLine="540" w:firstLineChars="225"/>
    </w:pPr>
    <w:rPr>
      <w:snapToGrid w:val="0"/>
      <w:color w:val="000000"/>
      <w:kern w:val="0"/>
      <w:sz w:val="24"/>
    </w:rPr>
  </w:style>
  <w:style w:type="character" w:customStyle="1" w:styleId="187">
    <w:name w:val="disabled"/>
    <w:basedOn w:val="35"/>
    <w:qFormat/>
    <w:uiPriority w:val="0"/>
    <w:rPr>
      <w:vanish/>
    </w:rPr>
  </w:style>
  <w:style w:type="character" w:customStyle="1" w:styleId="188">
    <w:name w:val="znspantitle"/>
    <w:basedOn w:val="35"/>
    <w:qFormat/>
    <w:uiPriority w:val="0"/>
    <w:rPr>
      <w:b/>
      <w:bCs/>
      <w:color w:val="333333"/>
    </w:rPr>
  </w:style>
  <w:style w:type="paragraph" w:styleId="189">
    <w:name w:val="List Paragraph"/>
    <w:basedOn w:val="1"/>
    <w:qFormat/>
    <w:uiPriority w:val="34"/>
    <w:pPr>
      <w:ind w:firstLine="420" w:firstLineChars="200"/>
    </w:pPr>
  </w:style>
  <w:style w:type="paragraph" w:customStyle="1" w:styleId="190">
    <w:name w:val="表格小"/>
    <w:basedOn w:val="1"/>
    <w:qFormat/>
    <w:uiPriority w:val="0"/>
    <w:pPr>
      <w:jc w:val="center"/>
    </w:pPr>
    <w:rPr>
      <w:sz w:val="18"/>
    </w:rPr>
  </w:style>
  <w:style w:type="table" w:customStyle="1" w:styleId="191">
    <w:name w:val="Table Normal"/>
    <w:basedOn w:val="33"/>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0" w:type="dxa"/>
        <w:bottom w:w="0" w:type="dxa"/>
        <w:right w:w="0" w:type="dxa"/>
      </w:tblCellMar>
    </w:tblPr>
  </w:style>
  <w:style w:type="paragraph" w:customStyle="1" w:styleId="192">
    <w:name w:val="标号正文"/>
    <w:basedOn w:val="1"/>
    <w:next w:val="1"/>
    <w:qFormat/>
    <w:uiPriority w:val="0"/>
    <w:pPr>
      <w:tabs>
        <w:tab w:val="left" w:pos="1540"/>
      </w:tabs>
      <w:overflowPunct w:val="0"/>
      <w:snapToGrid w:val="0"/>
      <w:spacing w:line="360" w:lineRule="auto"/>
      <w:ind w:left="0" w:firstLine="1040"/>
      <w:jc w:val="left"/>
    </w:pPr>
    <w:rPr>
      <w:rFonts w:ascii="Arial" w:hAnsi="Arial" w:eastAsia="宋体"/>
      <w:sz w:val="24"/>
      <w:szCs w:val="20"/>
    </w:rPr>
  </w:style>
  <w:style w:type="paragraph" w:customStyle="1" w:styleId="193">
    <w:name w:val="【表中文字】"/>
    <w:basedOn w:val="1"/>
    <w:qFormat/>
    <w:uiPriority w:val="0"/>
    <w:pPr>
      <w:jc w:val="center"/>
    </w:pPr>
    <w:rPr>
      <w:kern w:val="0"/>
      <w:sz w:val="20"/>
    </w:rPr>
  </w:style>
  <w:style w:type="paragraph" w:customStyle="1" w:styleId="194">
    <w:name w:val="+正文"/>
    <w:basedOn w:val="1"/>
    <w:qFormat/>
    <w:uiPriority w:val="0"/>
    <w:pPr>
      <w:spacing w:line="360" w:lineRule="auto"/>
      <w:ind w:firstLine="200" w:firstLineChars="200"/>
    </w:pPr>
    <w:rPr>
      <w:rFonts w:hAnsi="宋体"/>
      <w:color w:val="FF0000"/>
      <w:sz w:val="24"/>
      <w:szCs w:val="28"/>
    </w:rPr>
  </w:style>
  <w:style w:type="paragraph" w:customStyle="1" w:styleId="195">
    <w:name w:val="表格标题"/>
    <w:basedOn w:val="1"/>
    <w:qFormat/>
    <w:uiPriority w:val="0"/>
    <w:pPr>
      <w:widowControl w:val="0"/>
      <w:shd w:val="clear" w:color="auto" w:fill="auto"/>
    </w:pPr>
    <w:rPr>
      <w:rFonts w:ascii="宋体" w:hAnsi="宋体" w:eastAsia="宋体" w:cs="宋体"/>
      <w:sz w:val="26"/>
      <w:szCs w:val="26"/>
      <w:u w:val="none"/>
      <w:lang w:val="zh-CN" w:eastAsia="zh-CN" w:bidi="zh-CN"/>
    </w:rPr>
  </w:style>
  <w:style w:type="table" w:customStyle="1" w:styleId="196">
    <w:name w:val="表格样式-ls"/>
    <w:basedOn w:val="33"/>
    <w:qFormat/>
    <w:uiPriority w:val="0"/>
    <w:pPr>
      <w:widowControl w:val="0"/>
      <w:adjustRightInd w:val="0"/>
      <w:spacing w:line="360" w:lineRule="exact"/>
      <w:jc w:val="center"/>
      <w:textAlignment w:val="center"/>
    </w:pPr>
    <w:rPr>
      <w:sz w:val="21"/>
      <w:szCs w:val="21"/>
    </w:rPr>
    <w:tblPr>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
    <w:trPr>
      <w:jc w:val="center"/>
    </w:trPr>
    <w:tcPr>
      <w:shd w:val="clear" w:color="auto" w:fill="auto"/>
      <w:tcMar>
        <w:left w:w="0" w:type="dxa"/>
        <w:right w:w="0" w:type="dxa"/>
      </w:tcMar>
      <w:vAlign w:val="center"/>
    </w:tcPr>
    <w:tblStylePr w:type="firstRow">
      <w:pPr>
        <w:jc w:val="center"/>
      </w:pPr>
      <w:rPr>
        <w:rFonts w:eastAsia="宋体"/>
        <w:b w:val="0"/>
        <w:bCs/>
        <w:color w:val="auto"/>
        <w:sz w:val="21"/>
      </w:rPr>
      <w:tcPr>
        <w:tcBorders>
          <w:tl2br w:val="nil"/>
          <w:tr2bl w:val="nil"/>
        </w:tcBorders>
        <w:shd w:val="pct20" w:color="000000" w:fill="FFFFFF"/>
      </w:tcPr>
    </w:tblStylePr>
  </w:style>
  <w:style w:type="paragraph" w:customStyle="1" w:styleId="197">
    <w:name w:val="首行缩进"/>
    <w:basedOn w:val="1"/>
    <w:qFormat/>
    <w:uiPriority w:val="0"/>
    <w:pPr>
      <w:ind w:firstLine="480" w:firstLineChars="200"/>
    </w:pPr>
    <w:rPr>
      <w:lang w:val="zh-CN"/>
    </w:rPr>
  </w:style>
  <w:style w:type="paragraph" w:customStyle="1" w:styleId="198">
    <w:name w:val="Table Text"/>
    <w:basedOn w:val="1"/>
    <w:semiHidden/>
    <w:qFormat/>
    <w:uiPriority w:val="0"/>
    <w:rPr>
      <w:rFonts w:ascii="宋体" w:hAnsi="宋体" w:eastAsia="宋体" w:cs="宋体"/>
      <w:sz w:val="20"/>
      <w:szCs w:val="20"/>
      <w:lang w:val="en-US" w:eastAsia="en-US" w:bidi="ar-SA"/>
    </w:rPr>
  </w:style>
  <w:style w:type="paragraph" w:customStyle="1" w:styleId="199">
    <w:name w:val="表中文字"/>
    <w:basedOn w:val="48"/>
    <w:qFormat/>
    <w:uiPriority w:val="0"/>
    <w:pPr>
      <w:widowControl/>
      <w:jc w:val="center"/>
    </w:pPr>
    <w:rPr>
      <w:kern w:val="0"/>
      <w:sz w:val="21"/>
    </w:rPr>
  </w:style>
  <w:style w:type="character" w:customStyle="1" w:styleId="200">
    <w:name w:val="textbig1"/>
    <w:basedOn w:val="35"/>
    <w:qFormat/>
    <w:uiPriority w:val="0"/>
    <w:rPr>
      <w:rFonts w:ascii="宋体" w:hAnsi="宋体" w:cs="宋体"/>
      <w:sz w:val="18"/>
      <w:szCs w:val="18"/>
    </w:rPr>
  </w:style>
  <w:style w:type="paragraph" w:customStyle="1" w:styleId="201">
    <w:name w:val="默认段落字体 Para Char"/>
    <w:basedOn w:val="1"/>
    <w:next w:val="1"/>
    <w:qFormat/>
    <w:uiPriority w:val="0"/>
    <w:pPr>
      <w:spacing w:line="360" w:lineRule="auto"/>
      <w:ind w:firstLine="200" w:firstLineChars="200"/>
    </w:pPr>
    <w:rPr>
      <w:rFonts w:ascii="宋体" w:hAnsi="宋体" w:cs="宋体"/>
      <w:sz w:val="24"/>
      <w:szCs w:val="24"/>
    </w:rPr>
  </w:style>
  <w:style w:type="paragraph" w:customStyle="1" w:styleId="202">
    <w:name w:val="我"/>
    <w:basedOn w:val="1"/>
    <w:qFormat/>
    <w:uiPriority w:val="0"/>
    <w:pPr>
      <w:spacing w:line="360" w:lineRule="auto"/>
      <w:ind w:firstLine="640" w:firstLineChars="200"/>
    </w:pPr>
    <w:rPr>
      <w:kern w:val="0"/>
      <w:sz w:val="24"/>
      <w:szCs w:val="20"/>
    </w:rPr>
  </w:style>
  <w:style w:type="paragraph" w:customStyle="1" w:styleId="203">
    <w:name w:val="表格文字邓"/>
    <w:basedOn w:val="1"/>
    <w:qFormat/>
    <w:uiPriority w:val="0"/>
    <w:pPr>
      <w:widowControl/>
      <w:snapToGrid w:val="0"/>
      <w:spacing w:line="240" w:lineRule="exact"/>
      <w:jc w:val="center"/>
    </w:pPr>
    <w:rPr>
      <w:rFonts w:ascii="宋体" w:hAnsi="宋体"/>
      <w:snapToGrid w:val="0"/>
      <w:color w:val="000000"/>
      <w:sz w:val="18"/>
      <w:szCs w:val="21"/>
    </w:rPr>
  </w:style>
  <w:style w:type="paragraph" w:customStyle="1" w:styleId="204">
    <w:name w:val="表头标题格式"/>
    <w:basedOn w:val="1"/>
    <w:qFormat/>
    <w:uiPriority w:val="0"/>
    <w:pPr>
      <w:widowControl/>
      <w:tabs>
        <w:tab w:val="left" w:pos="360"/>
        <w:tab w:val="left" w:pos="1620"/>
      </w:tabs>
      <w:spacing w:line="360" w:lineRule="auto"/>
      <w:jc w:val="center"/>
    </w:pPr>
    <w:rPr>
      <w:rFonts w:ascii="黑体" w:hAnsi="宋体" w:eastAsia="黑体"/>
      <w:b/>
      <w:bCs/>
      <w:spacing w:val="0"/>
      <w:kern w:val="0"/>
      <w:sz w:val="24"/>
      <w:szCs w:val="20"/>
    </w:rPr>
  </w:style>
  <w:style w:type="paragraph" w:customStyle="1" w:styleId="205">
    <w:name w:val="1正文"/>
    <w:basedOn w:val="1"/>
    <w:qFormat/>
    <w:uiPriority w:val="0"/>
    <w:pPr>
      <w:widowControl/>
      <w:spacing w:line="360" w:lineRule="auto"/>
      <w:ind w:firstLine="200" w:firstLineChars="200"/>
    </w:pPr>
    <w:rPr>
      <w:kern w:val="0"/>
      <w:sz w:val="24"/>
      <w:lang w:val="en-GB"/>
    </w:rPr>
  </w:style>
  <w:style w:type="character" w:customStyle="1" w:styleId="206">
    <w:name w:val="font01"/>
    <w:basedOn w:val="35"/>
    <w:qFormat/>
    <w:uiPriority w:val="0"/>
    <w:rPr>
      <w:rFonts w:hint="default" w:ascii="Times New Roman" w:hAnsi="Times New Roman" w:cs="Times New Roman"/>
      <w:color w:val="000000"/>
      <w:sz w:val="20"/>
      <w:szCs w:val="20"/>
      <w:u w:val="none"/>
      <w:vertAlign w:val="superscript"/>
    </w:rPr>
  </w:style>
  <w:style w:type="paragraph" w:customStyle="1" w:styleId="207">
    <w:name w:val="正文-1"/>
    <w:basedOn w:val="11"/>
    <w:qFormat/>
    <w:uiPriority w:val="0"/>
    <w:pPr>
      <w:spacing w:before="62" w:after="62" w:line="360" w:lineRule="auto"/>
      <w:ind w:firstLine="480" w:firstLineChars="200"/>
    </w:pPr>
    <w:rPr>
      <w:rFonts w:cs="宋体"/>
      <w:spacing w:val="0"/>
      <w:sz w:val="24"/>
    </w:rPr>
  </w:style>
  <w:style w:type="paragraph" w:customStyle="1" w:styleId="208">
    <w:name w:val="p0"/>
    <w:basedOn w:val="1"/>
    <w:qFormat/>
    <w:uiPriority w:val="0"/>
    <w:pPr>
      <w:widowControl/>
    </w:pPr>
    <w:rPr>
      <w:spacing w:val="0"/>
      <w:sz w:val="21"/>
      <w:szCs w:val="21"/>
    </w:rPr>
  </w:style>
  <w:style w:type="paragraph" w:customStyle="1" w:styleId="209">
    <w:name w:val="表格1"/>
    <w:basedOn w:val="1"/>
    <w:qFormat/>
    <w:uiPriority w:val="0"/>
    <w:pPr>
      <w:widowControl w:val="0"/>
      <w:spacing w:line="240" w:lineRule="auto"/>
      <w:ind w:firstLine="0" w:firstLineChars="0"/>
      <w:jc w:val="center"/>
    </w:pPr>
    <w:rPr>
      <w:rFonts w:ascii="Times New Roman" w:hAnsi="Times New Roman" w:eastAsia="方正仿宋_GBK" w:cs="Times New Roman"/>
      <w:color w:val="000000"/>
      <w:kern w:val="0"/>
      <w:sz w:val="21"/>
      <w:szCs w:val="24"/>
      <w:lang w:bidi="ar-SA"/>
    </w:rPr>
  </w:style>
  <w:style w:type="paragraph" w:customStyle="1" w:styleId="210">
    <w:name w:val="Char"/>
    <w:basedOn w:val="1"/>
    <w:qFormat/>
    <w:uiPriority w:val="0"/>
    <w:pPr>
      <w:snapToGrid w:val="0"/>
      <w:spacing w:line="440" w:lineRule="atLeast"/>
      <w:ind w:firstLine="200" w:firstLineChars="200"/>
    </w:pPr>
  </w:style>
  <w:style w:type="character" w:customStyle="1" w:styleId="211">
    <w:name w:val="font11"/>
    <w:basedOn w:val="35"/>
    <w:qFormat/>
    <w:uiPriority w:val="0"/>
    <w:rPr>
      <w:rFonts w:hint="eastAsia" w:ascii="宋体" w:hAnsi="宋体" w:eastAsia="宋体" w:cs="宋体"/>
      <w:color w:val="000000"/>
      <w:sz w:val="21"/>
      <w:szCs w:val="21"/>
      <w:u w:val="none"/>
    </w:rPr>
  </w:style>
  <w:style w:type="character" w:customStyle="1" w:styleId="212">
    <w:name w:val="font21"/>
    <w:basedOn w:val="35"/>
    <w:qFormat/>
    <w:uiPriority w:val="0"/>
    <w:rPr>
      <w:rFonts w:hint="default" w:ascii="Times New Roman" w:hAnsi="Times New Roman" w:cs="Times New Roman"/>
      <w:color w:val="000000"/>
      <w:sz w:val="21"/>
      <w:szCs w:val="21"/>
      <w:u w:val="none"/>
    </w:rPr>
  </w:style>
  <w:style w:type="paragraph" w:customStyle="1" w:styleId="213">
    <w:name w:val="农贸市场正文"/>
    <w:basedOn w:val="214"/>
    <w:qFormat/>
    <w:uiPriority w:val="0"/>
    <w:pPr>
      <w:spacing w:line="360" w:lineRule="auto"/>
      <w:ind w:firstLine="200"/>
    </w:pPr>
    <w:rPr>
      <w:rFonts w:ascii="Times New Roman" w:hAnsi="Times New Roman"/>
      <w:b/>
      <w:snapToGrid w:val="0"/>
      <w:color w:val="000000"/>
      <w:lang w:val="en-US" w:eastAsia="zh-CN"/>
    </w:rPr>
  </w:style>
  <w:style w:type="paragraph" w:customStyle="1" w:styleId="214">
    <w:name w:val="阿拉山口正文"/>
    <w:basedOn w:val="215"/>
    <w:qFormat/>
    <w:uiPriority w:val="0"/>
  </w:style>
  <w:style w:type="paragraph" w:customStyle="1" w:styleId="215">
    <w:name w:val="中石油正文"/>
    <w:basedOn w:val="1"/>
    <w:qFormat/>
    <w:uiPriority w:val="0"/>
    <w:pPr>
      <w:spacing w:line="560" w:lineRule="exact"/>
      <w:ind w:firstLine="480" w:firstLineChars="200"/>
    </w:pPr>
    <w:rPr>
      <w:rFonts w:ascii="宋体" w:hAnsi="宋体"/>
      <w:sz w:val="24"/>
    </w:rPr>
  </w:style>
  <w:style w:type="paragraph" w:customStyle="1" w:styleId="216">
    <w:name w:val="表格居中"/>
    <w:qFormat/>
    <w:uiPriority w:val="0"/>
    <w:pPr>
      <w:widowControl w:val="0"/>
      <w:spacing w:line="360" w:lineRule="exact"/>
      <w:jc w:val="center"/>
    </w:pPr>
    <w:rPr>
      <w:rFonts w:ascii="Arial" w:hAnsi="Arial" w:eastAsia="宋体" w:cs="Arial"/>
      <w:sz w:val="21"/>
      <w:szCs w:val="21"/>
      <w:lang w:val="en-US" w:eastAsia="zh-CN" w:bidi="ar-SA"/>
    </w:rPr>
  </w:style>
  <w:style w:type="character" w:customStyle="1" w:styleId="217">
    <w:name w:val="font41"/>
    <w:basedOn w:val="35"/>
    <w:qFormat/>
    <w:uiPriority w:val="0"/>
    <w:rPr>
      <w:rFonts w:hint="default" w:ascii="Times New Roman" w:hAnsi="Times New Roman" w:cs="Times New Roman"/>
      <w:color w:val="000000"/>
      <w:sz w:val="20"/>
      <w:szCs w:val="20"/>
      <w:u w:val="none"/>
    </w:rPr>
  </w:style>
  <w:style w:type="paragraph" w:customStyle="1" w:styleId="218">
    <w:name w:val=" Char Char Char1 Char Char Char Char Char Char Char"/>
    <w:basedOn w:val="1"/>
    <w:qFormat/>
    <w:uiPriority w:val="0"/>
  </w:style>
  <w:style w:type="character" w:customStyle="1" w:styleId="219">
    <w:name w:val="font31"/>
    <w:basedOn w:val="35"/>
    <w:qFormat/>
    <w:uiPriority w:val="0"/>
    <w:rPr>
      <w:rFonts w:hint="eastAsia" w:ascii="宋体" w:hAnsi="宋体" w:eastAsia="宋体" w:cs="宋体"/>
      <w:color w:val="000000"/>
      <w:sz w:val="21"/>
      <w:szCs w:val="21"/>
      <w:u w:val="none"/>
    </w:rPr>
  </w:style>
  <w:style w:type="character" w:customStyle="1" w:styleId="220">
    <w:name w:val="font51"/>
    <w:basedOn w:val="35"/>
    <w:qFormat/>
    <w:uiPriority w:val="0"/>
    <w:rPr>
      <w:rFonts w:hint="eastAsia" w:ascii="宋体" w:hAnsi="宋体" w:eastAsia="宋体" w:cs="宋体"/>
      <w:color w:val="000000"/>
      <w:sz w:val="20"/>
      <w:szCs w:val="20"/>
      <w:u w:val="none"/>
    </w:rPr>
  </w:style>
  <w:style w:type="character" w:customStyle="1" w:styleId="221">
    <w:name w:val="font81"/>
    <w:qFormat/>
    <w:uiPriority w:val="0"/>
    <w:rPr>
      <w:rFonts w:hint="eastAsia" w:ascii="宋体" w:hAnsi="宋体" w:eastAsia="宋体" w:cs="宋体"/>
      <w:color w:val="000000"/>
      <w:sz w:val="21"/>
      <w:szCs w:val="21"/>
      <w:u w:val="none"/>
    </w:rPr>
  </w:style>
  <w:style w:type="paragraph" w:customStyle="1" w:styleId="222">
    <w:name w:val="样式 内容的正文 + 首行缩进:  2 字符"/>
    <w:basedOn w:val="223"/>
    <w:qFormat/>
    <w:uiPriority w:val="0"/>
    <w:pPr>
      <w:widowControl/>
      <w:tabs>
        <w:tab w:val="left" w:pos="1040"/>
      </w:tabs>
      <w:spacing w:line="580" w:lineRule="exact"/>
      <w:ind w:firstLine="560"/>
    </w:pPr>
    <w:rPr>
      <w:rFonts w:ascii="宋体" w:hAnsi="Arial" w:cs="宋体"/>
      <w:bCs w:val="0"/>
      <w:sz w:val="28"/>
      <w:szCs w:val="20"/>
    </w:rPr>
  </w:style>
  <w:style w:type="paragraph" w:customStyle="1" w:styleId="223">
    <w:name w:val="标题2"/>
    <w:qFormat/>
    <w:uiPriority w:val="0"/>
    <w:pPr>
      <w:spacing w:line="580" w:lineRule="exact"/>
      <w:jc w:val="both"/>
    </w:pPr>
    <w:rPr>
      <w:rFonts w:ascii="宋体" w:hAnsi="Arial" w:eastAsia="宋体" w:cs="宋体"/>
      <w:bCs/>
      <w:kern w:val="2"/>
      <w:sz w:val="28"/>
      <w:szCs w:val="22"/>
      <w:lang w:val="en-US" w:eastAsia="zh-CN" w:bidi="ar-SA"/>
    </w:rPr>
  </w:style>
  <w:style w:type="paragraph" w:customStyle="1" w:styleId="224">
    <w:name w:val="简单回函地址"/>
    <w:basedOn w:val="1"/>
    <w:qFormat/>
    <w:uiPriority w:val="0"/>
    <w:rPr>
      <w:sz w:val="24"/>
      <w:szCs w:val="20"/>
    </w:rPr>
  </w:style>
  <w:style w:type="paragraph" w:customStyle="1" w:styleId="225">
    <w:name w:val="表内容"/>
    <w:basedOn w:val="1"/>
    <w:qFormat/>
    <w:uiPriority w:val="0"/>
    <w:pPr>
      <w:adjustRightInd w:val="0"/>
      <w:snapToGrid w:val="0"/>
      <w:jc w:val="center"/>
    </w:pPr>
  </w:style>
  <w:style w:type="paragraph" w:customStyle="1" w:styleId="226">
    <w:name w:val="！正文"/>
    <w:basedOn w:val="1"/>
    <w:qFormat/>
    <w:uiPriority w:val="0"/>
    <w:pPr>
      <w:jc w:val="center"/>
    </w:pPr>
    <w:rPr>
      <w:kern w:val="0"/>
      <w:sz w:val="20"/>
      <w:szCs w:val="20"/>
    </w:rPr>
  </w:style>
  <w:style w:type="paragraph" w:customStyle="1" w:styleId="227">
    <w:name w:val="正文2"/>
    <w:basedOn w:val="1"/>
    <w:qFormat/>
    <w:uiPriority w:val="0"/>
    <w:pPr>
      <w:tabs>
        <w:tab w:val="left" w:pos="1260"/>
      </w:tabs>
      <w:ind w:firstLine="210"/>
      <w:jc w:val="center"/>
    </w:pPr>
    <w:rPr>
      <w:kern w:val="0"/>
      <w:sz w:val="24"/>
      <w:szCs w:val="20"/>
    </w:rPr>
  </w:style>
  <w:style w:type="paragraph" w:customStyle="1" w:styleId="228">
    <w:name w:val="无间隔1"/>
    <w:qFormat/>
    <w:uiPriority w:val="0"/>
    <w:pPr>
      <w:widowControl w:val="0"/>
    </w:pPr>
    <w:rPr>
      <w:rFonts w:ascii="Times New Roman" w:hAnsi="Times New Roman" w:eastAsia="宋体" w:cs="Times New Roman"/>
      <w:kern w:val="2"/>
      <w:sz w:val="28"/>
      <w:szCs w:val="24"/>
      <w:lang w:val="en-US" w:eastAsia="zh-CN" w:bidi="ar-SA"/>
    </w:rPr>
  </w:style>
  <w:style w:type="paragraph" w:customStyle="1" w:styleId="229">
    <w:name w:val="表格文字"/>
    <w:basedOn w:val="1"/>
    <w:next w:val="1"/>
    <w:qFormat/>
    <w:uiPriority w:val="0"/>
    <w:pPr>
      <w:adjustRightInd w:val="0"/>
      <w:snapToGrid w:val="0"/>
      <w:spacing w:line="240" w:lineRule="auto"/>
      <w:ind w:firstLine="0" w:firstLineChars="0"/>
      <w:jc w:val="center"/>
    </w:pPr>
    <w:rPr>
      <w:sz w:val="18"/>
      <w:szCs w:val="24"/>
    </w:rPr>
  </w:style>
  <w:style w:type="paragraph" w:customStyle="1" w:styleId="230">
    <w:name w:val="【表头】"/>
    <w:qFormat/>
    <w:uiPriority w:val="0"/>
    <w:pPr>
      <w:widowControl w:val="0"/>
      <w:adjustRightInd w:val="0"/>
      <w:snapToGrid w:val="0"/>
      <w:spacing w:before="50" w:beforeLines="50"/>
      <w:jc w:val="center"/>
    </w:pPr>
    <w:rPr>
      <w:rFonts w:ascii="Times New Roman" w:hAnsi="Times New Roman" w:eastAsia="黑体" w:cs="Times New Roman"/>
      <w:kern w:val="2"/>
      <w:sz w:val="24"/>
      <w:szCs w:val="22"/>
      <w:lang w:val="en-US" w:eastAsia="zh-CN" w:bidi="ar-SA"/>
    </w:rPr>
  </w:style>
</w:styles>
</file>

<file path=word/_rels/document.xml.rels><?xml version="1.0" encoding="UTF-8" standalone="yes"?>
<Relationships xmlns="http://schemas.openxmlformats.org/package/2006/relationships"><Relationship Id="rId95" Type="http://schemas.openxmlformats.org/officeDocument/2006/relationships/fontTable" Target="fontTable.xml"/><Relationship Id="rId94" Type="http://schemas.openxmlformats.org/officeDocument/2006/relationships/customXml" Target="../customXml/item2.xml"/><Relationship Id="rId93" Type="http://schemas.openxmlformats.org/officeDocument/2006/relationships/numbering" Target="numbering.xml"/><Relationship Id="rId92" Type="http://schemas.openxmlformats.org/officeDocument/2006/relationships/customXml" Target="../customXml/item1.xml"/><Relationship Id="rId91" Type="http://schemas.openxmlformats.org/officeDocument/2006/relationships/image" Target="media/image82.jpeg"/><Relationship Id="rId90" Type="http://schemas.openxmlformats.org/officeDocument/2006/relationships/image" Target="media/image81.jpeg"/><Relationship Id="rId9" Type="http://schemas.openxmlformats.org/officeDocument/2006/relationships/image" Target="media/image2.png"/><Relationship Id="rId89" Type="http://schemas.openxmlformats.org/officeDocument/2006/relationships/image" Target="media/image80.jpeg"/><Relationship Id="rId88" Type="http://schemas.openxmlformats.org/officeDocument/2006/relationships/image" Target="media/image79.jpeg"/><Relationship Id="rId87" Type="http://schemas.openxmlformats.org/officeDocument/2006/relationships/image" Target="media/image78.jpeg"/><Relationship Id="rId86" Type="http://schemas.openxmlformats.org/officeDocument/2006/relationships/image" Target="media/image77.jpeg"/><Relationship Id="rId85" Type="http://schemas.openxmlformats.org/officeDocument/2006/relationships/image" Target="media/image76.jpeg"/><Relationship Id="rId84" Type="http://schemas.openxmlformats.org/officeDocument/2006/relationships/image" Target="media/image75.jpeg"/><Relationship Id="rId83" Type="http://schemas.openxmlformats.org/officeDocument/2006/relationships/image" Target="media/image74.jpeg"/><Relationship Id="rId82" Type="http://schemas.openxmlformats.org/officeDocument/2006/relationships/image" Target="media/image73.jpe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image" Target="media/image1.png"/><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theme" Target="theme/theme1.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header" Target="header2.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jpeg"/><Relationship Id="rId50" Type="http://schemas.openxmlformats.org/officeDocument/2006/relationships/image" Target="media/image41.jpeg"/><Relationship Id="rId5" Type="http://schemas.openxmlformats.org/officeDocument/2006/relationships/header" Target="header1.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wmf"/><Relationship Id="rId43" Type="http://schemas.openxmlformats.org/officeDocument/2006/relationships/image" Target="media/image34.wmf"/><Relationship Id="rId42" Type="http://schemas.openxmlformats.org/officeDocument/2006/relationships/image" Target="media/image33.wmf"/><Relationship Id="rId41" Type="http://schemas.openxmlformats.org/officeDocument/2006/relationships/image" Target="media/image32.wmf"/><Relationship Id="rId40" Type="http://schemas.openxmlformats.org/officeDocument/2006/relationships/image" Target="media/image31.wmf"/><Relationship Id="rId4" Type="http://schemas.openxmlformats.org/officeDocument/2006/relationships/footer" Target="footer2.xml"/><Relationship Id="rId39" Type="http://schemas.openxmlformats.org/officeDocument/2006/relationships/image" Target="media/image30.wmf"/><Relationship Id="rId38" Type="http://schemas.openxmlformats.org/officeDocument/2006/relationships/image" Target="media/image29.wmf"/><Relationship Id="rId37" Type="http://schemas.openxmlformats.org/officeDocument/2006/relationships/image" Target="media/image28.wmf"/><Relationship Id="rId36" Type="http://schemas.openxmlformats.org/officeDocument/2006/relationships/image" Target="media/image27.wmf"/><Relationship Id="rId35" Type="http://schemas.openxmlformats.org/officeDocument/2006/relationships/image" Target="media/image26.wmf"/><Relationship Id="rId34" Type="http://schemas.openxmlformats.org/officeDocument/2006/relationships/image" Target="media/image25.wmf"/><Relationship Id="rId33" Type="http://schemas.openxmlformats.org/officeDocument/2006/relationships/image" Target="media/image24.wmf"/><Relationship Id="rId32" Type="http://schemas.openxmlformats.org/officeDocument/2006/relationships/image" Target="media/image23.wmf"/><Relationship Id="rId31" Type="http://schemas.openxmlformats.org/officeDocument/2006/relationships/image" Target="media/image22.wmf"/><Relationship Id="rId30" Type="http://schemas.openxmlformats.org/officeDocument/2006/relationships/image" Target="media/image21.wmf"/><Relationship Id="rId3" Type="http://schemas.openxmlformats.org/officeDocument/2006/relationships/footer" Target="footer1.xml"/><Relationship Id="rId29" Type="http://schemas.openxmlformats.org/officeDocument/2006/relationships/image" Target="media/image20.wmf"/><Relationship Id="rId28" Type="http://schemas.openxmlformats.org/officeDocument/2006/relationships/image" Target="media/image19.wmf"/><Relationship Id="rId27" Type="http://schemas.openxmlformats.org/officeDocument/2006/relationships/image" Target="media/image18.wmf"/><Relationship Id="rId26" Type="http://schemas.openxmlformats.org/officeDocument/2006/relationships/image" Target="media/image17.wmf"/><Relationship Id="rId25" Type="http://schemas.openxmlformats.org/officeDocument/2006/relationships/image" Target="media/image16.wmf"/><Relationship Id="rId24" Type="http://schemas.openxmlformats.org/officeDocument/2006/relationships/image" Target="media/image15.wmf"/><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emf"/><Relationship Id="rId17" Type="http://schemas.openxmlformats.org/officeDocument/2006/relationships/oleObject" Target="embeddings/oleObject2.bin"/><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emf"/><Relationship Id="rId13" Type="http://schemas.openxmlformats.org/officeDocument/2006/relationships/oleObject" Target="embeddings/oleObject1.bin"/><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1066ed26-8c36-4fdc-ab12-f62f2f0776d3</errorID>
      <errorWord>二嗯英</errorWord>
      <group>L1_Other</group>
      <groupName>其他问题</groupName>
      <ability>L2_Consistency</ability>
      <abilityName>一致性检查</abilityName>
      <candidateList>
        <item>二噁英</item>
      </candidateList>
      <explain>术语一致性问题，前后对该专业术语表述不一致，统一为‘二噁英’</explain>
      <paraID>764469E0</paraID>
      <start>13</start>
      <end>16</end>
      <status>modified</status>
      <modifiedWord>二噁英</modifiedWord>
      <trackRevisions>false</trackRevisions>
    </reviewItem>
    <reviewItem>
      <errorID>be1d445c-be0e-43e5-be23-ef329c00934b</errorID>
      <errorWord>苯并[a]葩</errorWord>
      <group>L1_Other</group>
      <groupName>其他问题</groupName>
      <ability>L2_Consistency</ability>
      <abilityName>一致性检查</abilityName>
      <candidateList>
        <item>苯并[a]芘</item>
      </candidateList>
      <explain>术语一致性问题，前后对该专业术语表述不一致，统一为‘苯并[a]芘’</explain>
      <paraID>764469E0</paraID>
      <start>17</start>
      <end>23</end>
      <status>modified</status>
      <modifiedWord>苯并[a]芘</modifiedWord>
      <trackRevisions>false</trackRevisions>
    </reviewItem>
    <reviewItem>
      <errorID>41dd03a7-16bf-4dd6-9f9a-93da7ed120c4</errorID>
      <errorWord>属于生态</errorWord>
      <group>L1_Grammar</group>
      <groupName>语法问题</groupName>
      <ability>L2_Grammar</ability>
      <abilityName>语法错误</abilityName>
      <candidateList>
        <item>属于</item>
      </candidateList>
      <explain/>
      <paraID>794300A5</paraID>
      <start>15</start>
      <end>17</end>
      <status>modified</status>
      <modifiedWord>属于</modifiedWord>
      <trackRevisions>false</trackRevisions>
    </reviewItem>
    <reviewItem>
      <errorID>a6cd16fb-f0fd-4c5a-8021-cd984328f8bf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64C65CE6</paraID>
      <start>30</start>
      <end>31</end>
      <status>modified</status>
      <modifiedWord>—</modifiedWord>
      <trackRevisions>false</trackRevisions>
    </reviewItem>
    <reviewItem>
      <errorID>5528222a-cea6-45c9-9265-1cfdfb8d9e76</errorID>
      <errorWord>:</errorWord>
      <group>L1_Format</group>
      <groupName>格式问题</groupName>
      <ability>L2_HalfPunc</ability>
      <abilityName>全半角检查</abilityName>
      <candidateList>
        <item>：</item>
      </candidateList>
      <explain>文本全半角错误。</explain>
      <paraID>3833E3B7</paraID>
      <start>37</start>
      <end>38</end>
      <status>modified</status>
      <modifiedWord>：</modifiedWord>
      <trackRevisions>false</trackRevisions>
    </reviewItem>
    <reviewItem>
      <errorID>685964b7-f65f-44e2-b1d0-99c7909d2411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3833E3B7</paraID>
      <start>57</start>
      <end>58</end>
      <status>modified</status>
      <modifiedWord>—</modifiedWord>
      <trackRevisions>false</trackRevisions>
    </reviewItem>
    <reviewItem>
      <errorID>adb23f1a-49c9-4362-8efd-712dd323daeb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1E69FE</paraID>
      <start>32</start>
      <end>33</end>
      <status>modified</status>
      <modifiedWord>—</modifiedWord>
      <trackRevisions>false</trackRevisions>
    </reviewItem>
    <reviewItem>
      <errorID>7220e51d-6c44-41c3-828d-c75cd8317252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FE7942B</paraID>
      <start>33</start>
      <end>34</end>
      <status>modified</status>
      <modifiedWord>—</modifiedWord>
      <trackRevisions>false</trackRevisions>
    </reviewItem>
    <reviewItem>
      <errorID>f492850f-aa3f-4283-a4be-d2f9d2e95587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13F74F50</paraID>
      <start>0</start>
      <end>2</end>
      <status>modified</status>
      <modifiedWord>1.</modifiedWord>
      <trackRevisions>false</trackRevisions>
    </reviewItem>
    <reviewItem>
      <errorID>014b0d83-ad9e-45d6-b7b3-8836cab531bf</errorID>
      <errorWord>国务院常</errorWord>
      <group>L1_Word</group>
      <groupName>字词问题</groupName>
      <ability>L2_Typo</ability>
      <abilityName>字词错误</abilityName>
      <candidateList>
        <item>国务院</item>
      </candidateList>
      <explain/>
      <paraID>27395102</paraID>
      <start>177</start>
      <end>180</end>
      <status>modified</status>
      <modifiedWord>国务院</modifiedWord>
      <trackRevisions>false</trackRevisions>
    </reviewItem>
    <reviewItem>
      <errorID>1be19586-6fde-47fd-92b1-98c29931d7ed</errorID>
      <errorWord>分</errorWord>
      <group>L1_Word</group>
      <groupName>字词问题</groupName>
      <ability>L2_Typo</ability>
      <abilityName>字词错误</abilityName>
      <candidateList>
        <item>分为</item>
      </candidateList>
      <explain/>
      <paraID>27395102</paraID>
      <start>265</start>
      <end>267</end>
      <status>modified</status>
      <modifiedWord>分为</modifiedWord>
      <trackRevisions>false</trackRevisions>
    </reviewItem>
    <reviewItem>
      <errorID>552298c0-6960-40e3-abe9-7e89b3d265f8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763B0839</paraID>
      <start>21</start>
      <end>22</end>
      <status>modified</status>
      <modifiedWord>—</modifiedWord>
      <trackRevisions>false</trackRevisions>
    </reviewItem>
    <reviewItem>
      <errorID>f15847f8-231d-44b9-bbbe-5ef7dfd7ab6a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763B0839</paraID>
      <start>86</start>
      <end>87</end>
      <status>modified</status>
      <modifiedWord>—</modifiedWord>
      <trackRevisions>false</trackRevisions>
    </reviewItem>
    <reviewItem>
      <errorID>91fa4f24-2ee8-41b3-9379-d3352c07a21d</errorID>
      <errorWord>;</errorWord>
      <group>L1_Format</group>
      <groupName>格式问题</groupName>
      <ability>L2_HalfPunc</ability>
      <abilityName>全半角检查</abilityName>
      <candidateList>
        <item>；</item>
      </candidateList>
      <explain>文本全半角错误。</explain>
      <paraID>763B0839</paraID>
      <start>196</start>
      <end>197</end>
      <status>modified</status>
      <modifiedWord>；</modifiedWord>
      <trackRevisions>false</trackRevisions>
    </reviewItem>
    <reviewItem>
      <errorID>df9a68d9-9260-4f9e-b5f4-e1ca8f6c70ec</errorID>
      <errorWord>:</errorWord>
      <group>L1_Format</group>
      <groupName>格式问题</groupName>
      <ability>L2_HalfPunc</ability>
      <abilityName>全半角检查</abilityName>
      <candidateList>
        <item>：</item>
      </candidateList>
      <explain>文本全半角错误。</explain>
      <paraID>763B0839</paraID>
      <start>212</start>
      <end>213</end>
      <status>modified</status>
      <modifiedWord>：</modifiedWord>
      <trackRevisions>false</trackRevisions>
    </reviewItem>
    <reviewItem>
      <errorID>c9fe5417-7c33-414c-ab71-45a213b652f9</errorID>
      <errorWord>:</errorWord>
      <group>L1_Format</group>
      <groupName>格式问题</groupName>
      <ability>L2_HalfPunc</ability>
      <abilityName>全半角检查</abilityName>
      <candidateList>
        <item>：</item>
      </candidateList>
      <explain>文本全半角错误。</explain>
      <paraID>5951AFF4</paraID>
      <start>4</start>
      <end>5</end>
      <status>modified</status>
      <modifiedWord>：</modifiedWord>
      <trackRevisions>false</trackRevisions>
    </reviewItem>
    <reviewItem>
      <errorID>36d2706c-f886-4bbd-96c2-341f9bc1b56e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5951AFF4</paraID>
      <start>36</start>
      <end>37</end>
      <status>modified</status>
      <modifiedWord>—</modifiedWord>
      <trackRevisions>false</trackRevisions>
    </reviewItem>
    <reviewItem>
      <errorID>8ca39533-12cb-4a47-aa97-169288c4263f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5951AFF4</paraID>
      <start>51</start>
      <end>52</end>
      <status>modified</status>
      <modifiedWord>—</modifiedWord>
      <trackRevisions>false</trackRevisions>
    </reviewItem>
    <reviewItem>
      <errorID>aeabeaac-dfad-493a-9ef5-1dbea1bed893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5951AFF4</paraID>
      <start>66</start>
      <end>67</end>
      <status>modified</status>
      <modifiedWord>—</modifiedWord>
      <trackRevisions>false</trackRevisions>
    </reviewItem>
    <reviewItem>
      <errorID>ce1c2812-2f96-455e-9788-5b0e79d7991c</errorID>
      <errorWord>）</errorWord>
      <group>L1_Word</group>
      <groupName>字词问题</groupName>
      <ability>L2_Typo</ability>
      <abilityName>字词错误</abilityName>
      <candidateList>
        <item>年）</item>
      </candidateList>
      <explain/>
      <paraID>4995E355</paraID>
      <start>28</start>
      <end>30</end>
      <status>modified</status>
      <modifiedWord>年）</modifiedWord>
      <trackRevisions>false</trackRevisions>
    </reviewItem>
    <reviewItem>
      <errorID>63d4ee66-74a7-4393-b014-3bf63676458f</errorID>
      <errorWord>；</errorWord>
      <group>L1_Grammar</group>
      <groupName>语法问题</groupName>
      <ability>L2_Grammar</ability>
      <abilityName>语法错误</abilityName>
      <candidateList>
        <item>项目，</item>
      </candidateList>
      <explain/>
      <paraID>4995E355</paraID>
      <start>80</start>
      <end>83</end>
      <status>modified</status>
      <modifiedWord>项目，</modifiedWord>
      <trackRevisions>false</trackRevisions>
    </reviewItem>
    <reviewItem>
      <errorID>6dc0d4d0-2b38-487d-9650-5c5be709de42</errorID>
      <errorWord>；</errorWord>
      <group>L1_Punc</group>
      <groupName>标点问题</groupName>
      <ability>L2_Punc</ability>
      <abilityName>标点符号检查</abilityName>
      <candidateList>
        <item>，</item>
      </candidateList>
      <explain/>
      <paraID>4995E355</paraID>
      <start>114</start>
      <end>115</end>
      <status>modified</status>
      <modifiedWord>，</modifiedWord>
      <trackRevisions>false</trackRevisions>
    </reviewItem>
    <reviewItem>
      <errorID>f369d533-87ef-4b69-a92a-d072d4b69987</errorID>
      <errorWord>；</errorWord>
      <group>L1_Punc</group>
      <groupName>标点问题</groupName>
      <ability>L2_Punc</ability>
      <abilityName>标点符号检查</abilityName>
      <candidateList>
        <item>，</item>
      </candidateList>
      <explain/>
      <paraID>4995E355</paraID>
      <start>147</start>
      <end>148</end>
      <status>modified</status>
      <modifiedWord>，</modifiedWord>
      <trackRevisions>false</trackRevisions>
    </reviewItem>
    <reviewItem>
      <errorID>4678766d-8970-403d-a2c0-0a159ca5dbdf</errorID>
      <errorWord>；</errorWord>
      <group>L1_Punc</group>
      <groupName>标点问题</groupName>
      <ability>L2_Punc</ability>
      <abilityName>标点符号检查</abilityName>
      <candidateList>
        <item>，</item>
      </candidateList>
      <explain/>
      <paraID>4995E355</paraID>
      <start>168</start>
      <end>169</end>
      <status>modified</status>
      <modifiedWord>，</modifiedWord>
      <trackRevisions>false</trackRevisions>
    </reviewItem>
    <reviewItem>
      <errorID>144f48aa-43c0-4504-bb02-32eac5c40640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717A96E7</paraID>
      <start>21</start>
      <end>22</end>
      <status>modified</status>
      <modifiedWord>—</modifiedWord>
      <trackRevisions>false</trackRevisions>
    </reviewItem>
    <reviewItem>
      <errorID>cac92ea1-4fef-493a-8ce4-b3f617455d2f</errorID>
      <errorWord>在</errorWord>
      <group>L1_Punc</group>
      <groupName>标点问题</groupName>
      <ability>L2_Punc</ability>
      <abilityName>标点符号检查</abilityName>
      <candidateList>
        <item>，在</item>
      </candidateList>
      <explain/>
      <paraID>74216699</paraID>
      <start>239</start>
      <end>240</end>
      <status>unmodified</status>
      <modifiedWord/>
      <trackRevisions>false</trackRevisions>
    </reviewItem>
    <reviewItem>
      <errorID>f02c0317-c572-401e-bf30-9937ab76b7f1</errorID>
      <errorWord>，会对</errorWord>
      <group>L1_Grammar</group>
      <groupName>语法问题</groupName>
      <ability>L2_Grammar</ability>
      <abilityName>语法错误</abilityName>
      <candidateList>
        <item>，</item>
      </candidateList>
      <explain/>
      <paraID>74216699</paraID>
      <start>257</start>
      <end>258</end>
      <status>modified</status>
      <modifiedWord>，</modifiedWord>
      <trackRevisions>false</trackRevisions>
    </reviewItem>
    <reviewItem>
      <errorID>8db99c30-ba41-418d-8b34-e35be1fb9cd2</errorID>
      <errorWord>废水</errorWord>
      <group>L1_Word</group>
      <groupName>字词问题</groupName>
      <ability>L2_Typo</ability>
      <abilityName>字词错误</abilityName>
      <candidateList>
        <item>的废水</item>
      </candidateList>
      <explain/>
      <paraID>74216699</paraID>
      <start>264</start>
      <end>267</end>
      <status>modified</status>
      <modifiedWord>的废水</modifiedWord>
      <trackRevisions>false</trackRevisions>
    </reviewItem>
    <reviewItem>
      <errorID>6b9ba596-8ff3-4427-b9d3-03c3ce384ac2</errorID>
      <errorWord>，</errorWord>
      <group>L1_Punc</group>
      <groupName>标点问题</groupName>
      <ability>L2_Punc</ability>
      <abilityName>标点符号检查</abilityName>
      <candidateList>
        <item>。</item>
      </candidateList>
      <explain/>
      <paraID>74216699</paraID>
      <start>429</start>
      <end>430</end>
      <status>modified</status>
      <modifiedWord>。</modifiedWord>
      <trackRevisions>false</trackRevisions>
    </reviewItem>
    <reviewItem>
      <errorID>8503ebf4-ac4a-4a9b-99ac-97ef3fd8775c</errorID>
      <errorWord>情况</errorWord>
      <group>L1_Word</group>
      <groupName>字词问题</groupName>
      <ability>L2_Typo</ability>
      <abilityName>字词错误</abilityName>
      <candidateList>
        <item>的情况</item>
      </candidateList>
      <explain/>
      <paraID>74216699</paraID>
      <start>444</start>
      <end>446</end>
      <status>unmodified</status>
      <modifiedWord/>
      <trackRevisions>false</trackRevisions>
    </reviewItem>
    <reviewItem>
      <errorID>1baa79b7-c80b-4a91-9a03-518ac0ed86ea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1E053A28</paraID>
      <start>21</start>
      <end>22</end>
      <status>modified</status>
      <modifiedWord>—</modifiedWord>
      <trackRevisions>false</trackRevisions>
    </reviewItem>
    <reviewItem>
      <errorID>e036e1c2-920e-4d9f-ba46-4787c7980d4e</errorID>
      <errorWord>三同时</errorWord>
      <group>L1_Punc</group>
      <groupName>标点问题</groupName>
      <ability>L2_Punc</ability>
      <abilityName>标点符号检查</abilityName>
      <candidateList>
        <item>“三同时”</item>
      </candidateList>
      <explain/>
      <paraID>70008424</paraID>
      <start>7</start>
      <end>10</end>
      <status>unmodified</status>
      <modifiedWord/>
      <trackRevisions>false</trackRevisions>
    </reviewItem>
    <reviewItem>
      <errorID>216f4fa8-0e20-417f-ae29-b4c11473c820</errorID>
      <errorWord>制度</errorWord>
      <group>L1_Word</group>
      <groupName>字词问题</groupName>
      <ability>L2_Typo</ability>
      <abilityName>字词错误</abilityName>
      <candidateList>
        <item>要求</item>
      </candidateList>
      <explain/>
      <paraID>3EE64A8F</paraID>
      <start>11</start>
      <end>13</end>
      <status>modified</status>
      <modifiedWord>要求</modifiedWord>
      <trackRevisions>false</trackRevisions>
    </reviewItem>
    <reviewItem>
      <errorID>7ba26c5f-87bf-4142-aed8-e4926f10a802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2107FA3E</paraID>
      <start>0</start>
      <end>2</end>
      <status>modified</status>
      <modifiedWord>2.</modifiedWord>
      <trackRevisions>false</trackRevisions>
    </reviewItem>
    <reviewItem>
      <errorID>a43cb6cc-394e-4110-b91a-4695631df275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2107FA3E</paraID>
      <start>28</start>
      <end>29</end>
      <status>modified</status>
      <modifiedWord>—</modifiedWord>
      <trackRevisions>false</trackRevisions>
    </reviewItem>
    <reviewItem>
      <errorID>395672f8-f233-4ad6-975c-4796aa4c83a8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3F0AF9A5</paraID>
      <start>27</start>
      <end>28</end>
      <status>modified</status>
      <modifiedWord>—</modifiedWord>
      <trackRevisions>false</trackRevisions>
    </reviewItem>
    <reviewItem>
      <errorID>15d41de2-7ae2-4554-90c8-2ef985facdc6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2DA43CA6</paraID>
      <start>30</start>
      <end>31</end>
      <status>modified</status>
      <modifiedWord>—</modifiedWord>
      <trackRevisions>false</trackRevisions>
    </reviewItem>
    <reviewItem>
      <errorID>2b75b23c-17cc-404b-bcb4-82a0166c25a7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2DA43CA6</paraID>
      <start>89</start>
      <end>90</end>
      <status>modified</status>
      <modifiedWord>—</modifiedWord>
      <trackRevisions>false</trackRevisions>
    </reviewItem>
    <reviewItem>
      <errorID>4f691eae-141a-4b87-91a2-1f8ba593b6e4</errorID>
      <errorWord>产业政策</errorWord>
      <group>L1_Punc</group>
      <groupName>标点问题</groupName>
      <ability>L2_Punc</ability>
      <abilityName>标点符号检查</abilityName>
      <candidateList>
        <item>. 产业政策</item>
      </candidateList>
      <explain/>
      <paraID>4D6EE932</paraID>
      <start>1</start>
      <end>7</end>
      <status>modified</status>
      <modifiedWord>. 产业政策</modifiedWord>
      <trackRevisions>false</trackRevisions>
    </reviewItem>
    <reviewItem>
      <errorID>6ea01627-63bc-4e1c-8874-ad98ee03aae1</errorID>
      <errorWord>《产业结构调整指导目录》（2024年本）</errorWord>
      <group>L1_Knowledge</group>
      <groupName>知识性问题</groupName>
      <ability>L2_Knowledge</ability>
      <abilityName>其他知识</abilityName>
      <candidateList>
        <item>《产业结构调整指导目录（2024年本）》</item>
      </candidateList>
      <explain>疑似政策文件、法律法规名称等书写不规范，请注意检查。</explain>
      <paraID>443F1D1B</paraID>
      <start>15</start>
      <end>35</end>
      <status>modified</status>
      <modifiedWord>《产业结构调整指导目录（2024年本）》</modifiedWord>
      <trackRevisions>false</trackRevisions>
    </reviewItem>
    <reviewItem>
      <errorID>86db9eac-826c-4ff7-b093-5810ed490e7a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2DBB75E7</paraID>
      <start>0</start>
      <end>2</end>
      <status>modified</status>
      <modifiedWord>2.</modifiedWord>
      <trackRevisions>false</trackRevisions>
    </reviewItem>
    <reviewItem>
      <errorID>36986911-669c-43ea-bdba-5b4f74052b3a</errorID>
      <errorWord>[2022]31号</errorWord>
      <group>L1_Knowledge</group>
      <groupName>知识性问题</groupName>
      <ability>L2_Knowledge</ability>
      <abilityName>其他知识</abilityName>
      <candidateList>
        <item>〔2022〕31号</item>
      </candidateList>
      <explain>发文字号格式错误。</explain>
      <paraID>2DBB75E7</paraID>
      <start>28</start>
      <end>37</end>
      <status>unmodified</status>
      <modifiedWord/>
      <trackRevisions>false</trackRevisions>
    </reviewItem>
    <reviewItem>
      <errorID>bf5b8dec-c373-44e1-a0da-d26a3ac35204</errorID>
      <errorWord>[2022]31号</errorWord>
      <group>L1_Knowledge</group>
      <groupName>知识性问题</groupName>
      <ability>L2_Knowledge</ability>
      <abilityName>其他知识</abilityName>
      <candidateList>
        <item>〔2022〕31号</item>
      </candidateList>
      <explain>发文字号格式错误。</explain>
      <paraID> 6CC034D</paraID>
      <start>9</start>
      <end>18</end>
      <status>unmodified</status>
      <modifiedWord/>
      <trackRevisions>false</trackRevisions>
    </reviewItem>
    <reviewItem>
      <errorID>da7acc6c-7c05-42c0-a495-34d16f582bfa</errorID>
      <errorWord>《产业结构调整指导目录》（2024年本）</errorWord>
      <group>L1_Knowledge</group>
      <groupName>知识性问题</groupName>
      <ability>L2_Knowledge</ability>
      <abilityName>其他知识</abilityName>
      <candidateList>
        <item>《产业结构调整指导目录（2024年本）》</item>
      </candidateList>
      <explain>疑似政策文件、法律法规名称等书写不规范，请注意检查。</explain>
      <paraID>7779F3CF</paraID>
      <start>2</start>
      <end>22</end>
      <status>modified</status>
      <modifiedWord>《产业结构调整指导目录（2024年本）》</modifiedWord>
      <trackRevisions>false</trackRevisions>
    </reviewItem>
    <reviewItem>
      <errorID>00177f44-703e-4eff-957a-90846a856f60</errorID>
      <errorWord>昌吉经济开发区</errorWord>
      <group>L1_Other</group>
      <groupName>其他问题</groupName>
      <ability>L2_Consistency</ability>
      <abilityName>一致性检查</abilityName>
      <candidateList>
        <item>昌吉高新技术产业开发区</item>
      </candidateList>
      <explain>实体一致性问题，前后对项目所在地表述不一致，统一为‘昌吉高新技术产业开发区’</explain>
      <paraID> 9D76B7A</paraID>
      <start>5</start>
      <end>16</end>
      <status>modified</status>
      <modifiedWord>昌吉高新技术产业开发区</modifiedWord>
      <trackRevisions>false</trackRevisions>
    </reviewItem>
    <reviewItem>
      <errorID>fd4a6587-76f5-4f13-b213-36ef47a7e80a</errorID>
      <errorWord>利用高，</errorWord>
      <group>L1_Word</group>
      <groupName>字词问题</groupName>
      <ability>L2_Typo</ability>
      <abilityName>字词错误</abilityName>
      <candidateList>
        <item>利用率高，</item>
      </candidateList>
      <explain/>
      <paraID>70D1AC96</paraID>
      <start>13</start>
      <end>18</end>
      <status>modified</status>
      <modifiedWord>利用率高，</modifiedWord>
      <trackRevisions>false</trackRevisions>
    </reviewItem>
    <reviewItem>
      <errorID>b0325c4c-5496-465b-a8e6-e2a1acd1f6d1</errorID>
      <errorWord>，</errorWord>
      <group>L1_Word</group>
      <groupName>字词问题</groupName>
      <ability>L2_Typo</ability>
      <abilityName>字词错误</abilityName>
      <candidateList>
        <item>，对</item>
      </candidateList>
      <explain/>
      <paraID>7422374F</paraID>
      <start>94</start>
      <end>95</end>
      <status>unmodified</status>
      <modifiedWord/>
      <trackRevisions>false</trackRevisions>
    </reviewItem>
    <reviewItem>
      <errorID>b8f53c36-5907-4756-bcc7-64a6d0ee5b5d</errorID>
      <errorWord>站水</errorWord>
      <group>L1_Word</group>
      <groupName>字词问题</groupName>
      <ability>L2_Typo</ability>
      <abilityName>字词错误</abilityName>
      <candidateList>
        <item>站</item>
      </candidateList>
      <explain/>
      <paraID>1CE33753</paraID>
      <start>9</start>
      <end>10</end>
      <status>modified</status>
      <modifiedWord>站</modifiedWord>
      <trackRevisions>false</trackRevisions>
    </reviewItem>
    <reviewItem>
      <errorID>ae405ffc-97d7-4c03-b594-00de9b337558</errorID>
      <errorWord>排污水、锅炉排污水</errorWord>
      <group>L1_Grammar</group>
      <groupName>语法问题</groupName>
      <ability>L2_Grammar</ability>
      <abilityName>语法错误</abilityName>
      <candidateList>
        <item>排水、锅炉排水</item>
      </candidateList>
      <explain/>
      <paraID>1CE33753</paraID>
      <start>19</start>
      <end>28</end>
      <status>unmodified</status>
      <modifiedWord/>
      <trackRevisions>false</trackRevisions>
    </reviewItem>
    <reviewItem>
      <errorID>026c87a4-6e47-4bbc-adbd-2347adb21439</errorID>
      <errorWord>排污水</errorWord>
      <group>L1_Word</group>
      <groupName>字词问题</groupName>
      <ability>L2_Typo</ability>
      <abilityName>字词错误</abilityName>
      <candidateList>
        <item>排水</item>
      </candidateList>
      <explain/>
      <paraID>1CE33753</paraID>
      <start>35</start>
      <end>38</end>
      <status>unmodified</status>
      <modifiedWord/>
      <trackRevisions>false</trackRevisions>
    </reviewItem>
    <reviewItem>
      <errorID>8ef82c27-5cc9-4809-b2a8-aad5ee7f304c</errorID>
      <errorWord>;</errorWord>
      <group>L1_Format</group>
      <groupName>格式问题</groupName>
      <ability>L2_HalfPunc</ability>
      <abilityName>全半角检查</abilityName>
      <candidateList>
        <item>；</item>
      </candidateList>
      <explain>文本全半角错误。</explain>
      <paraID>456C6BAB</paraID>
      <start>203</start>
      <end>204</end>
      <status>modified</status>
      <modifiedWord>；</modifiedWord>
      <trackRevisions>false</trackRevisions>
    </reviewItem>
    <reviewItem>
      <errorID>1d08144d-6054-4050-b2d9-7c12c56a5fd5</errorID>
      <errorWord>GB18598</errorWord>
      <group>L1_Word</group>
      <groupName>字词问题</groupName>
      <ability>L2_Typo</ability>
      <abilityName>字词错误</abilityName>
      <candidateList>
        <item>GB 18598</item>
      </candidateList>
      <explain/>
      <paraID>269B6EE6</paraID>
      <start>65</start>
      <end>73</end>
      <status>modified</status>
      <modifiedWord>GB 18598</modifiedWord>
      <trackRevisions>false</trackRevisions>
    </reviewItem>
    <reviewItem>
      <errorID>6291ae1d-3c6e-46fb-a50d-570a8a6fc99a</errorID>
      <errorWord>GB18484</errorWord>
      <group>L1_Word</group>
      <groupName>字词问题</groupName>
      <ability>L2_Typo</ability>
      <abilityName>字词错误</abilityName>
      <candidateList>
        <item>GB 18484</item>
      </candidateList>
      <explain/>
      <paraID>269B6EE6</paraID>
      <start>121</start>
      <end>129</end>
      <status>modified</status>
      <modifiedWord>GB 18484</modifiedWord>
      <trackRevisions>false</trackRevisions>
    </reviewItem>
    <reviewItem>
      <errorID>ea8a772d-b65d-4a80-9945-9d47d329633e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33C5936B</paraID>
      <start>0</start>
      <end>2</end>
      <status>modified</status>
      <modifiedWord>3.</modifiedWord>
      <trackRevisions>false</trackRevisions>
    </reviewItem>
    <reviewItem>
      <errorID>8a4ef338-ea0e-48ff-b109-f4a80c7740b7</errorID>
      <errorWord>同治区</errorWord>
      <group>L1_Word</group>
      <groupName>字词问题</groupName>
      <ability>L2_Typo</ability>
      <abilityName>字词错误</abilityName>
      <candidateList>
        <item>同治</item>
      </candidateList>
      <explain/>
      <paraID>14E45C86</paraID>
      <start>28</start>
      <end>30</end>
      <status>modified</status>
      <modifiedWord>同治</modifiedWord>
      <trackRevisions>false</trackRevisions>
    </reviewItem>
    <reviewItem>
      <errorID>30a2300d-6a0d-43b3-bc3a-240fac9ec992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4E843722</paraID>
      <start>0</start>
      <end>2</end>
      <status>modified</status>
      <modifiedWord>4.</modifiedWord>
      <trackRevisions>false</trackRevisions>
    </reviewItem>
    <reviewItem>
      <errorID>6074bcdc-af4b-4720-9b23-bb377cc6f921</errorID>
      <errorWord>）文件中</errorWord>
      <group>L1_Grammar</group>
      <groupName>语法问题</groupName>
      <ability>L2_Grammar</ability>
      <abilityName>语法错误</abilityName>
      <candidateList>
        <item>）</item>
      </candidateList>
      <explain/>
      <paraID>66D3193B</paraID>
      <start>51</start>
      <end>52</end>
      <status>modified</status>
      <modifiedWord>）</modifiedWord>
      <trackRevisions>false</trackRevisions>
    </reviewItem>
    <reviewItem>
      <errorID>bde7446e-dbb8-40e0-a837-b9e8dfd25733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32DD37A6</paraID>
      <start>0</start>
      <end>2</end>
      <status>modified</status>
      <modifiedWord>4.</modifiedWord>
      <trackRevisions>false</trackRevisions>
    </reviewItem>
    <reviewItem>
      <errorID>d6d50174-3cc4-49d1-81e4-9f909dadc8a7</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1858CA7C</paraID>
      <start>0</start>
      <end>2</end>
      <status>modified</status>
      <modifiedWord>5.</modifiedWord>
      <trackRevisions>false</trackRevisions>
    </reviewItem>
    <reviewItem>
      <errorID>92737295-5bf8-4983-91cc-b0f5a9ecd7bc</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525C40B1</paraID>
      <start>0</start>
      <end>2</end>
      <status>modified</status>
      <modifiedWord>6.</modifiedWord>
      <trackRevisions>false</trackRevisions>
    </reviewItem>
    <reviewItem>
      <errorID>4ba4aa32-bd54-4500-9140-7b9044ab072b</errorID>
      <errorWord>中共中央国务院</errorWord>
      <group>L1_Political</group>
      <groupName>政治性问题</groupName>
      <ability>L2_Keyword</ability>
      <abilityName>固定表述</abilityName>
      <candidateList>
        <item>中共中央、国务院</item>
      </candidateList>
      <explain>注意检查当前固定表述标点是否使用规范。</explain>
      <paraID>6510CB4A</paraID>
      <start>6</start>
      <end>14</end>
      <status>modified</status>
      <modifiedWord>中共中央、国务院</modifiedWord>
      <trackRevisions>false</trackRevisions>
    </reviewItem>
    <reviewItem>
      <errorID>a8504399-837d-4e28-adba-88636df2b616</errorID>
      <errorWord>&lt;</errorWord>
      <group>L1_Format</group>
      <groupName>格式问题</groupName>
      <ability>L2_HalfPunc</ability>
      <abilityName>全半角检查</abilityName>
      <candidateList>
        <item>〈</item>
      </candidateList>
      <explain>文本全半角错误。</explain>
      <paraID>433B7129</paraID>
      <start>8</start>
      <end>9</end>
      <status>modified</status>
      <modifiedWord>〈</modifiedWord>
      <trackRevisions>false</trackRevisions>
    </reviewItem>
    <reviewItem>
      <errorID>8d924983-9f67-4a96-88d8-ac0941b1cd8d</errorID>
      <errorWord>&gt;的通知》</errorWord>
      <group>L1_Punc</group>
      <groupName>标点问题</groupName>
      <ability>L2_Punc</ability>
      <abilityName>标点符号检查</abilityName>
      <candidateList>
        <item>〉的通知》</item>
      </candidateList>
      <explain/>
      <paraID>433B7129</paraID>
      <start>31</start>
      <end>36</end>
      <status>modified</status>
      <modifiedWord>〉的通知》</modifiedWord>
      <trackRevisions>false</trackRevisions>
    </reviewItem>
    <reviewItem>
      <errorID>7b1fcca4-a541-4be6-a83e-a1d97414a4b3</errorID>
      <errorWord>法律、法规</errorWord>
      <group>L1_Word</group>
      <groupName>字词问题</groupName>
      <ability>L2_Typo</ability>
      <abilityName>字词错误</abilityName>
      <candidateList>
        <item>法律法规</item>
      </candidateList>
      <explain/>
      <paraID>551D8FF3</paraID>
      <start>64</start>
      <end>68</end>
      <status>modified</status>
      <modifiedWord>法律法规</modifiedWord>
      <trackRevisions>false</trackRevisions>
    </reviewItem>
    <reviewItem>
      <errorID>fdd2bd8d-bc05-4848-9613-1d957d49620b</errorID>
      <errorWord>：</errorWord>
      <group>L1_Punc</group>
      <groupName>标点问题</groupName>
      <ability>L2_Punc</ability>
      <abilityName>标点符号检查</abilityName>
      <candidateList>
        <item>；</item>
      </candidateList>
      <explain/>
      <paraID>7EE4B952</paraID>
      <start>53</start>
      <end>54</end>
      <status>modified</status>
      <modifiedWord>；</modifiedWord>
      <trackRevisions>false</trackRevisions>
    </reviewItem>
    <reviewItem>
      <errorID>c4ef0059-6774-40b1-a220-da3c0db77b08</errorID>
      <errorWord>（</errorWord>
      <group>L1_Punc</group>
      <groupName>标点问题</groupName>
      <ability>L2_Punc</ability>
      <abilityName>标点符号检查</abilityName>
      <candidateList>
        <item>；（</item>
      </candidateList>
      <explain/>
      <paraID>7EE4B952</paraID>
      <start>132</start>
      <end>133</end>
      <status>unmodified</status>
      <modifiedWord/>
      <trackRevisions>false</trackRevisions>
    </reviewItem>
    <reviewItem>
      <errorID>7ba212af-30cb-456e-8311-4e0897620151</errorID>
      <errorWord>能</errorWord>
      <group>L1_Word</group>
      <groupName>字词问题</groupName>
      <ability>L2_Typo</ability>
      <abilityName>字词错误</abilityName>
      <candidateList>
        <item>能耗</item>
      </candidateList>
      <explain/>
      <paraID> 5920657</paraID>
      <start>21</start>
      <end>22</end>
      <status>unmodified</status>
      <modifiedWord/>
      <trackRevisions>false</trackRevisions>
    </reviewItem>
    <reviewItem>
      <errorID>d0fa14b1-347c-4e29-a9ea-cc4d958b98c8</errorID>
      <errorWord>）耗</errorWord>
      <group>L1_Word</group>
      <groupName>字词问题</groupName>
      <ability>L2_Typo</ability>
      <abilityName>字词错误</abilityName>
      <candidateList>
        <item>耗）</item>
      </candidateList>
      <explain/>
      <paraID> 5920657</paraID>
      <start>24</start>
      <end>26</end>
      <status>unmodified</status>
      <modifiedWord/>
      <trackRevisions>false</trackRevisions>
    </reviewItem>
    <reviewItem>
      <errorID>5dee42c9-eb90-45bf-a408-4562734e1a27</errorID>
      <errorWord>且</errorWord>
      <group>L1_Punc</group>
      <groupName>标点问题</groupName>
      <ability>L2_Punc</ability>
      <abilityName>标点符号检查</abilityName>
      <candidateList>
        <item>，且</item>
      </candidateList>
      <explain/>
      <paraID> 5920657</paraID>
      <start>41</start>
      <end>42</end>
      <status>unmodified</status>
      <modifiedWord/>
      <trackRevisions>false</trackRevisions>
    </reviewItem>
    <reviewItem>
      <errorID>e721298b-feb1-4985-9aea-c98647f7b748</errorID>
      <errorWord>高能</errorWord>
      <group>L1_Word</group>
      <groupName>字词问题</groupName>
      <ability>L2_Typo</ability>
      <abilityName>字词错误</abilityName>
      <candidateList>
        <item>高能耗</item>
      </candidateList>
      <explain/>
      <paraID> 5920657</paraID>
      <start>83</start>
      <end>85</end>
      <status>unmodified</status>
      <modifiedWord/>
      <trackRevisions>false</trackRevisions>
    </reviewItem>
    <reviewItem>
      <errorID>4d058f8d-3bbf-46f9-b4e9-e12448b9c4e6</errorID>
      <errorWord>）耗</errorWord>
      <group>L1_Word</group>
      <groupName>字词问题</groupName>
      <ability>L2_Typo</ability>
      <abilityName>字词错误</abilityName>
      <candidateList>
        <item>耗）</item>
      </candidateList>
      <explain/>
      <paraID> 5920657</paraID>
      <start>87</start>
      <end>89</end>
      <status>unmodified</status>
      <modifiedWord/>
      <trackRevisions>false</trackRevisions>
    </reviewItem>
    <reviewItem>
      <errorID>c9501164-8869-434e-b391-9a03619268bf</errorID>
      <errorWord>高</errorWord>
      <group>L1_Punc</group>
      <groupName>标点问题</groupName>
      <ability>L2_Punc</ability>
      <abilityName>标点符号检查</abilityName>
      <candidateList>
        <item>、高</item>
      </candidateList>
      <explain/>
      <paraID>550E3D86</paraID>
      <start>16</start>
      <end>17</end>
      <status>unmodified</status>
      <modifiedWord/>
      <trackRevisions>false</trackRevisions>
    </reviewItem>
    <reviewItem>
      <errorID>3b416d84-6853-4fbd-90dd-1ce5ad79900c</errorID>
      <errorWord>低水平</errorWord>
      <group>L1_Punc</group>
      <groupName>标点问题</groupName>
      <ability>L2_Punc</ability>
      <abilityName>标点符号检查</abilityName>
      <candidateList>
        <item>、低水平</item>
      </candidateList>
      <explain/>
      <paraID>550E3D86</paraID>
      <start>19</start>
      <end>23</end>
      <status>modified</status>
      <modifiedWord>、低水平</modifiedWord>
      <trackRevisions>false</trackRevisions>
    </reviewItem>
    <reviewItem>
      <errorID>b0cbcef7-3bda-4978-94d5-d984b870fa2b</errorID>
      <errorWord>高</errorWord>
      <group>L1_Punc</group>
      <groupName>标点问题</groupName>
      <ability>L2_Punc</ability>
      <abilityName>标点符号检查</abilityName>
      <candidateList>
        <item>、高</item>
      </candidateList>
      <explain/>
      <paraID>550E3D86</paraID>
      <start>35</start>
      <end>37</end>
      <status>modified</status>
      <modifiedWord>、高</modifiedWord>
      <trackRevisions>false</trackRevisions>
    </reviewItem>
    <reviewItem>
      <errorID>3b74890e-8a92-43ff-ac21-89ec9ad0c207</errorID>
      <errorWord>低水平</errorWord>
      <group>L1_Punc</group>
      <groupName>标点问题</groupName>
      <ability>L2_Punc</ability>
      <abilityName>标点符号检查</abilityName>
      <candidateList>
        <item>、低水平</item>
      </candidateList>
      <explain/>
      <paraID>550E3D86</paraID>
      <start>39</start>
      <end>42</end>
      <status>unmodified</status>
      <modifiedWord/>
      <trackRevisions>false</trackRevisions>
    </reviewItem>
    <reviewItem>
      <errorID>8eea7457-e69c-4e90-ae96-2b841d163175</errorID>
      <errorWord>水平</errorWord>
      <group>L1_Punc</group>
      <groupName>标点问题</groupName>
      <ability>L2_Punc</ability>
      <abilityName>标点符号检查</abilityName>
      <candidateList>
        <item>水平。</item>
      </candidateList>
      <explain/>
      <paraID>550E3D86</paraID>
      <start>256</start>
      <end>259</end>
      <status>modified</status>
      <modifiedWord>水平。</modifiedWord>
      <trackRevisions>false</trackRevisions>
    </reviewItem>
    <reviewItem>
      <errorID>c6cb90c3-d345-411d-9df9-40682128c846</errorID>
      <errorWord>）</errorWord>
      <group>L1_Punc</group>
      <groupName>标点问题</groupName>
      <ability>L2_Punc</ability>
      <abilityName>标点符号检查</abilityName>
      <candidateList>
        <item>）。</item>
      </candidateList>
      <explain/>
      <paraID>5AA94D16</paraID>
      <start>196</start>
      <end>197</end>
      <status>ignored</status>
      <modifiedWord/>
      <trackRevisions>false</trackRevisions>
    </reviewItem>
    <reviewItem>
      <errorID>db4c891d-d82e-4cc7-9220-6e4064d6de03</errorID>
      <errorWord>（聚）氯乙烯</errorWord>
      <group>L1_Grammar</group>
      <groupName>语法问题</groupName>
      <ability>L2_Grammar</ability>
      <abilityName>语法错误</abilityName>
      <candidateList>
        <item>聚氯乙烯</item>
      </candidateList>
      <explain/>
      <paraID>6DD4545C</paraID>
      <start>34</start>
      <end>40</end>
      <status>unmodified</status>
      <modifiedWord/>
      <trackRevisions>false</trackRevisions>
    </reviewItem>
    <reviewItem>
      <errorID>e7c5a68d-5a44-4f33-b1b8-f7b7cf90a897</errorID>
      <errorWord>的</errorWord>
      <group>L1_Word</group>
      <groupName>字词问题</groupName>
      <ability>L2_Typo</ability>
      <abilityName>字词错误</abilityName>
      <candidateList>
        <item>的项</item>
      </candidateList>
      <explain/>
      <paraID>6006ECEC</paraID>
      <start>89</start>
      <end>91</end>
      <status>modified</status>
      <modifiedWord>的项</modifiedWord>
      <trackRevisions>false</trackRevisions>
    </reviewItem>
    <reviewItem>
      <errorID>790de053-128a-4b69-8f16-148900ffd371</errorID>
      <errorWord>法律、法规</errorWord>
      <group>L1_Word</group>
      <groupName>字词问题</groupName>
      <ability>L2_Typo</ability>
      <abilityName>字词错误</abilityName>
      <candidateList>
        <item>法律法规</item>
      </candidateList>
      <explain/>
      <paraID>3BEEE8EC</paraID>
      <start>68</start>
      <end>73</end>
      <status>unmodified</status>
      <modifiedWord/>
      <trackRevisions>false</trackRevisions>
    </reviewItem>
    <reviewItem>
      <errorID>b110c2d5-3249-4a15-94b5-10c30a112625</errorID>
      <errorWord>-</errorWord>
      <group>L1_Format</group>
      <groupName>格式问题</groupName>
      <ability>L2_HalfPunc</ability>
      <abilityName>全半角检查</abilityName>
      <candidateList>
        <item>－</item>
      </candidateList>
      <explain>文本全半角错误。</explain>
      <paraID>19C30D15</paraID>
      <start>70</start>
      <end>71</end>
      <status>modified</status>
      <modifiedWord>－</modifiedWord>
      <trackRevisions>false</trackRevisions>
    </reviewItem>
    <reviewItem>
      <errorID>3e173241-e58e-409d-a7a7-be5517f0da54</errorID>
      <errorWord>化工企业</errorWord>
      <group>L1_Word</group>
      <groupName>字词问题</groupName>
      <ability>L2_Typo</ability>
      <abilityName>字词错误</abilityName>
      <candidateList>
        <item>的化工企业</item>
      </candidateList>
      <explain/>
      <paraID>65EF8AC4</paraID>
      <start>24</start>
      <end>29</end>
      <status>modified</status>
      <modifiedWord>的化工企业</modifiedWord>
      <trackRevisions>false</trackRevisions>
    </reviewItem>
    <reviewItem>
      <errorID>e62fee34-258f-4242-89f2-3532963e70d6</errorID>
      <errorWord>其它</errorWord>
      <group>L1_Word</group>
      <groupName>字词问题</groupName>
      <ability>L2_Typo</ability>
      <abilityName>字词错误</abilityName>
      <candidateList>
        <item>其他</item>
      </candidateList>
      <explain/>
      <paraID>7383ADCC</paraID>
      <start>4</start>
      <end>6</end>
      <status>modified</status>
      <modifiedWord>其他</modifiedWord>
      <trackRevisions>false</trackRevisions>
    </reviewItem>
    <reviewItem>
      <errorID>58bb72b7-45bf-4e8c-81bf-ebff12171452</errorID>
      <errorWord>、</errorWord>
      <group>L1_Punc</group>
      <groupName>标点问题</groupName>
      <ability>L2_Punc</ability>
      <abilityName>标点符号检查</abilityName>
      <candidateList>
        <item>，</item>
      </candidateList>
      <explain/>
      <paraID>2E612040</paraID>
      <start>32</start>
      <end>33</end>
      <status>unmodified</status>
      <modifiedWord/>
      <trackRevisions>false</trackRevisions>
    </reviewItem>
    <reviewItem>
      <errorID>ea682c17-3896-4ac8-b2e5-0d6b761029a3</errorID>
      <errorWord>布设</errorWord>
      <group>L1_Word</group>
      <groupName>字词问题</groupName>
      <ability>L2_Typo</ability>
      <abilityName>字词错误</abilityName>
      <candidateList>
        <item>布局</item>
      </candidateList>
      <explain/>
      <paraID>6F9E1975</paraID>
      <start>36</start>
      <end>38</end>
      <status>unmodified</status>
      <modifiedWord/>
      <trackRevisions>false</trackRevisions>
    </reviewItem>
    <reviewItem>
      <errorID>e1babc70-7a8a-46db-b7c6-ddb40c73937f</errorID>
      <errorWord>，</errorWord>
      <group>L1_Word</group>
      <groupName>字词问题</groupName>
      <ability>L2_Typo</ability>
      <abilityName>字词错误</abilityName>
      <candidateList>
        <item>的，</item>
      </candidateList>
      <explain/>
      <paraID>4D9F59C2</paraID>
      <start>50</start>
      <end>51</end>
      <status>unmodified</status>
      <modifiedWord/>
      <trackRevisions>false</trackRevisions>
    </reviewItem>
    <reviewItem>
      <errorID>8ee0fa39-607a-4fbb-9dad-5591f3c3cfb3</errorID>
      <errorWord>。</errorWord>
      <group>L1_Punc</group>
      <groupName>标点问题</groupName>
      <ability>L2_Punc</ability>
      <abilityName>标点符号检查</abilityName>
      <candidateList>
        <item>；</item>
      </candidateList>
      <explain/>
      <paraID>60E3062F</paraID>
      <start>57</start>
      <end>58</end>
      <status>unmodified</status>
      <modifiedWord/>
      <trackRevisions>false</trackRevisions>
    </reviewItem>
    <reviewItem>
      <errorID>dec02ad8-e84e-4fd3-aaff-20a45bd8fe26</errorID>
      <errorWord>重点</errorWord>
      <group>L1_Word</group>
      <groupName>字词问题</groupName>
      <ability>L2_Typo</ability>
      <abilityName>字词错误</abilityName>
      <candidateList>
        <item>对象</item>
      </candidateList>
      <explain/>
      <paraID>5CD426E5</paraID>
      <start>37</start>
      <end>39</end>
      <status>unmodified</status>
      <modifiedWord/>
      <trackRevisions>false</trackRevisions>
    </reviewItem>
    <reviewItem>
      <errorID>d933b203-2f4c-4a89-9b94-6c2c87d37db5</errorID>
      <errorWord>。</errorWord>
      <group>L1_Punc</group>
      <groupName>标点问题</groupName>
      <ability>L2_Punc</ability>
      <abilityName>标点符号检查</abilityName>
      <candidateList>
        <item>，</item>
      </candidateList>
      <explain/>
      <paraID>53D14AE9</paraID>
      <start>24</start>
      <end>25</end>
      <status>unmodified</status>
      <modifiedWord/>
      <trackRevisions>false</trackRevisions>
    </reviewItem>
    <reviewItem>
      <errorID>21fa07da-f124-4336-8c5a-0718df3ae001</errorID>
      <errorWord>。</errorWord>
      <group>L1_Punc</group>
      <groupName>标点问题</groupName>
      <ability>L2_Punc</ability>
      <abilityName>标点符号检查</abilityName>
      <candidateList>
        <item>；</item>
      </candidateList>
      <explain/>
      <paraID>53D14AE9</paraID>
      <start>50</start>
      <end>51</end>
      <status>unmodified</status>
      <modifiedWord/>
      <trackRevisions>false</trackRevisions>
    </reviewItem>
    <reviewItem>
      <errorID>f0ed43a5-593a-4966-91f3-7470fe8e4e41</errorID>
      <errorWord>。</errorWord>
      <group>L1_Punc</group>
      <groupName>标点问题</groupName>
      <ability>L2_Punc</ability>
      <abilityName>标点符号检查</abilityName>
      <candidateList>
        <item>；</item>
      </candidateList>
      <explain/>
      <paraID>53D14AE9</paraID>
      <start>86</start>
      <end>87</end>
      <status>unmodified</status>
      <modifiedWord/>
      <trackRevisions>false</trackRevisions>
    </reviewItem>
    <reviewItem>
      <errorID>adfbfa53-c59b-4a8f-909d-cf895c19f5f2</errorID>
      <errorWord>。</errorWord>
      <group>L1_Punc</group>
      <groupName>标点问题</groupName>
      <ability>L2_Punc</ability>
      <abilityName>标点符号检查</abilityName>
      <candidateList>
        <item>；</item>
      </candidateList>
      <explain/>
      <paraID>53D14AE9</paraID>
      <start>128</start>
      <end>129</end>
      <status>unmodified</status>
      <modifiedWord/>
      <trackRevisions>false</trackRevisions>
    </reviewItem>
    <reviewItem>
      <errorID>d383832e-5d42-4f7c-a3bd-e6ba90ab03bb</errorID>
      <errorWord>，</errorWord>
      <group>L1_Punc</group>
      <groupName>标点问题</groupName>
      <ability>L2_Punc</ability>
      <abilityName>标点符号检查</abilityName>
      <candidateList>
        <item>；</item>
      </candidateList>
      <explain/>
      <paraID> 7F77CEB</paraID>
      <start>26</start>
      <end>27</end>
      <status>unmodified</status>
      <modifiedWord/>
      <trackRevisions>false</trackRevisions>
    </reviewItem>
    <reviewItem>
      <errorID>ece9ce71-de15-44cd-8fb3-a0a6b2996420</errorID>
      <errorWord>。</errorWord>
      <group>L1_Punc</group>
      <groupName>标点问题</groupName>
      <ability>L2_Punc</ability>
      <abilityName>标点符号检查</abilityName>
      <candidateList>
        <item>；</item>
      </candidateList>
      <explain/>
      <paraID>7573F661</paraID>
      <start>62</start>
      <end>63</end>
      <status>unmodified</status>
      <modifiedWord/>
      <trackRevisions>false</trackRevisions>
    </reviewItem>
    <reviewItem>
      <errorID>5cecbcf0-34eb-40f0-b958-5ca1bcd600cd</errorID>
      <errorWord>。</errorWord>
      <group>L1_Punc</group>
      <groupName>标点问题</groupName>
      <ability>L2_Punc</ability>
      <abilityName>标点符号检查</abilityName>
      <candidateList>
        <item>；</item>
      </candidateList>
      <explain/>
      <paraID>7573F661</paraID>
      <start>85</start>
      <end>86</end>
      <status>unmodified</status>
      <modifiedWord/>
      <trackRevisions>false</trackRevisions>
    </reviewItem>
    <reviewItem>
      <errorID>67504cf3-2264-4cf8-85fa-57e52bf9de3b</errorID>
      <errorWord>。</errorWord>
      <group>L1_Punc</group>
      <groupName>标点问题</groupName>
      <ability>L2_Punc</ability>
      <abilityName>标点符号检查</abilityName>
      <candidateList>
        <item>，</item>
      </candidateList>
      <explain/>
      <paraID>7573F661</paraID>
      <start>102</start>
      <end>103</end>
      <status>unmodified</status>
      <modifiedWord/>
      <trackRevisions>false</trackRevisions>
    </reviewItem>
    <reviewItem>
      <errorID>a6282831-8ae8-4120-9e7a-58ca06966ef3</errorID>
      <errorWord>。</errorWord>
      <group>L1_Punc</group>
      <groupName>标点问题</groupName>
      <ability>L2_Punc</ability>
      <abilityName>标点符号检查</abilityName>
      <candidateList>
        <item>；</item>
      </candidateList>
      <explain/>
      <paraID>7573F661</paraID>
      <start>128</start>
      <end>129</end>
      <status>unmodified</status>
      <modifiedWord/>
      <trackRevisions>false</trackRevisions>
    </reviewItem>
    <reviewItem>
      <errorID>e1041479-5544-4972-9e88-41a6ed0dba89</errorID>
      <errorWord>。</errorWord>
      <group>L1_Punc</group>
      <groupName>标点问题</groupName>
      <ability>L2_Punc</ability>
      <abilityName>标点符号检查</abilityName>
      <candidateList>
        <item>；</item>
      </candidateList>
      <explain/>
      <paraID>7573F661</paraID>
      <start>170</start>
      <end>171</end>
      <status>unmodified</status>
      <modifiedWord/>
      <trackRevisions>false</trackRevisions>
    </reviewItem>
    <reviewItem>
      <errorID>fe54a4fe-1752-4cbf-a6b3-779278d3a473</errorID>
      <errorWord>。</errorWord>
      <group>L1_Punc</group>
      <groupName>标点问题</groupName>
      <ability>L2_Punc</ability>
      <abilityName>标点符号检查</abilityName>
      <candidateList>
        <item>；</item>
      </candidateList>
      <explain/>
      <paraID> D2A7778</paraID>
      <start>26</start>
      <end>27</end>
      <status>unmodified</status>
      <modifiedWord/>
      <trackRevisions>false</trackRevisions>
    </reviewItem>
    <reviewItem>
      <errorID>a0d8c921-b364-4452-85f7-cfb57b236c5f</errorID>
      <errorWord>。</errorWord>
      <group>L1_Punc</group>
      <groupName>标点问题</groupName>
      <ability>L2_Punc</ability>
      <abilityName>标点符号检查</abilityName>
      <candidateList>
        <item>；</item>
      </candidateList>
      <explain/>
      <paraID> D2A7778</paraID>
      <start>47</start>
      <end>48</end>
      <status>unmodified</status>
      <modifiedWord/>
      <trackRevisions>false</trackRevisions>
    </reviewItem>
    <reviewItem>
      <errorID>e7d75bde-be56-44b7-87e2-c9cc8c8cf298</errorID>
      <errorWord>。</errorWord>
      <group>L1_Punc</group>
      <groupName>标点问题</groupName>
      <ability>L2_Punc</ability>
      <abilityName>标点符号检查</abilityName>
      <candidateList>
        <item>；</item>
      </candidateList>
      <explain/>
      <paraID> D2A7778</paraID>
      <start>95</start>
      <end>96</end>
      <status>unmodified</status>
      <modifiedWord/>
      <trackRevisions>false</trackRevisions>
    </reviewItem>
    <reviewItem>
      <errorID>16fc5762-83e1-401e-958e-cdd9ccc1bf8a</errorID>
      <errorWord>。</errorWord>
      <group>L1_Punc</group>
      <groupName>标点问题</groupName>
      <ability>L2_Punc</ability>
      <abilityName>标点符号检查</abilityName>
      <candidateList>
        <item>；</item>
      </candidateList>
      <explain/>
      <paraID> D2A7778</paraID>
      <start>127</start>
      <end>128</end>
      <status>unmodified</status>
      <modifiedWord/>
      <trackRevisions>false</trackRevisions>
    </reviewItem>
    <reviewItem>
      <errorID>fc1c3744-8572-42a0-bbbc-83c6cd46c2de</errorID>
      <errorWord>。</errorWord>
      <group>L1_Punc</group>
      <groupName>标点问题</groupName>
      <ability>L2_Punc</ability>
      <abilityName>标点符号检查</abilityName>
      <candidateList>
        <item>；</item>
      </candidateList>
      <explain/>
      <paraID> D2A7778</paraID>
      <start>195</start>
      <end>196</end>
      <status>unmodified</status>
      <modifiedWord/>
      <trackRevisions>false</trackRevisions>
    </reviewItem>
    <reviewItem>
      <errorID>420d8085-59ae-492f-bc14-3ed926cba501</errorID>
      <errorWord>。</errorWord>
      <group>L1_Punc</group>
      <groupName>标点问题</groupName>
      <ability>L2_Punc</ability>
      <abilityName>标点符号检查</abilityName>
      <candidateList>
        <item>；</item>
      </candidateList>
      <explain/>
      <paraID> 2A53499</paraID>
      <start>48</start>
      <end>49</end>
      <status>unmodified</status>
      <modifiedWord/>
      <trackRevisions>false</trackRevisions>
    </reviewItem>
    <reviewItem>
      <errorID>d06a7230-d0f8-4094-b5f1-65a19fb21a53</errorID>
      <errorWord>。</errorWord>
      <group>L1_Punc</group>
      <groupName>标点问题</groupName>
      <ability>L2_Punc</ability>
      <abilityName>标点符号检查</abilityName>
      <candidateList>
        <item>；</item>
      </candidateList>
      <explain/>
      <paraID> 2A53499</paraID>
      <start>156</start>
      <end>157</end>
      <status>unmodified</status>
      <modifiedWord/>
      <trackRevisions>false</trackRevisions>
    </reviewItem>
    <reviewItem>
      <errorID>1fcf8791-a0cb-4adc-983b-6f042a9f2c75</errorID>
      <errorWord>。</errorWord>
      <group>L1_Punc</group>
      <groupName>标点问题</groupName>
      <ability>L2_Punc</ability>
      <abilityName>标点符号检查</abilityName>
      <candidateList>
        <item>；</item>
      </candidateList>
      <explain/>
      <paraID> A81B0FC</paraID>
      <start>16</start>
      <end>17</end>
      <status>unmodified</status>
      <modifiedWord/>
      <trackRevisions>false</trackRevisions>
    </reviewItem>
    <reviewItem>
      <errorID>2531729e-f5b7-41ff-8cf1-01ae21f48086</errorID>
      <errorWord>生态</errorWord>
      <group>L1_Word</group>
      <groupName>字词问题</groupName>
      <ability>L2_Typo</ability>
      <abilityName>字词错误</abilityName>
      <candidateList>
        <item>的生态</item>
      </candidateList>
      <explain/>
      <paraID>187DA207</paraID>
      <start>43</start>
      <end>45</end>
      <status>unmodified</status>
      <modifiedWord/>
      <trackRevisions>false</trackRevisions>
    </reviewItem>
    <reviewItem>
      <errorID>5c9af5bd-c331-4c2a-b573-d9cb34ef1d72</errorID>
      <errorWord>污染</errorWord>
      <group>L1_Grammar</group>
      <groupName>语法问题</groupName>
      <ability>L2_Grammar</ability>
      <abilityName>语法错误</abilityName>
      <candidateList>
        <item>造成的污染</item>
      </candidateList>
      <explain/>
      <paraID>3DAFBD81</paraID>
      <start>56</start>
      <end>58</end>
      <status>unmodified</status>
      <modifiedWord/>
      <trackRevisions>false</trackRevisions>
    </reviewItem>
    <reviewItem>
      <errorID>e8d8b371-7297-4af1-9e18-ba4570c8ff1f</errorID>
      <errorWord>工业聚集区</errorWord>
      <group>L1_Word</group>
      <groupName>字词问题</groupName>
      <ability>L2_Typo</ability>
      <abilityName>字词错误</abilityName>
      <candidateList>
        <item>工业集聚区</item>
      </candidateList>
      <explain/>
      <paraID>3DAFBD81</paraID>
      <start>69</start>
      <end>74</end>
      <status>unmodified</status>
      <modifiedWord/>
      <trackRevisions>false</trackRevisions>
    </reviewItem>
    <reviewItem>
      <errorID>8887a0c1-4d7c-48fd-b663-5b5feb2bb04c</errorID>
      <errorWord>、</errorWord>
      <group>L1_Word</group>
      <groupName>字词问题</groupName>
      <ability>L2_Typo</ability>
      <abilityName>字词错误</abilityName>
      <candidateList>
        <item>与</item>
      </candidateList>
      <explain/>
      <paraID>3DAFBD81</paraID>
      <start>87</start>
      <end>88</end>
      <status>unmodified</status>
      <modifiedWord/>
      <trackRevisions>false</trackRevisions>
    </reviewItem>
    <reviewItem>
      <errorID>37e62342-dd3c-497b-9a5f-fb205d95c931</errorID>
      <errorWord>与</errorWord>
      <group>L1_Word</group>
      <groupName>字词问题</groupName>
      <ability>L2_Typo</ability>
      <abilityName>字词错误</abilityName>
      <candidateList>
        <item>及</item>
      </candidateList>
      <explain/>
      <paraID>3DAFBD81</paraID>
      <start>94</start>
      <end>95</end>
      <status>unmodified</status>
      <modifiedWord/>
      <trackRevisions>false</trackRevisions>
    </reviewItem>
    <reviewItem>
      <errorID>4d7da499-124e-40e3-9111-a9c8fd19a697</errorID>
      <errorWord>综合治理</errorWord>
      <group>L1_Word</group>
      <groupName>字词问题</groupName>
      <ability>L2_Typo</ability>
      <abilityName>字词错误</abilityName>
      <candidateList>
        <item>的综合治理</item>
      </candidateList>
      <explain/>
      <paraID>3DAFBD81</paraID>
      <start>176</start>
      <end>180</end>
      <status>unmodified</status>
      <modifiedWord/>
      <trackRevisions>false</trackRevisions>
    </reviewItem>
    <reviewItem>
      <errorID>6f0db8f9-07cf-48fe-ab61-5c6b05114bef</errorID>
      <errorWord>运行</errorWord>
      <group>L1_Word</group>
      <groupName>字词问题</groupName>
      <ability>L2_Typo</ability>
      <abilityName>字词错误</abilityName>
      <candidateList>
        <item>的运行</item>
      </candidateList>
      <explain/>
      <paraID>3DAFBD81</paraID>
      <start>216</start>
      <end>218</end>
      <status>unmodified</status>
      <modifiedWord/>
      <trackRevisions>false</trackRevisions>
    </reviewItem>
    <reviewItem>
      <errorID>d43fdc2b-9a6d-45d7-8d74-74576d49d266</errorID>
      <errorWord>，</errorWord>
      <group>L1_Punc</group>
      <groupName>标点问题</groupName>
      <ability>L2_Punc</ability>
      <abilityName>标点符号检查</abilityName>
      <candidateList>
        <item>。</item>
      </candidateList>
      <explain/>
      <paraID>3979AABA</paraID>
      <start>23</start>
      <end>24</end>
      <status>unmodified</status>
      <modifiedWord/>
      <trackRevisions>false</trackRevisions>
    </reviewItem>
    <reviewItem>
      <errorID>2d0ee2f4-4572-4282-ab4f-289c2b8bab9b</errorID>
      <errorWord>管控</errorWord>
      <group>L1_Punc</group>
      <groupName>标点问题</groupName>
      <ability>L2_Punc</ability>
      <abilityName>标点符号检查</abilityName>
      <candidateList>
        <item>管控。</item>
      </candidateList>
      <explain/>
      <paraID>3979AABA</paraID>
      <start>95</start>
      <end>97</end>
      <status>unmodified</status>
      <modifiedWord/>
      <trackRevisions>false</trackRevisions>
    </reviewItem>
    <reviewItem>
      <errorID>d12741a7-55e3-45b1-9bac-d10e30636705</errorID>
      <errorWord>严控</errorWord>
      <group>L1_Grammar</group>
      <groupName>语法问题</groupName>
      <ability>L2_Grammar</ability>
      <abilityName>语法错误</abilityName>
      <candidateList>
        <item>严格控制</item>
      </candidateList>
      <explain/>
      <paraID>48ABC247</paraID>
      <start>8</start>
      <end>10</end>
      <status>unmodified</status>
      <modifiedWord/>
      <trackRevisions>false</trackRevisions>
    </reviewItem>
    <reviewItem>
      <errorID>a6f1e834-88f1-42ef-9196-74f320abcdf5</errorID>
      <errorWord>运用</errorWord>
      <group>L1_Word</group>
      <groupName>字词问题</groupName>
      <ability>L2_Typo</ability>
      <abilityName>字词错误</abilityName>
      <candidateList>
        <item>利用</item>
      </candidateList>
      <explain/>
      <paraID>32D6EAE0</paraID>
      <start>138</start>
      <end>140</end>
      <status>unmodified</status>
      <modifiedWord/>
      <trackRevisions>false</trackRevisions>
    </reviewItem>
    <reviewItem>
      <errorID>7e13bc20-d450-4104-a950-97f720b54077</errorID>
      <errorWord>“乌</errorWord>
      <group>L1_Word</group>
      <groupName>字词问题</groupName>
      <ability>L2_Typo</ability>
      <abilityName>字词错误</abilityName>
      <candidateList>
        <item>“</item>
      </candidateList>
      <explain/>
      <paraID>17FBE273</paraID>
      <start>43</start>
      <end>45</end>
      <status>unmodified</status>
      <modifiedWord/>
      <trackRevisions>false</trackRevisions>
    </reviewItem>
    <reviewItem>
      <errorID>2e684e60-bf22-4c5a-93f2-114e16de4756</errorID>
      <errorWord>联防联动机制</errorWord>
      <group>L1_Word</group>
      <groupName>字词问题</groupName>
      <ability>L2_Typo</ability>
      <abilityName>字词错误</abilityName>
      <candidateList>
        <item>联防联控机制</item>
      </candidateList>
      <explain/>
      <paraID>66D0A4D2</paraID>
      <start>65</start>
      <end>71</end>
      <status>unmodified</status>
      <modifiedWord/>
      <trackRevisions>false</trackRevisions>
    </reviewItem>
    <reviewItem>
      <errorID>295dffeb-fee8-4757-8fc4-cca12d7c4813</errorID>
      <errorWord>划定</errorWord>
      <group>L1_Word</group>
      <groupName>字词问题</groupName>
      <ability>L2_Typo</ability>
      <abilityName>字词错误</abilityName>
      <candidateList>
        <item>的划定</item>
      </candidateList>
      <explain/>
      <paraID>7D2D9A16</paraID>
      <start>168</start>
      <end>170</end>
      <status>unmodified</status>
      <modifiedWord/>
      <trackRevisions>false</trackRevisions>
    </reviewItem>
    <reviewItem>
      <errorID>1b8d6146-5dc3-4fd6-a3a2-f72c37f5ba9c</errorID>
      <errorWord>全过程</errorWord>
      <group>L1_Political</group>
      <groupName>政治性问题</groupName>
      <ability>L2_Keyword</ability>
      <abilityName>固定表述</abilityName>
      <candidateList>
        <item>的全过程</item>
      </candidateList>
      <explain>此处内容疑似含有固定表述相关错误，建议核查。</explain>
      <paraID>7D2D9A16</paraID>
      <start>245</start>
      <end>248</end>
      <status>unmodified</status>
      <modifiedWord/>
      <trackRevisions>false</trackRevisions>
    </reviewItem>
    <reviewItem>
      <errorID>5359695a-ea7a-4875-971a-82384eedc224</errorID>
      <errorWord>，</errorWord>
      <group>L1_Grammar</group>
      <groupName>语法问题</groupName>
      <ability>L2_Grammar</ability>
      <abilityName>语法错误</abilityName>
      <candidateList>
        <item>情况，</item>
      </candidateList>
      <explain/>
      <paraID>7D2D9A16</paraID>
      <start>303</start>
      <end>304</end>
      <status>unmodified</status>
      <modifiedWord/>
      <trackRevisions>false</trackRevisions>
    </reviewItem>
    <reviewItem>
      <errorID>de201854-39b9-45a1-a48a-f307d7dfc41c</errorID>
      <errorWord>共享</errorWord>
      <group>L1_Word</group>
      <groupName>字词问题</groupName>
      <ability>L2_Typo</ability>
      <abilityName>字词错误</abilityName>
      <candidateList>
        <item>实现</item>
      </candidateList>
      <explain/>
      <paraID>7D2D9A16</paraID>
      <start>322</start>
      <end>324</end>
      <status>unmodified</status>
      <modifiedWord/>
      <trackRevisions>false</trackRevisions>
    </reviewItem>
    <reviewItem>
      <errorID>d3609ab9-dfb4-4e59-abc9-6dbcccf7df7a</errorID>
      <errorWord>。</errorWord>
      <group>L1_Grammar</group>
      <groupName>语法问题</groupName>
      <ability>L2_Grammar</ability>
      <abilityName>语法错误</abilityName>
      <candidateList>
        <item>共享。</item>
      </candidateList>
      <explain/>
      <paraID>7D2D9A16</paraID>
      <start>328</start>
      <end>329</end>
      <status>unmodified</status>
      <modifiedWord/>
      <trackRevisions>false</trackRevisions>
    </reviewItem>
    <reviewItem>
      <errorID>dc957e8b-9965-4a2f-acdd-1601fc043f5f</errorID>
      <errorWord>系统</errorWord>
      <group>L1_Word</group>
      <groupName>字词问题</groupName>
      <ability>L2_Typo</ability>
      <abilityName>字词错误</abilityName>
      <candidateList>
        <item>体系</item>
      </candidateList>
      <explain/>
      <paraID>16617966</paraID>
      <start>75</start>
      <end>77</end>
      <status>unmodified</status>
      <modifiedWord/>
      <trackRevisions>false</trackRevisions>
    </reviewItem>
    <reviewItem>
      <errorID>989abd0d-4a79-4a7c-822b-a950f381efda</errorID>
      <errorWord>2025</errorWord>
      <group>L1_Word</group>
      <groupName>字词问题</groupName>
      <ability>L2_Typo</ability>
      <abilityName>字词错误</abilityName>
      <candidateList>
        <item>在2025</item>
      </candidateList>
      <explain/>
      <paraID>278B7BFD</paraID>
      <start>15</start>
      <end>19</end>
      <status>unmodified</status>
      <modifiedWord/>
      <trackRevisions>false</trackRevisions>
    </reviewItem>
    <reviewItem>
      <errorID>56d00c7d-7ec1-4f58-82b9-951ff375ef5b</errorID>
      <errorWord>标</errorWord>
      <group>L1_Word</group>
      <groupName>字词问题</groupName>
      <ability>L2_Typo</ability>
      <abilityName>字词错误</abilityName>
      <candidateList>
        <item>指标</item>
      </candidateList>
      <explain/>
      <paraID>278B7BFD</paraID>
      <start>34</start>
      <end>35</end>
      <status>unmodified</status>
      <modifiedWord/>
      <trackRevisions>false</trackRevisions>
    </reviewItem>
    <reviewItem>
      <errorID>b97a5686-5a73-458b-ad9c-4364e07bdef1</errorID>
      <errorWord>上线</errorWord>
      <group>L1_Word</group>
      <groupName>字词问题</groupName>
      <ability>L2_Typo</ability>
      <abilityName>字词错误</abilityName>
      <candidateList>
        <item>上限</item>
      </candidateList>
      <explain/>
      <paraID>3BB06E23</paraID>
      <start>12</start>
      <end>14</end>
      <status>unmodified</status>
      <modifiedWord/>
      <trackRevisions>false</trackRevisions>
    </reviewItem>
    <reviewItem>
      <errorID>bae1c98d-b788-4151-b798-49120e7aa2cd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5737AC41</paraID>
      <start>0</start>
      <end>2</end>
      <status>unmodified</status>
      <modifiedWord/>
      <trackRevisions>false</trackRevisions>
    </reviewItem>
    <reviewItem>
      <errorID>f94d79eb-922f-4414-b652-914df6fc667a</errorID>
      <errorWord>、</errorWord>
      <group>L1_Punc</group>
      <groupName>标点问题</groupName>
      <ability>L2_Punc</ability>
      <abilityName>标点符号检查</abilityName>
      <candidateList>
        <item>. </item>
      </candidateList>
      <explain/>
      <paraID>5737AC41</paraID>
      <start>27</start>
      <end>28</end>
      <status>unmodified</status>
      <modifiedWord/>
      <trackRevisions>false</trackRevisions>
    </reviewItem>
    <reviewItem>
      <errorID>81d9c905-0065-4df9-bc70-98b0203927e8</errorID>
      <errorWord>空间规划的</errorWord>
      <group>L1_Word</group>
      <groupName>字词问题</groupName>
      <ability>L2_Typo</ability>
      <abilityName>字词错误</abilityName>
      <candidateList>
        <item>空间规划</item>
      </candidateList>
      <explain/>
      <paraID>5737AC41</paraID>
      <start>37</start>
      <end>42</end>
      <status>unmodified</status>
      <modifiedWord/>
      <trackRevisions>false</trackRevisions>
    </reviewItem>
    <reviewItem>
      <errorID>f17b04ce-0e6b-4a32-b31b-00ea6059061e</errorID>
      <errorWord>、</errorWord>
      <group>L1_Punc</group>
      <groupName>标点问题</groupName>
      <ability>L2_Punc</ability>
      <abilityName>标点符号检查</abilityName>
      <candidateList>
        <item>. </item>
      </candidateList>
      <explain/>
      <paraID>5737AC41</paraID>
      <start>56</start>
      <end>57</end>
      <status>unmodified</status>
      <modifiedWord/>
      <trackRevisions>false</trackRevisions>
    </reviewItem>
    <reviewItem>
      <errorID>aa67502c-35f2-4bb4-aead-d8981d813944</errorID>
      <errorWord>、</errorWord>
      <group>L1_Punc</group>
      <groupName>标点问题</groupName>
      <ability>L2_Punc</ability>
      <abilityName>标点符号检查</abilityName>
      <candidateList>
        <item>. </item>
      </candidateList>
      <explain/>
      <paraID>5737AC41</paraID>
      <start>102</start>
      <end>103</end>
      <status>unmodified</status>
      <modifiedWord/>
      <trackRevisions>false</trackRevisions>
    </reviewItem>
    <reviewItem>
      <errorID>09c48a5a-7956-4a48-bb31-12cc4508346e</errorID>
      <errorWord>、</errorWord>
      <group>L1_Punc</group>
      <groupName>标点问题</groupName>
      <ability>L2_Punc</ability>
      <abilityName>标点符号检查</abilityName>
      <candidateList>
        <item>. </item>
      </candidateList>
      <explain/>
      <paraID>5737AC41</paraID>
      <start>129</start>
      <end>130</end>
      <status>unmodified</status>
      <modifiedWord/>
      <trackRevisions>false</trackRevisions>
    </reviewItem>
    <reviewItem>
      <errorID>58f833bc-fd71-40e5-b450-72adcf8fd556</errorID>
      <errorWord>则</errorWord>
      <group>L1_Word</group>
      <groupName>字词问题</groupName>
      <ability>L2_Typo</ability>
      <abilityName>字词错误</abilityName>
      <candidateList>
        <item>则上</item>
      </candidateList>
      <explain/>
      <paraID>5737AC41</paraID>
      <start>180</start>
      <end>181</end>
      <status>unmodified</status>
      <modifiedWord/>
      <trackRevisions>false</trackRevisions>
    </reviewItem>
    <reviewItem>
      <errorID>5488f0f8-a8ec-466d-b7a1-706bd1e95cc3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A0CD186</paraID>
      <start>0</start>
      <end>2</end>
      <status>unmodified</status>
      <modifiedWord/>
      <trackRevisions>false</trackRevisions>
    </reviewItem>
    <reviewItem>
      <errorID>e4bbd336-5f26-41b0-bdec-a3c1286ec97c</errorID>
      <errorWord>2、</errorWord>
      <group>L1_Grammar</group>
      <groupName>语法问题</groupName>
      <ability>L2_Grammar</ability>
      <abilityName>语法错误</abilityName>
      <candidateList>
        <item>。2. </item>
      </candidateList>
      <explain/>
      <paraID> A0CD186</paraID>
      <start>37</start>
      <end>39</end>
      <status>unmodified</status>
      <modifiedWord/>
      <trackRevisions>false</trackRevisions>
    </reviewItem>
    <reviewItem>
      <errorID>f89b8f0e-0f96-4e4e-a698-9f4994ed197d</errorID>
      <errorWord>、</errorWord>
      <group>L1_Punc</group>
      <groupName>标点问题</groupName>
      <ability>L2_Punc</ability>
      <abilityName>标点符号检查</abilityName>
      <candidateList>
        <item>. </item>
      </candidateList>
      <explain/>
      <paraID> A0CD186</paraID>
      <start>66</start>
      <end>67</end>
      <status>unmodified</status>
      <modifiedWord/>
      <trackRevisions>false</trackRevisions>
    </reviewItem>
    <reviewItem>
      <errorID>d8c09b1f-08a3-49af-a4ed-d3c80fbe3114</errorID>
      <errorWord>、</errorWord>
      <group>L1_Punc</group>
      <groupName>标点问题</groupName>
      <ability>L2_Punc</ability>
      <abilityName>标点符号检查</abilityName>
      <candidateList>
        <item>. </item>
      </candidateList>
      <explain/>
      <paraID> A0CD186</paraID>
      <start>139</start>
      <end>140</end>
      <status>unmodified</status>
      <modifiedWord/>
      <trackRevisions>false</trackRevisions>
    </reviewItem>
    <reviewItem>
      <errorID>4d68a3ad-a46d-4be9-9490-973c8118652e</errorID>
      <errorWord>、</errorWord>
      <group>L1_Punc</group>
      <groupName>标点问题</groupName>
      <ability>L2_Punc</ability>
      <abilityName>标点符号检查</abilityName>
      <candidateList>
        <item>. </item>
      </candidateList>
      <explain/>
      <paraID> A0CD186</paraID>
      <start>165</start>
      <end>166</end>
      <status>unmodified</status>
      <modifiedWord/>
      <trackRevisions>false</trackRevisions>
    </reviewItem>
    <reviewItem>
      <errorID>aa742b51-0844-4774-ad72-bcaa44c23a44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45F00601</paraID>
      <start>0</start>
      <end>2</end>
      <status>unmodified</status>
      <modifiedWord/>
      <trackRevisions>false</trackRevisions>
    </reviewItem>
    <reviewItem>
      <errorID>d6ecefc6-586f-489a-a7b4-a783d5175a58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45C6185F</paraID>
      <start>0</start>
      <end>2</end>
      <status>unmodified</status>
      <modifiedWord/>
      <trackRevisions>false</trackRevisions>
    </reviewItem>
    <reviewItem>
      <errorID>ebd18400-09f5-4619-8701-603ea42f5e87</errorID>
      <errorWord>、</errorWord>
      <group>L1_Punc</group>
      <groupName>标点问题</groupName>
      <ability>L2_Punc</ability>
      <abilityName>标点符号检查</abilityName>
      <candidateList>
        <item>. </item>
      </candidateList>
      <explain/>
      <paraID>45C6185F</paraID>
      <start>62</start>
      <end>63</end>
      <status>unmodified</status>
      <modifiedWord/>
      <trackRevisions>false</trackRevisions>
    </reviewItem>
    <reviewItem>
      <errorID>9c97aaf5-43c9-4423-8241-1713fb97e2ed</errorID>
      <errorWord>、</errorWord>
      <group>L1_Punc</group>
      <groupName>标点问题</groupName>
      <ability>L2_Punc</ability>
      <abilityName>标点符号检查</abilityName>
      <candidateList>
        <item>，</item>
      </candidateList>
      <explain/>
      <paraID>45C6185F</paraID>
      <start>69</start>
      <end>70</end>
      <status>unmodified</status>
      <modifiedWord/>
      <trackRevisions>false</trackRevisions>
    </reviewItem>
    <reviewItem>
      <errorID>b4efebef-2963-4675-b891-8cefe15308bb</errorID>
      <errorWord>、</errorWord>
      <group>L1_Punc</group>
      <groupName>标点问题</groupName>
      <ability>L2_Punc</ability>
      <abilityName>标点符号检查</abilityName>
      <candidateList>
        <item>，</item>
      </candidateList>
      <explain/>
      <paraID>45C6185F</paraID>
      <start>76</start>
      <end>77</end>
      <status>unmodified</status>
      <modifiedWord/>
      <trackRevisions>false</trackRevisions>
    </reviewItem>
    <reviewItem>
      <errorID>6c2b6bf5-cf0b-4aab-bd35-fe924cc58888</errorID>
      <errorWord>、</errorWord>
      <group>L1_Punc</group>
      <groupName>标点问题</groupName>
      <ability>L2_Punc</ability>
      <abilityName>标点符号检查</abilityName>
      <candidateList>
        <item>. </item>
      </candidateList>
      <explain/>
      <paraID>45C6185F</paraID>
      <start>91</start>
      <end>92</end>
      <status>unmodified</status>
      <modifiedWord/>
      <trackRevisions>false</trackRevisions>
    </reviewItem>
    <reviewItem>
      <errorID>71d2f1de-4e7f-4389-96b5-d0fc8972f6d7</errorID>
      <errorWord>新疆维吾尔自治区土壤污染防治条例</errorWord>
      <group>L1_Knowledge</group>
      <groupName>知识性问题</groupName>
      <ability>L2_Knowledge</ability>
      <abilityName>其他知识</abilityName>
      <candidateList>
        <item>新疆维吾尔自治区大气污染防治条例</item>
      </candidateList>
      <explain>当前法律法规未收录或尚未生效，注意核查是否正确。</explain>
      <paraID>1124ED0B</paraID>
      <start>1</start>
      <end>17</end>
      <status>unmodified</status>
      <modifiedWord/>
      <trackRevisions>false</trackRevisions>
    </reviewItem>
    <reviewItem>
      <errorID>b717fd36-bfe5-43f7-aacf-d1b1aae94e3b</errorID>
      <errorWord>要求进行</errorWord>
      <group>L1_Grammar</group>
      <groupName>语法问题</groupName>
      <ability>L2_Grammar</ability>
      <abilityName>语法错误</abilityName>
      <candidateList>
        <item>要求</item>
      </candidateList>
      <explain/>
      <paraID>12BA17D3</paraID>
      <start>5</start>
      <end>9</end>
      <status>unmodified</status>
      <modifiedWord/>
      <trackRevisions>false</trackRevisions>
    </reviewItem>
    <reviewItem>
      <errorID>be08d34d-604a-4da1-bced-00be08231ece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FEC1471</paraID>
      <start>0</start>
      <end>2</end>
      <status>unmodified</status>
      <modifiedWord/>
      <trackRevisions>false</trackRevisions>
    </reviewItem>
    <reviewItem>
      <errorID>d8e8ffd7-b6de-42b3-81f4-870bf80e0e8c</errorID>
      <errorWord>相</errorWord>
      <group>L1_Word</group>
      <groupName>字词问题</groupName>
      <ability>L2_Typo</ability>
      <abilityName>字词错误</abilityName>
      <candidateList>
        <item>：</item>
      </candidateList>
      <explain/>
      <paraID>2D3E9B82</paraID>
      <start>30</start>
      <end>31</end>
      <status>unmodified</status>
      <modifiedWord/>
      <trackRevisions>false</trackRevisions>
    </reviewItem>
    <reviewItem>
      <errorID>b872ecb5-b993-4ae5-9d33-68b51ab2d4e2</errorID>
      <errorWord>低噪</errorWord>
      <group>L1_Word</group>
      <groupName>字词问题</groupName>
      <ability>L2_Typo</ability>
      <abilityName>字词错误</abilityName>
      <candidateList>
        <item>低噪声</item>
      </candidateList>
      <explain/>
      <paraID>1F39C892</paraID>
      <start>7</start>
      <end>9</end>
      <status>unmodified</status>
      <modifiedWord/>
      <trackRevisions>false</trackRevisions>
    </reviewItem>
    <reviewItem>
      <errorID>a8308678-b886-4922-b93a-e4f312cfef15</errorID>
      <errorWord>减震</errorWord>
      <group>L1_Word</group>
      <groupName>字词问题</groupName>
      <ability>L2_Typo</ability>
      <abilityName>字词错误</abilityName>
      <candidateList>
        <item>减振</item>
      </candidateList>
      <explain>存在发音相同字词的误用。</explain>
      <paraID>1F39C892</paraID>
      <start>15</start>
      <end>17</end>
      <status>modified</status>
      <modifiedWord>减振</modifiedWord>
      <trackRevisions>false</trackRevisions>
    </reviewItem>
    <reviewItem>
      <errorID>45c8bd66-6d8e-4466-81fb-594f78134f1e</errorID>
      <errorWord>的</errorWord>
      <group>L1_Word</group>
      <groupName>字词问题</groupName>
      <ability>L2_Typo</ability>
      <abilityName>字词错误</abilityName>
      <candidateList>
        <item>要求</item>
      </candidateList>
      <explain/>
      <paraID>15BE0492</paraID>
      <start>16</start>
      <end>18</end>
      <status>modified</status>
      <modifiedWord>要求</modifiedWord>
      <trackRevisions>false</trackRevisions>
    </reviewItem>
    <reviewItem>
      <errorID>49c38b1b-0633-428e-8d3f-4fd66a9674fa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27754B75</paraID>
      <start>24</start>
      <end>25</end>
      <status>unmodified</status>
      <modifiedWord/>
      <trackRevisions>false</trackRevisions>
    </reviewItem>
    <reviewItem>
      <errorID>0726483a-2244-4170-9f81-9d37b7343415</errorID>
      <errorWord>》</errorWord>
      <group>L1_Word</group>
      <groupName>字词问题</groupName>
      <ability>L2_Typo</ability>
      <abilityName>字词错误</abilityName>
      <candidateList>
        <item>》等</item>
      </candidateList>
      <explain/>
      <paraID>27754B75</paraID>
      <start>57</start>
      <end>58</end>
      <status>unmodified</status>
      <modifiedWord/>
      <trackRevisions>false</trackRevisions>
    </reviewItem>
    <reviewItem>
      <errorID>eff7c175-f6b9-4c34-bfb6-3275a44ffb3f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76B007B7</paraID>
      <start>28</start>
      <end>29</end>
      <status>unmodified</status>
      <modifiedWord/>
      <trackRevisions>false</trackRevisions>
    </reviewItem>
    <reviewItem>
      <errorID>18cd6fc9-792d-42f2-95f9-96d2e26c3ec2</errorID>
      <errorWord>“</errorWord>
      <group>L1_Punc</group>
      <groupName>标点问题</groupName>
      <ability>L2_Punc</ability>
      <abilityName>标点符号检查</abilityName>
      <candidateList>
        <item>‘</item>
      </candidateList>
      <explain>当引号中还需要使用引号时，外面一层用双引号，里面一层用单引号。</explain>
      <paraID>11D259E9</paraID>
      <start>234</start>
      <end>235</end>
      <status>unmodified</status>
      <modifiedWord/>
      <trackRevisions>false</trackRevisions>
    </reviewItem>
    <reviewItem>
      <errorID>7c25d4c5-be76-4173-a7bd-98669fa2f302</errorID>
      <errorWord>”</errorWord>
      <group>L1_Punc</group>
      <groupName>标点问题</groupName>
      <ability>L2_Punc</ability>
      <abilityName>标点符号检查</abilityName>
      <candidateList>
        <item>’</item>
      </candidateList>
      <explain>当引号中还需要使用引号时，外面一层用双引号，里面一层用单引号。</explain>
      <paraID>11D259E9</paraID>
      <start>239</start>
      <end>240</end>
      <status>unmodified</status>
      <modifiedWord/>
      <trackRevisions>false</trackRevisions>
    </reviewItem>
    <reviewItem>
      <errorID>48a6e647-8bea-47cc-a14a-096356021cf3</errorID>
      <errorWord>“</errorWord>
      <group>L1_Punc</group>
      <groupName>标点问题</groupName>
      <ability>L2_Punc</ability>
      <abilityName>标点符号检查</abilityName>
      <candidateList>
        <item>‘</item>
      </candidateList>
      <explain>当引号中还需要使用引号时，外面一层用双引号，里面一层用单引号。</explain>
      <paraID>11D259E9</paraID>
      <start>287</start>
      <end>288</end>
      <status>unmodified</status>
      <modifiedWord/>
      <trackRevisions>false</trackRevisions>
    </reviewItem>
    <reviewItem>
      <errorID>9668bbd1-4f0b-4e02-af94-e96058a62e5e</errorID>
      <errorWord>”</errorWord>
      <group>L1_Punc</group>
      <groupName>标点问题</groupName>
      <ability>L2_Punc</ability>
      <abilityName>标点符号检查</abilityName>
      <candidateList>
        <item>’</item>
      </candidateList>
      <explain>当引号中还需要使用引号时，外面一层用双引号，里面一层用单引号。</explain>
      <paraID>11D259E9</paraID>
      <start>292</start>
      <end>293</end>
      <status>unmodified</status>
      <modifiedWord/>
      <trackRevisions>false</trackRevisions>
    </reviewItem>
    <reviewItem>
      <errorID>4ec59c8b-d783-46f1-a309-8439ceb06aa9</errorID>
      <errorWord>三同时</errorWord>
      <group>L1_Punc</group>
      <groupName>标点问题</groupName>
      <ability>L2_Punc</ability>
      <abilityName>标点符号检查</abilityName>
      <candidateList>
        <item>“三同时”</item>
      </candidateList>
      <explain/>
      <paraID>4F7B1CDF</paraID>
      <start>14</start>
      <end>17</end>
      <status>unmodified</status>
      <modifiedWord/>
      <trackRevisions>false</trackRevisions>
    </reviewItem>
    <reviewItem>
      <errorID>2a76d350-eb02-4922-bb8b-dfb34e08a83f</errorID>
      <errorWord>8、</errorWord>
      <group>L1_Format</group>
      <groupName>格式问题</groupName>
      <ability>L2_Ordinal</ability>
      <abilityName>序号格式</abilityName>
      <candidateList>
        <item>9、</item>
      </candidateList>
      <explain>标题顺序错误，请检查标题顺序是否合理。</explain>
      <paraID>432B48A9</paraID>
      <start>0</start>
      <end>2</end>
      <status>unmodified</status>
      <modifiedWord/>
      <trackRevisions>false</trackRevisions>
    </reviewItem>
    <reviewItem>
      <errorID>87da5bf8-7148-4911-ac10-6841ff5d4c31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2C66FB8B</paraID>
      <start>0</start>
      <end>2</end>
      <status>unmodified</status>
      <modifiedWord/>
      <trackRevisions>false</trackRevisions>
    </reviewItem>
    <reviewItem>
      <errorID>e5ef9754-49e7-4874-902e-0b2a992214ac</errorID>
      <errorWord>，</errorWord>
      <group>L1_Punc</group>
      <groupName>标点问题</groupName>
      <ability>L2_Punc</ability>
      <abilityName>标点符号检查</abilityName>
      <candidateList>
        <item>。</item>
      </candidateList>
      <explain/>
      <paraID> 3648D84</paraID>
      <start>26</start>
      <end>27</end>
      <status>unmodified</status>
      <modifiedWord/>
      <trackRevisions>false</trackRevisions>
    </reviewItem>
    <reviewItem>
      <errorID>9313da5b-d584-47ed-aaec-2f9c41021e33</errorID>
      <errorWord>法律、法规</errorWord>
      <group>L1_Word</group>
      <groupName>字词问题</groupName>
      <ability>L2_Typo</ability>
      <abilityName>字词错误</abilityName>
      <candidateList>
        <item>法律法规</item>
      </candidateList>
      <explain/>
      <paraID>6E04E94C</paraID>
      <start>36</start>
      <end>41</end>
      <status>unmodified</status>
      <modifiedWord/>
      <trackRevisions>false</trackRevisions>
    </reviewItem>
    <reviewItem>
      <errorID>5b63e432-bddc-4b19-8ba9-6a226450abbe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16B8479E</paraID>
      <start>0</start>
      <end>2</end>
      <status>unmodified</status>
      <modifiedWord/>
      <trackRevisions>false</trackRevisions>
    </reviewItem>
    <reviewItem>
      <errorID>4b2af8c7-c6a3-4e40-a11c-cb7fda006fa1</errorID>
      <errorWord>站水</errorWord>
      <group>L1_Word</group>
      <groupName>字词问题</groupName>
      <ability>L2_Typo</ability>
      <abilityName>字词错误</abilityName>
      <candidateList>
        <item>站</item>
      </candidateList>
      <explain/>
      <paraID>30369A0B</paraID>
      <start>29</start>
      <end>31</end>
      <status>unmodified</status>
      <modifiedWord/>
      <trackRevisions>false</trackRevisions>
    </reviewItem>
    <reviewItem>
      <errorID>74a62527-666f-4c8d-9cb1-a6088a254b22</errorID>
      <errorWord>冷却循环水</errorWord>
      <group>L1_Grammar</group>
      <groupName>语法问题</groupName>
      <ability>L2_Grammar</ability>
      <abilityName>语法错误</abilityName>
      <candidateList>
        <item>冷却水</item>
      </candidateList>
      <explain/>
      <paraID>39AE13F0</paraID>
      <start>10</start>
      <end>15</end>
      <status>unmodified</status>
      <modifiedWord/>
      <trackRevisions>false</trackRevisions>
    </reviewItem>
    <reviewItem>
      <errorID>5368a62d-b25b-4e71-9ae1-69ed6ffeb372</errorID>
      <errorWord>，</errorWord>
      <group>L1_Grammar</group>
      <groupName>语法问题</groupName>
      <ability>L2_Grammar</ability>
      <abilityName>语法错误</abilityName>
      <candidateList>
        <item>机组、</item>
      </candidateList>
      <explain/>
      <paraID>39AE13F0</paraID>
      <start>106</start>
      <end>109</end>
      <status>modified</status>
      <modifiedWord>机组、</modifiedWord>
      <trackRevisions>false</trackRevisions>
    </reviewItem>
    <reviewItem>
      <errorID>56745477-9ecb-46b2-8f0d-23f116931345</errorID>
      <errorWord>本</errorWord>
      <group>L1_Punc</group>
      <groupName>标点问题</groupName>
      <ability>L2_Punc</ability>
      <abilityName>标点符号检查</abilityName>
      <candidateList>
        <item>，本</item>
      </candidateList>
      <explain/>
      <paraID>79ABC8CC</paraID>
      <start>2</start>
      <end>3</end>
      <status>unmodified</status>
      <modifiedWord/>
      <trackRevisions>false</trackRevisions>
    </reviewItem>
    <reviewItem>
      <errorID>9e34f0fd-2dc6-40c9-8339-2200c8e9a077</errorID>
      <errorWord>站水</errorWord>
      <group>L1_Word</group>
      <groupName>字词问题</groupName>
      <ability>L2_Typo</ability>
      <abilityName>字词错误</abilityName>
      <candidateList>
        <item>站</item>
      </candidateList>
      <explain/>
      <paraID>79ABC8CC</paraID>
      <start>11</start>
      <end>12</end>
      <status>modified</status>
      <modifiedWord>站</modifiedWord>
      <trackRevisions>false</trackRevisions>
    </reviewItem>
    <reviewItem>
      <errorID>7c895b1c-78ee-4a4e-9c8a-5bb85f517086</errorID>
      <errorWord>,</errorWord>
      <group>L1_Format</group>
      <groupName>格式问题</groupName>
      <ability>L2_HalfPunc</ability>
      <abilityName>全半角检查</abilityName>
      <candidateList>
        <item>，</item>
      </candidateList>
      <explain>文本全半角错误。</explain>
      <paraID>1F75C0A6</paraID>
      <start>25</start>
      <end>26</end>
      <status>modified</status>
      <modifiedWord>，</modifiedWord>
      <trackRevisions>false</trackRevisions>
    </reviewItem>
    <reviewItem>
      <errorID>c14e69fc-b14d-4c17-a5de-cf942a2e5b1a</errorID>
      <errorWord>按</errorWord>
      <group>L1_Word</group>
      <groupName>字词问题</groupName>
      <ability>L2_Typo</ability>
      <abilityName>字词错误</abilityName>
      <candidateList>
        <item> 按</item>
      </candidateList>
      <explain/>
      <paraID>1758339A</paraID>
      <start>4</start>
      <end>6</end>
      <status>modified</status>
      <modifiedWord> 按</modifiedWord>
      <trackRevisions>false</trackRevisions>
    </reviewItem>
    <reviewItem>
      <errorID>1af847ff-322b-4337-9f59-f118a29670ce</errorID>
      <errorWord>HiB</errorWord>
      <group>L1_Word</group>
      <groupName>字词问题</groupName>
      <ability>L2_Typo</ability>
      <abilityName>字词错误</abilityName>
      <candidateList>
        <item>Hi-B</item>
      </candidateList>
      <explain/>
      <paraID>1758339A</paraID>
      <start>18</start>
      <end>22</end>
      <status>modified</status>
      <modifiedWord>Hi-B</modifiedWord>
      <trackRevisions>false</trackRevisions>
    </reviewItem>
    <reviewItem>
      <errorID>ba8c0d22-1037-4a59-9d19-8d21d7a54418</errorID>
      <errorWord>产品分配</errorWord>
      <group>L1_Grammar</group>
      <groupName>语法问题</groupName>
      <ability>L2_Grammar</ability>
      <abilityName>语法错误</abilityName>
      <candidateList>
        <item>产品</item>
      </candidateList>
      <explain/>
      <paraID>1758339A</paraID>
      <start>23</start>
      <end>25</end>
      <status>modified</status>
      <modifiedWord>产品</modifiedWord>
      <trackRevisions>false</trackRevisions>
    </reviewItem>
    <reviewItem>
      <errorID>c088dd2e-14cd-493e-8cc5-5335c7d49b5e</errorID>
      <errorWord>:</errorWord>
      <group>L1_Format</group>
      <groupName>格式问题</groupName>
      <ability>L2_HalfPunc</ability>
      <abilityName>全半角检查</abilityName>
      <candidateList>
        <item>：</item>
      </candidateList>
      <explain>文本全半角错误。</explain>
      <paraID>7892E8CE</paraID>
      <start>61</start>
      <end>62</end>
      <status>modified</status>
      <modifiedWord>：</modifiedWord>
      <trackRevisions>false</trackRevisions>
    </reviewItem>
    <reviewItem>
      <errorID>e40807c0-3374-4734-a547-ad96d59a2dab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61540EDD</paraID>
      <start>0</start>
      <end>2</end>
      <status>unmodified</status>
      <modifiedWord/>
      <trackRevisions>false</trackRevisions>
    </reviewItem>
    <reviewItem>
      <errorID>0b941392-c2da-4fdb-b894-caa2599112c2</errorID>
      <errorWord>:</errorWord>
      <group>L1_Format</group>
      <groupName>格式问题</groupName>
      <ability>L2_HalfPunc</ability>
      <abilityName>全半角检查</abilityName>
      <candidateList>
        <item>：</item>
      </candidateList>
      <explain>文本全半角错误。</explain>
      <paraID>6D6C5F18</paraID>
      <start>4</start>
      <end>5</end>
      <status>unmodified</status>
      <modifiedWord/>
      <trackRevisions>false</trackRevisions>
    </reviewItem>
    <reviewItem>
      <errorID>a87c9f80-9365-46aa-85e4-7d45b41b5482</errorID>
      <errorWord>:</errorWord>
      <group>L1_Format</group>
      <groupName>格式问题</groupName>
      <ability>L2_HalfPunc</ability>
      <abilityName>全半角检查</abilityName>
      <candidateList>
        <item>：</item>
      </candidateList>
      <explain>文本全半角错误。</explain>
      <paraID>6D6C5F18</paraID>
      <start>8</start>
      <end>9</end>
      <status>unmodified</status>
      <modifiedWord/>
      <trackRevisions>false</trackRevisions>
    </reviewItem>
    <reviewItem>
      <errorID>31fd01c7-1aad-4262-898b-5c8dc0508001</errorID>
      <errorWord>:</errorWord>
      <group>L1_Format</group>
      <groupName>格式问题</groupName>
      <ability>L2_HalfPunc</ability>
      <abilityName>全半角检查</abilityName>
      <candidateList>
        <item>：</item>
      </candidateList>
      <explain>文本全半角错误。</explain>
      <paraID> BC5892F</paraID>
      <start>4</start>
      <end>5</end>
      <status>unmodified</status>
      <modifiedWord/>
      <trackRevisions>false</trackRevisions>
    </reviewItem>
    <reviewItem>
      <errorID>a78df010-c0d3-43a8-87de-dc77cd62a7e3</errorID>
      <errorWord>:</errorWord>
      <group>L1_Format</group>
      <groupName>格式问题</groupName>
      <ability>L2_HalfPunc</ability>
      <abilityName>全半角检查</abilityName>
      <candidateList>
        <item>：</item>
      </candidateList>
      <explain>文本全半角错误。</explain>
      <paraID>64A43CEE</paraID>
      <start>4</start>
      <end>5</end>
      <status>unmodified</status>
      <modifiedWord/>
      <trackRevisions>false</trackRevisions>
    </reviewItem>
    <reviewItem>
      <errorID>88cf379f-fbb5-4822-a5f8-bf1a850a96b6</errorID>
      <errorWord>:</errorWord>
      <group>L1_Format</group>
      <groupName>格式问题</groupName>
      <ability>L2_HalfPunc</ability>
      <abilityName>全半角检查</abilityName>
      <candidateList>
        <item>：</item>
      </candidateList>
      <explain>文本全半角错误。</explain>
      <paraID> E48F6C3</paraID>
      <start>4</start>
      <end>5</end>
      <status>unmodified</status>
      <modifiedWord/>
      <trackRevisions>false</trackRevisions>
    </reviewItem>
    <reviewItem>
      <errorID>76f58fb7-9c9b-43ae-94b6-c964f2e42c8c</errorID>
      <errorWord>:</errorWord>
      <group>L1_Format</group>
      <groupName>格式问题</groupName>
      <ability>L2_HalfPunc</ability>
      <abilityName>全半角检查</abilityName>
      <candidateList>
        <item>：</item>
      </candidateList>
      <explain>文本全半角错误。</explain>
      <paraID>6E173644</paraID>
      <start>4</start>
      <end>5</end>
      <status>unmodified</status>
      <modifiedWord/>
      <trackRevisions>false</trackRevisions>
    </reviewItem>
    <reviewItem>
      <errorID>1088d762-a667-4a44-bedb-94ef96e37fad</errorID>
      <errorWord>:</errorWord>
      <group>L1_Format</group>
      <groupName>格式问题</groupName>
      <ability>L2_HalfPunc</ability>
      <abilityName>全半角检查</abilityName>
      <candidateList>
        <item>：</item>
      </candidateList>
      <explain>文本全半角错误。</explain>
      <paraID>6A681EC2</paraID>
      <start>4</start>
      <end>5</end>
      <status>unmodified</status>
      <modifiedWord/>
      <trackRevisions>false</trackRevisions>
    </reviewItem>
    <reviewItem>
      <errorID>fd63c435-137e-4ca9-9b4d-d599c3b980bf</errorID>
      <errorWord>:</errorWord>
      <group>L1_Format</group>
      <groupName>格式问题</groupName>
      <ability>L2_HalfPunc</ability>
      <abilityName>全半角检查</abilityName>
      <candidateList>
        <item>：</item>
      </candidateList>
      <explain>文本全半角错误。</explain>
      <paraID> 65BDCBE</paraID>
      <start>3</start>
      <end>4</end>
      <status>unmodified</status>
      <modifiedWord/>
      <trackRevisions>false</trackRevisions>
    </reviewItem>
    <reviewItem>
      <errorID>ea18007b-36a4-49cc-afb6-4ec41d57cb00</errorID>
      <errorWord>:</errorWord>
      <group>L1_Format</group>
      <groupName>格式问题</groupName>
      <ability>L2_HalfPunc</ability>
      <abilityName>全半角检查</abilityName>
      <candidateList>
        <item>：</item>
      </candidateList>
      <explain>文本全半角错误。</explain>
      <paraID>168185A8</paraID>
      <start>3</start>
      <end>4</end>
      <status>unmodified</status>
      <modifiedWord/>
      <trackRevisions>false</trackRevisions>
    </reviewItem>
    <reviewItem>
      <errorID>eb255703-24c9-4d5d-815e-f06a3dc5b302</errorID>
      <errorWord>:</errorWord>
      <group>L1_Format</group>
      <groupName>格式问题</groupName>
      <ability>L2_HalfPunc</ability>
      <abilityName>全半角检查</abilityName>
      <candidateList>
        <item>：</item>
      </candidateList>
      <explain>文本全半角错误。</explain>
      <paraID>53742587</paraID>
      <start>3</start>
      <end>4</end>
      <status>unmodified</status>
      <modifiedWord/>
      <trackRevisions>false</trackRevisions>
    </reviewItem>
    <reviewItem>
      <errorID>7150646d-4a87-4298-9f8c-b223ec17a971</errorID>
      <errorWord>:</errorWord>
      <group>L1_Punc</group>
      <groupName>标点问题</groupName>
      <ability>L2_Punc</ability>
      <abilityName>标点符号检查</abilityName>
      <candidateList>
        <item>：</item>
      </candidateList>
      <explain/>
      <paraID>7F42FA52</paraID>
      <start>4</start>
      <end>5</end>
      <status>unmodified</status>
      <modifiedWord/>
      <trackRevisions>false</trackRevisions>
    </reviewItem>
    <reviewItem>
      <errorID>7dd66b6e-5187-4863-8983-449e48923670</errorID>
      <errorWord>:</errorWord>
      <group>L1_Format</group>
      <groupName>格式问题</groupName>
      <ability>L2_HalfPunc</ability>
      <abilityName>全半角检查</abilityName>
      <candidateList>
        <item>：</item>
      </candidateList>
      <explain>文本全半角错误。</explain>
      <paraID>4B4D9F37</paraID>
      <start>4</start>
      <end>5</end>
      <status>unmodified</status>
      <modifiedWord/>
      <trackRevisions>false</trackRevisions>
    </reviewItem>
    <reviewItem>
      <errorID>f6c92281-2c31-4c0b-a313-f9b70434ca8f</errorID>
      <errorWord>:</errorWord>
      <group>L1_Format</group>
      <groupName>格式问题</groupName>
      <ability>L2_HalfPunc</ability>
      <abilityName>全半角检查</abilityName>
      <candidateList>
        <item>：</item>
      </candidateList>
      <explain>文本全半角错误。</explain>
      <paraID>433D23A8</paraID>
      <start>4</start>
      <end>5</end>
      <status>unmodified</status>
      <modifiedWord/>
      <trackRevisions>false</trackRevisions>
    </reviewItem>
    <reviewItem>
      <errorID>065f0b2c-d825-4997-9d18-4d4650eac740</errorID>
      <errorWord>:</errorWord>
      <group>L1_Format</group>
      <groupName>格式问题</groupName>
      <ability>L2_HalfPunc</ability>
      <abilityName>全半角检查</abilityName>
      <candidateList>
        <item>：</item>
      </candidateList>
      <explain>文本全半角错误。</explain>
      <paraID>6D72CF74</paraID>
      <start>3</start>
      <end>4</end>
      <status>unmodified</status>
      <modifiedWord/>
      <trackRevisions>false</trackRevisions>
    </reviewItem>
    <reviewItem>
      <errorID>ee2e474e-a229-444a-ac6b-84a74198c72e</errorID>
      <errorWord>:</errorWord>
      <group>L1_Format</group>
      <groupName>格式问题</groupName>
      <ability>L2_HalfPunc</ability>
      <abilityName>全半角检查</abilityName>
      <candidateList>
        <item>：</item>
      </candidateList>
      <explain>文本全半角错误。</explain>
      <paraID>6D72CF74</paraID>
      <start>19</start>
      <end>20</end>
      <status>unmodified</status>
      <modifiedWord/>
      <trackRevisions>false</trackRevisions>
    </reviewItem>
    <reviewItem>
      <errorID>8f06473f-7b1d-430d-add1-b5d7b876bc2c</errorID>
      <errorWord>:</errorWord>
      <group>L1_Format</group>
      <groupName>格式问题</groupName>
      <ability>L2_HalfPunc</ability>
      <abilityName>全半角检查</abilityName>
      <candidateList>
        <item>：</item>
      </candidateList>
      <explain>文本全半角错误。</explain>
      <paraID>6FA00263</paraID>
      <start>4</start>
      <end>5</end>
      <status>unmodified</status>
      <modifiedWord/>
      <trackRevisions>false</trackRevisions>
    </reviewItem>
    <reviewItem>
      <errorID>4d191db7-10a5-4cf3-8db5-a2a94e2539f5</errorID>
      <errorWord>:</errorWord>
      <group>L1_Format</group>
      <groupName>格式问题</groupName>
      <ability>L2_HalfPunc</ability>
      <abilityName>全半角检查</abilityName>
      <candidateList>
        <item>：</item>
      </candidateList>
      <explain>文本全半角错误。</explain>
      <paraID>7DB48170</paraID>
      <start>4</start>
      <end>5</end>
      <status>unmodified</status>
      <modifiedWord/>
      <trackRevisions>false</trackRevisions>
    </reviewItem>
    <reviewItem>
      <errorID>f51caac6-fe91-448f-99d2-a880853677d8</errorID>
      <errorWord>:</errorWord>
      <group>L1_Format</group>
      <groupName>格式问题</groupName>
      <ability>L2_HalfPunc</ability>
      <abilityName>全半角检查</abilityName>
      <candidateList>
        <item>：</item>
      </candidateList>
      <explain>文本全半角错误。</explain>
      <paraID> C4F25F9</paraID>
      <start>4</start>
      <end>5</end>
      <status>unmodified</status>
      <modifiedWord/>
      <trackRevisions>false</trackRevisions>
    </reviewItem>
    <reviewItem>
      <errorID>62ba8f8d-013f-4ce3-b2c9-4a2deeddb48c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6D1A75BC</paraID>
      <start>0</start>
      <end>2</end>
      <status>unmodified</status>
      <modifiedWord/>
      <trackRevisions>false</trackRevisions>
    </reviewItem>
    <reviewItem>
      <errorID>d02e4db3-a4a9-4c69-8ed7-288c383ed5d5</errorID>
      <errorWord>：</errorWord>
      <group>L1_Format</group>
      <groupName>格式问题</groupName>
      <ability>L2_HalfPunc</ability>
      <abilityName>全半角检查</abilityName>
      <candidateList>
        <item>:</item>
      </candidateList>
      <explain>文本全半角错误。</explain>
      <paraID>311615E0</paraID>
      <start>4</start>
      <end>5</end>
      <status>unmodified</status>
      <modifiedWord/>
      <trackRevisions>false</trackRevisions>
    </reviewItem>
    <reviewItem>
      <errorID>bb2be5a8-f84f-4b11-800d-1b91956fd317</errorID>
      <errorWord>：</errorWord>
      <group>L1_Format</group>
      <groupName>格式问题</groupName>
      <ability>L2_HalfPunc</ability>
      <abilityName>全半角检查</abilityName>
      <candidateList>
        <item>:</item>
      </candidateList>
      <explain>文本全半角错误。</explain>
      <paraID>311615E0</paraID>
      <start>23</start>
      <end>24</end>
      <status>unmodified</status>
      <modifiedWord/>
      <trackRevisions>false</trackRevisions>
    </reviewItem>
    <reviewItem>
      <errorID>751c8cb6-a18a-4508-9872-b4345760c9b7</errorID>
      <errorWord>配置</errorWord>
      <group>L1_Word</group>
      <groupName>字词问题</groupName>
      <ability>L2_Typo</ability>
      <abilityName>字词错误</abilityName>
      <candidateList>
        <item>配制</item>
      </candidateList>
      <explain/>
      <paraID>50CA85D4</paraID>
      <start>15</start>
      <end>17</end>
      <status>unmodified</status>
      <modifiedWord/>
      <trackRevisions>false</trackRevisions>
    </reviewItem>
    <reviewItem>
      <errorID>7df6a067-1003-4b4d-84ad-6f2751db1150</errorID>
      <errorWord>粘度</errorWord>
      <group>L1_Word</group>
      <groupName>字词问题</groupName>
      <ability>L2_Alias</ability>
      <abilityName>也作/曾用词</abilityName>
      <candidateList>
        <item>黏度</item>
      </candidateList>
      <explain>词汇[粘度]为不规范表述或旧称，其规范书面表述为[黏度]。</explain>
      <paraID>50CA85D4</paraID>
      <start>20</start>
      <end>22</end>
      <status>unmodified</status>
      <modifiedWord/>
      <trackRevisions>false</trackRevisions>
    </reviewItem>
    <reviewItem>
      <errorID>7aaae235-aa32-466e-aa69-4409a33c7bf4</errorID>
      <errorWord>~</errorWord>
      <group>L1_Format</group>
      <groupName>格式问题</groupName>
      <ability>L2_HalfPunc</ability>
      <abilityName>全半角检查</abilityName>
      <candidateList>
        <item>～</item>
      </candidateList>
      <explain>文本全半角错误。</explain>
      <paraID>50CA85D4</paraID>
      <start>27</start>
      <end>28</end>
      <status>unmodified</status>
      <modifiedWord/>
      <trackRevisions>false</trackRevisions>
    </reviewItem>
    <reviewItem>
      <errorID>a227e010-4579-4963-9d32-09e0c0d0a2ce</errorID>
      <errorWord>~</errorWord>
      <group>L1_Format</group>
      <groupName>格式问题</groupName>
      <ability>L2_HalfPunc</ability>
      <abilityName>全半角检查</abilityName>
      <candidateList>
        <item>～</item>
      </candidateList>
      <explain>文本全半角错误。</explain>
      <paraID>2E437D31</paraID>
      <start>49</start>
      <end>50</end>
      <status>unmodified</status>
      <modifiedWord/>
      <trackRevisions>false</trackRevisions>
    </reviewItem>
    <reviewItem>
      <errorID>dfc9f3d6-57b6-46f0-a011-1d54eae61ce8</errorID>
      <errorWord>2~5%</errorWord>
      <group>L1_Knowledge</group>
      <groupName>知识性问题</groupName>
      <ability>L2_Knowledge</ability>
      <abilityName>其他知识</abilityName>
      <candidateList>
        <item>2%～5%</item>
      </candidateList>
      <explain>1. “2~5%”中的单位“%”仅出现在后一个数字上，容易引起歧义；根据《现代汉语标点符号数字用法规范手册》，数字表示范围两边需要使用统一的格式。2. 根据标点国标 4.13 中的规则，数字、时间或地域连接符应使用（视觉上更长的）“—”或“～”。</explain>
      <paraID>2E437D31</paraID>
      <start>90</start>
      <end>94</end>
      <status>unmodified</status>
      <modifiedWord/>
      <trackRevisions>false</trackRevisions>
    </reviewItem>
    <reviewItem>
      <errorID>a141b6ae-1d18-4d70-99f4-d2a85c4d7c98</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128D40D7</paraID>
      <start>0</start>
      <end>2</end>
      <status>unmodified</status>
      <modifiedWord/>
      <trackRevisions>false</trackRevisions>
    </reviewItem>
    <reviewItem>
      <errorID>71b31baa-c453-492a-91f4-e2823036fc9a</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20220457</paraID>
      <start>0</start>
      <end>2</end>
      <status>unmodified</status>
      <modifiedWord/>
      <trackRevisions>false</trackRevisions>
    </reviewItem>
    <reviewItem>
      <errorID>433d940c-e878-499d-b187-2e6d4d1d9477</errorID>
      <errorWord>3%~6%</errorWord>
      <group>L1_Knowledge</group>
      <groupName>知识性问题</groupName>
      <ability>L2_Knowledge</ability>
      <abilityName>其他知识</abilityName>
      <candidateList>
        <item>3%～6%</item>
      </candidateList>
      <explain>1. “3%~6%”中的单位“%”仅出现在后一个数字上，容易引起歧义；根据《现代汉语标点符号数字用法规范手册》，数字表示范围两边需要使用统一的格式。2. 根据标点国标 4.13 中的规则，数字、时间或地域连接符应使用（视觉上更长的）“—”或“～”。</explain>
      <paraID>7D139FB9</paraID>
      <start>9</start>
      <end>14</end>
      <status>unmodified</status>
      <modifiedWord/>
      <trackRevisions>false</trackRevisions>
    </reviewItem>
    <reviewItem>
      <errorID>3b8a1c88-afea-4dbf-abb2-cff380055876</errorID>
      <errorWord>3%~18%</errorWord>
      <group>L1_Knowledge</group>
      <groupName>知识性问题</groupName>
      <ability>L2_Knowledge</ability>
      <abilityName>其他知识</abilityName>
      <candidateList>
        <item>3%～18%</item>
      </candidateList>
      <explain>1. “3%~18%”中的单位“%”仅出现在后一个数字上，容易引起歧义；根据《现代汉语标点符号数字用法规范手册》，数字表示范围两边需要使用统一的格式。2. 根据标点国标 4.13 中的规则，数字、时间或地域连接符应使用（视觉上更长的）“—”或“～”。</explain>
      <paraID>716AD4B6</paraID>
      <start>11</start>
      <end>17</end>
      <status>unmodified</status>
      <modifiedWord/>
      <trackRevisions>false</trackRevisions>
    </reviewItem>
    <reviewItem>
      <errorID>e920252b-c219-4b92-a18e-242aac5a4229</errorID>
      <errorWord>配置</errorWord>
      <group>L1_Word</group>
      <groupName>字词问题</groupName>
      <ability>L2_Typo</ability>
      <abilityName>字词错误</abilityName>
      <candidateList>
        <item>配制</item>
      </candidateList>
      <explain/>
      <paraID> 94A86D5</paraID>
      <start>32</start>
      <end>34</end>
      <status>modified</status>
      <modifiedWord>配制</modifiedWord>
      <trackRevisions>false</trackRevisions>
    </reviewItem>
    <reviewItem>
      <errorID>2a021cce-bab6-46f4-8094-62a311bef46e</errorID>
      <errorWord>为约</errorWord>
      <group>L1_Word</group>
      <groupName>字词问题</groupName>
      <ability>L2_Typo</ability>
      <abilityName>字词错误</abilityName>
      <candidateList>
        <item>为</item>
      </candidateList>
      <explain>（爲、為）wèi❶〈书〉帮助；卫护：～吕氏者右袒，～刘氏者左袒。❷〈介〉表示行为的对象；替：～你庆幸｜～人民服务｜～这本书写一篇序。❸〈介〉表示原因、目的：大家都～这件事高兴｜～建设伟大祖国而奋斗。❹〈书〉〈介〉对；向：不足～外人道。</explain>
      <paraID>4E6F08B8</paraID>
      <start>11</start>
      <end>12</end>
      <status>modified</status>
      <modifiedWord>为</modifiedWord>
      <trackRevisions>false</trackRevisions>
    </reviewItem>
    <reviewItem>
      <errorID>ae024328-cdc7-43ea-af88-09d553b8fd2e</errorID>
      <errorWord>/、</errorWord>
      <group>L1_Punc</group>
      <groupName>标点问题</groupName>
      <ability>L2_Punc</ability>
      <abilityName>标点符号检查</abilityName>
      <candidateList>
        <item>、</item>
      </candidateList>
      <explain/>
      <paraID>1BB0D60D</paraID>
      <start>65</start>
      <end>66</end>
      <status>modified</status>
      <modifiedWord>、</modifiedWord>
      <trackRevisions>false</trackRevisions>
    </reviewItem>
    <reviewItem>
      <errorID>6989c518-a9cb-4544-b002-775c49895854</errorID>
      <errorWord>送室</errorWord>
      <group>L1_Word</group>
      <groupName>字词问题</groupName>
      <ability>L2_Typo</ability>
      <abilityName>字词错误</abilityName>
      <candidateList>
        <item>送至</item>
      </candidateList>
      <explain/>
      <paraID>345BA2DB</paraID>
      <start>37</start>
      <end>39</end>
      <status>modified</status>
      <modifiedWord>送至</modifiedWord>
      <trackRevisions>false</trackRevisions>
    </reviewItem>
    <reviewItem>
      <errorID>bb9888d1-fcef-4229-9685-4c1a9e9c1589</errorID>
      <errorWord>满足满足</errorWord>
      <group>L1_Word</group>
      <groupName>字词问题</groupName>
      <ability>L2_Typo</ability>
      <abilityName>字词错误</abilityName>
      <candidateList>
        <item>满足</item>
      </candidateList>
      <explain/>
      <paraID>15CF82B7</paraID>
      <start>174</start>
      <end>176</end>
      <status>modified</status>
      <modifiedWord>满足</modifiedWord>
      <trackRevisions>false</trackRevisions>
    </reviewItem>
    <reviewItem>
      <errorID>73e96b55-b46c-4bb8-abdd-7bee76afb7f3</errorID>
      <errorWord>:</errorWord>
      <group>L1_Format</group>
      <groupName>格式问题</groupName>
      <ability>L2_HalfPunc</ability>
      <abilityName>全半角检查</abilityName>
      <candidateList>
        <item>：</item>
      </candidateList>
      <explain>文本全半角错误。</explain>
      <paraID>7AB4470B</paraID>
      <start>132</start>
      <end>133</end>
      <status>modified</status>
      <modifiedWord>：</modifiedWord>
      <trackRevisions>false</trackRevisions>
    </reviewItem>
    <reviewItem>
      <errorID>fe5d4749-87a8-43c6-9b83-01af222e804c</errorID>
      <errorWord>水份</errorWord>
      <group>L1_Word</group>
      <groupName>字词问题</groupName>
      <ability>L2_Variant</ability>
      <abilityName>异形词</abilityName>
      <candidateList>
        <item>水分</item>
      </candidateList>
      <explain>词汇[水份]的规范词形写作[水分]。</explain>
      <paraID>1C54D0B0</paraID>
      <start>126</start>
      <end>128</end>
      <status>modified</status>
      <modifiedWord>水分</modifiedWord>
      <trackRevisions>false</trackRevisions>
    </reviewItem>
    <reviewItem>
      <errorID>10403e5c-3f94-47d5-8fd1-e2974d28c124</errorID>
      <errorWord>除去水份</errorWord>
      <group>L1_Word</group>
      <groupName>字词问题</groupName>
      <ability>L2_Variant</ability>
      <abilityName>异形词</abilityName>
      <candidateList>
        <item>除去水分</item>
      </candidateList>
      <explain>词汇[除去水份]的规范词形写作[除去水分]。</explain>
      <paraID>1C54D0B0</paraID>
      <start>149</start>
      <end>153</end>
      <status>modified</status>
      <modifiedWord>除去水分</modifiedWord>
      <trackRevisions>false</trackRevisions>
    </reviewItem>
    <reviewItem>
      <errorID>872f4162-bd4c-4c32-a9e7-b512e718cf1b</errorID>
      <errorWord>;</errorWord>
      <group>L1_Format</group>
      <groupName>格式问题</groupName>
      <ability>L2_HalfPunc</ability>
      <abilityName>全半角检查</abilityName>
      <candidateList>
        <item>；</item>
      </candidateList>
      <explain>文本全半角错误。</explain>
      <paraID>1C54D0B0</paraID>
      <start>195</start>
      <end>196</end>
      <status>modified</status>
      <modifiedWord>；</modifiedWord>
      <trackRevisions>false</trackRevisions>
    </reviewItem>
    <reviewItem>
      <errorID>5dea74ff-b560-4e00-af77-551e48738f11</errorID>
      <errorWord>:</errorWord>
      <group>L1_Format</group>
      <groupName>格式问题</groupName>
      <ability>L2_HalfPunc</ability>
      <abilityName>全半角检查</abilityName>
      <candidateList>
        <item>：</item>
      </candidateList>
      <explain>文本全半角错误。</explain>
      <paraID>7E183B99</paraID>
      <start>4</start>
      <end>5</end>
      <status>modified</status>
      <modifiedWord>：</modifiedWord>
      <trackRevisions>false</trackRevisions>
    </reviewItem>
    <reviewItem>
      <errorID>8ed322ca-89f6-4886-a19a-8c4d67dbd910</errorID>
      <errorWord>作</errorWord>
      <group>L1_Word</group>
      <groupName>字词问题</groupName>
      <ability>L2_Typo</ability>
      <abilityName>字词错误</abilityName>
      <candidateList>
        <item>做</item>
      </candidateList>
      <explain>存在发音相同字词的误用。</explain>
      <paraID>2606F143</paraID>
      <start>177</start>
      <end>178</end>
      <status>modified</status>
      <modifiedWord>做</modifiedWord>
      <trackRevisions>false</trackRevisions>
    </reviewItem>
    <reviewItem>
      <errorID>b797783c-4892-4fd5-8467-b69b50b6d93e</errorID>
      <errorWord>:</errorWord>
      <group>L1_Format</group>
      <groupName>格式问题</groupName>
      <ability>L2_HalfPunc</ability>
      <abilityName>全半角检查</abilityName>
      <candidateList>
        <item>：</item>
      </candidateList>
      <explain>文本全半角错误。</explain>
      <paraID>2606F143</paraID>
      <start>279</start>
      <end>280</end>
      <status>modified</status>
      <modifiedWord>：</modifiedWord>
      <trackRevisions>false</trackRevisions>
    </reviewItem>
    <reviewItem>
      <errorID>e901e59b-92d6-4b87-8625-40d73ebc82d3</errorID>
      <errorWord>~</errorWord>
      <group>L1_Format</group>
      <groupName>格式问题</groupName>
      <ability>L2_HalfPunc</ability>
      <abilityName>全半角检查</abilityName>
      <candidateList>
        <item>～</item>
      </candidateList>
      <explain>文本全半角错误。</explain>
      <paraID>2606F143</paraID>
      <start>361</start>
      <end>362</end>
      <status>modified</status>
      <modifiedWord>～</modifiedWord>
      <trackRevisions>false</trackRevisions>
    </reviewItem>
    <reviewItem>
      <errorID>933999b3-5635-4e50-9526-f06921f5d106</errorID>
      <errorWord>做为</errorWord>
      <group>L1_Word</group>
      <groupName>字词问题</groupName>
      <ability>L2_Typo</ability>
      <abilityName>字词错误</abilityName>
      <candidateList>
        <item>作为</item>
      </candidateList>
      <explain>存在发音相同字词的误用。</explain>
      <paraID>2606F143</paraID>
      <start>374</start>
      <end>376</end>
      <status>modified</status>
      <modifiedWord>作为</modifiedWord>
      <trackRevisions>false</trackRevisions>
    </reviewItem>
    <reviewItem>
      <errorID>550c6c1a-25bc-45a3-8b60-e650d3f43d2b</errorID>
      <errorWord>:</errorWord>
      <group>L1_Format</group>
      <groupName>格式问题</groupName>
      <ability>L2_HalfPunc</ability>
      <abilityName>全半角检查</abilityName>
      <candidateList>
        <item>：</item>
      </candidateList>
      <explain>文本全半角错误。</explain>
      <paraID>771D00FD</paraID>
      <start>9</start>
      <end>10</end>
      <status>modified</status>
      <modifiedWord>：</modifiedWord>
      <trackRevisions>false</trackRevisions>
    </reviewItem>
    <reviewItem>
      <errorID>d749349a-cdda-44a4-bab9-ea7daf7b46b3</errorID>
      <errorWord>:</errorWord>
      <group>L1_Format</group>
      <groupName>格式问题</groupName>
      <ability>L2_HalfPunc</ability>
      <abilityName>全半角检查</abilityName>
      <candidateList>
        <item>：</item>
      </candidateList>
      <explain>文本全半角错误。</explain>
      <paraID>771D00FD</paraID>
      <start>58</start>
      <end>59</end>
      <status>modified</status>
      <modifiedWord>：</modifiedWord>
      <trackRevisions>false</trackRevisions>
    </reviewItem>
    <reviewItem>
      <errorID>4ae8bfa3-fc71-42c8-91a8-06d67a04d449</errorID>
      <errorWord>返流</errorWord>
      <group>L1_Word</group>
      <groupName>字词问题</groupName>
      <ability>L2_Typo</ability>
      <abilityName>字词错误</abilityName>
      <candidateList>
        <item>反流</item>
      </candidateList>
      <explain/>
      <paraID>771D00FD</paraID>
      <start>74</start>
      <end>76</end>
      <status>modified</status>
      <modifiedWord>反流</modifiedWord>
      <trackRevisions>false</trackRevisions>
    </reviewItem>
    <reviewItem>
      <errorID>cad10ce5-b5c7-4abe-b4e1-5ec83ff65e28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72B23DED</paraID>
      <start>0</start>
      <end>2</end>
      <status>unmodified</status>
      <modifiedWord/>
      <trackRevisions>false</trackRevisions>
    </reviewItem>
    <reviewItem>
      <errorID>16be8d12-f14a-4292-8d4c-4ef648f15f78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7E509F75</paraID>
      <start>0</start>
      <end>2</end>
      <status>unmodified</status>
      <modifiedWord/>
      <trackRevisions>false</trackRevisions>
    </reviewItem>
    <reviewItem>
      <errorID>f933ffb3-ea3f-43b8-bdbf-c66d97300baf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41E3A009</paraID>
      <start>0</start>
      <end>2</end>
      <status>unmodified</status>
      <modifiedWord/>
      <trackRevisions>false</trackRevisions>
    </reviewItem>
    <reviewItem>
      <errorID>6c6e0b83-1b55-46af-9cb4-3b9c43d064d0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57A0863B</paraID>
      <start>0</start>
      <end>2</end>
      <status>unmodified</status>
      <modifiedWord/>
      <trackRevisions>false</trackRevisions>
    </reviewItem>
    <reviewItem>
      <errorID>6b98f51b-1873-4e0c-b0e7-0f0870d9c76e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2D942AA5</paraID>
      <start>0</start>
      <end>2</end>
      <status>unmodified</status>
      <modifiedWord/>
      <trackRevisions>false</trackRevisions>
    </reviewItem>
    <reviewItem>
      <errorID>1732d809-9891-4934-b210-9e84968e9590</errorID>
      <errorWord>一</errorWord>
      <group>L1_Word</group>
      <groupName>字词问题</groupName>
      <ability>L2_Typo</ability>
      <abilityName>字词错误</abilityName>
      <candidateList>
        <item>一道</item>
      </candidateList>
      <explain>（～儿）〈副〉一同；一路❸：～走｜～工作。</explain>
      <paraID>2C9A3388</paraID>
      <start>110</start>
      <end>112</end>
      <status>modified</status>
      <modifiedWord>一道</modifiedWord>
      <trackRevisions>false</trackRevisions>
    </reviewItem>
    <reviewItem>
      <errorID>84433380-65be-44c8-9202-51539ef2d456</errorID>
      <errorWord>激光刻痕</errorWord>
      <group>L1_Knowledge</group>
      <groupName>知识性问题</groupName>
      <ability>L2_Term</ability>
      <abilityName>专业术语</abilityName>
      <candidateList>
        <item>激光刻蚀</item>
      </candidateList>
      <explain/>
      <paraID>2C9A3388</paraID>
      <start>194</start>
      <end>198</end>
      <status>unmodified</status>
      <modifiedWord/>
      <trackRevisions>false</trackRevisions>
    </reviewItem>
    <reviewItem>
      <errorID>4085075f-77f4-4619-8733-4fca85671b74</errorID>
      <errorWord>不分</errorWord>
      <group>L1_Word</group>
      <groupName>字词问题</groupName>
      <ability>L2_Typo</ability>
      <abilityName>字词错误</abilityName>
      <candidateList>
        <item>部分</item>
      </candidateList>
      <explain>〈名〉整体中的局部；整体里的一些个体：检验机器各～的性能｜我校～师生参加了夏令营活动。</explain>
      <paraID>524DE9E8</paraID>
      <start>117</start>
      <end>119</end>
      <status>modified</status>
      <modifiedWord>部分</modifiedWord>
      <trackRevisions>false</trackRevisions>
    </reviewItem>
    <reviewItem>
      <errorID>3b944f0e-a8a2-4105-8ce0-2ed6b6cef306</errorID>
      <errorWord>必须的</errorWord>
      <group>L1_Word</group>
      <groupName>字词问题</groupName>
      <ability>L2_Alias</ability>
      <abilityName>也作/曾用词</abilityName>
      <candidateList>
        <item>必需的</item>
      </candidateList>
      <explain>词汇[必须的]为不规范表述或旧称，其规范书面表述为[必需的]。</explain>
      <paraID>556DAC30</paraID>
      <start>64</start>
      <end>67</end>
      <status>unmodified</status>
      <modifiedWord/>
      <trackRevisions>false</trackRevisions>
    </reviewItem>
    <reviewItem>
      <errorID>d0f17036-54bc-4087-afaf-4f27503433a4</errorID>
      <errorWord>中的水份</errorWord>
      <group>L1_Word</group>
      <groupName>字词问题</groupName>
      <ability>L2_Alias</ability>
      <abilityName>也作/曾用词</abilityName>
      <candidateList>
        <item>中的水分</item>
      </candidateList>
      <explain>词汇[中的水份]为不规范表述或旧称，其规范书面表述为[中的水分]。</explain>
      <paraID>556DAC30</paraID>
      <start>87</start>
      <end>91</end>
      <status>modified</status>
      <modifiedWord>中的水分</modifiedWord>
      <trackRevisions>false</trackRevisions>
    </reviewItem>
    <reviewItem>
      <errorID>a91f8a79-d910-4388-94d0-0772725f7ea9</errorID>
      <errorWord>,</errorWord>
      <group>L1_Format</group>
      <groupName>格式问题</groupName>
      <ability>L2_HalfPunc</ability>
      <abilityName>全半角检查</abilityName>
      <candidateList>
        <item>，</item>
      </candidateList>
      <explain>文本全半角错误。</explain>
      <paraID>685123ED</paraID>
      <start>15</start>
      <end>16</end>
      <status>unmodified</status>
      <modifiedWord/>
      <trackRevisions>false</trackRevisions>
    </reviewItem>
    <reviewItem>
      <errorID>95f90000-174b-438d-bdba-abdf83699062</errorID>
      <errorWord>挤干</errorWord>
      <group>L1_Word</group>
      <groupName>字词问题</groupName>
      <ability>L2_Typo</ability>
      <abilityName>字词错误</abilityName>
      <candidateList>
        <item>挤压</item>
      </candidateList>
      <explain/>
      <paraID>3B63C28C</paraID>
      <start>64</start>
      <end>66</end>
      <status>unmodified</status>
      <modifiedWord/>
      <trackRevisions>false</trackRevisions>
    </reviewItem>
    <reviewItem>
      <errorID>def82f0d-2779-45da-af32-265cf682ea43</errorID>
      <errorWord>注入到</errorWord>
      <group>L1_Word</group>
      <groupName>字词问题</groupName>
      <ability>L2_Typo</ability>
      <abilityName>字词错误</abilityName>
      <candidateList>
        <item>注入</item>
      </candidateList>
      <explain/>
      <paraID>4D434AD1</paraID>
      <start>142</start>
      <end>144</end>
      <status>modified</status>
      <modifiedWord>注入</modifiedWord>
      <trackRevisions>false</trackRevisions>
    </reviewItem>
    <reviewItem>
      <errorID>408e5be0-bee5-4bce-bb06-e477e400cbc7</errorID>
      <errorWord>3%-6%</errorWord>
      <group>L1_Knowledge</group>
      <groupName>知识性问题</groupName>
      <ability>L2_Knowledge</ability>
      <abilityName>其他知识</abilityName>
      <candidateList>
        <item>3%—6%</item>
      </candidateList>
      <explain>1. “3%-6%”中的单位“%”仅出现在后一个数字上，容易引起歧义；根据《现代汉语标点符号数字用法规范手册》，数字表示范围两边需要使用统一的格式。2. 根据标点国标 4.13 中的规则，数字、时间或地域连接符应使用（视觉上更长的）“—”或“～”。</explain>
      <paraID>3C7AF0F4</paraID>
      <start>8</start>
      <end>13</end>
      <status>unmodified</status>
      <modifiedWord/>
      <trackRevisions>false</trackRevisions>
    </reviewItem>
    <reviewItem>
      <errorID>3607303c-0d92-4b0d-b968-c2e13ee6b545</errorID>
      <errorWord>包括包括</errorWord>
      <group>L1_Word</group>
      <groupName>字词问题</groupName>
      <ability>L2_Typo</ability>
      <abilityName>字词错误</abilityName>
      <candidateList>
        <item>包括</item>
      </candidateList>
      <explain/>
      <paraID>42F3E29D</paraID>
      <start>147</start>
      <end>149</end>
      <status>modified</status>
      <modifiedWord>包括</modifiedWord>
      <trackRevisions>false</trackRevisions>
    </reviewItem>
    <reviewItem>
      <errorID>b12889d4-098f-4bde-824a-e83eb80adf06</errorID>
      <errorWord>配置</errorWord>
      <group>L1_Word</group>
      <groupName>字词问题</groupName>
      <ability>L2_Typo</ability>
      <abilityName>字词错误</abilityName>
      <candidateList>
        <item>配制</item>
      </candidateList>
      <explain/>
      <paraID>50D6F015</paraID>
      <start>17</start>
      <end>19</end>
      <status>modified</status>
      <modifiedWord>配制</modifiedWord>
      <trackRevisions>false</trackRevisions>
    </reviewItem>
    <reviewItem>
      <errorID>b4973fac-c0c5-40b0-afab-258bbbd81c0a</errorID>
      <errorWord>3～18%</errorWord>
      <group>L1_Knowledge</group>
      <groupName>知识性问题</groupName>
      <ability>L2_Knowledge</ability>
      <abilityName>其他知识</abilityName>
      <candidateList>
        <item>3%～18%</item>
      </candidateList>
      <explain>1. “3～18%”中的单位“%”仅出现在后一个数字上，容易引起歧义；根据《现代汉语标点符号数字用法规范手册》，数字表示范围两边需要使用统一的格式。2. 根据标点国标 4.13 中的规则，数字、时间或地域连接符应使用（视觉上更长的）“—”或“～”。</explain>
      <paraID>341E4019</paraID>
      <start>6</start>
      <end>11</end>
      <status>unmodified</status>
      <modifiedWord/>
      <trackRevisions>false</trackRevisions>
    </reviewItem>
    <reviewItem>
      <errorID>2c800d62-63e5-4409-a5b9-025e034634f2</errorID>
      <errorWord>有</errorWord>
      <group>L1_Word</group>
      <groupName>字词问题</groupName>
      <ability>L2_Typo</ability>
      <abilityName>字词错误</abilityName>
      <candidateList>
        <item>由</item>
      </candidateList>
      <explain>存在发音相同字词的误用。</explain>
      <paraID>3F3320F6</paraID>
      <start>180</start>
      <end>181</end>
      <status>modified</status>
      <modifiedWord>由</modifiedWord>
      <trackRevisions>false</trackRevisions>
    </reviewItem>
    <reviewItem>
      <errorID>b5fbb14a-9860-4013-b919-08f551894776</errorID>
      <errorWord>（</errorWord>
      <group>L1_Format</group>
      <groupName>格式问题</groupName>
      <ability>L2_HalfPunc</ability>
      <abilityName>全半角检查</abilityName>
      <candidateList>
        <item>(</item>
      </candidateList>
      <explain>文本全半角错误。</explain>
      <paraID>609D49E1</paraID>
      <start>3</start>
      <end>4</end>
      <status>unmodified</status>
      <modifiedWord/>
      <trackRevisions>false</trackRevisions>
    </reviewItem>
    <reviewItem>
      <errorID>99da8a83-d613-4165-9d51-bc8e0bd2a0e7</errorID>
      <errorWord>）</errorWord>
      <group>L1_Format</group>
      <groupName>格式问题</groupName>
      <ability>L2_HalfPunc</ability>
      <abilityName>全半角检查</abilityName>
      <candidateList>
        <item>)</item>
      </candidateList>
      <explain>文本全半角错误。</explain>
      <paraID>609D49E1</paraID>
      <start>5</start>
      <end>6</end>
      <status>unmodified</status>
      <modifiedWord/>
      <trackRevisions>false</trackRevisions>
    </reviewItem>
    <reviewItem>
      <errorID>c6c9c22e-324d-45e3-b467-38014e0eff4f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63BB7A08</paraID>
      <start>0</start>
      <end>2</end>
      <status>unmodified</status>
      <modifiedWord/>
      <trackRevisions>false</trackRevisions>
    </reviewItem>
    <reviewItem>
      <errorID>1f8e39f2-9d8e-47e1-b018-0ed9204622a1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19656B58</paraID>
      <start>39</start>
      <end>40</end>
      <status>unmodified</status>
      <modifiedWord/>
      <trackRevisions>false</trackRevisions>
    </reviewItem>
    <reviewItem>
      <errorID>91abfdbf-a19a-4d8c-85c8-d0d682d07152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47E1760E</paraID>
      <start>0</start>
      <end>2</end>
      <status>unmodified</status>
      <modifiedWord/>
      <trackRevisions>false</trackRevisions>
    </reviewItem>
    <reviewItem>
      <errorID>1ca3bb39-97e5-4191-8a3f-59a4019da48f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4D51471A</paraID>
      <start>0</start>
      <end>2</end>
      <status>unmodified</status>
      <modifiedWord/>
      <trackRevisions>false</trackRevisions>
    </reviewItem>
    <reviewItem>
      <errorID>3ef3e3c2-65f8-4792-bd64-bc4a20efd846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56671769</paraID>
      <start>0</start>
      <end>2</end>
      <status>unmodified</status>
      <modifiedWord/>
      <trackRevisions>false</trackRevisions>
    </reviewItem>
    <reviewItem>
      <errorID>d2eff7d8-5fc1-48ad-aa72-7469f54afa44</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587B2468</paraID>
      <start>0</start>
      <end>2</end>
      <status>unmodified</status>
      <modifiedWord/>
      <trackRevisions>false</trackRevisions>
    </reviewItem>
    <reviewItem>
      <errorID>685e01c1-0abc-4643-b0e3-3956183ef161</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1E61264E</paraID>
      <start>0</start>
      <end>2</end>
      <status>unmodified</status>
      <modifiedWord/>
      <trackRevisions>false</trackRevisions>
    </reviewItem>
    <reviewItem>
      <errorID>f1513f5b-ff34-42b7-927b-da4c88cfdee6</errorID>
      <errorWord>（</errorWord>
      <group>L1_Punc</group>
      <groupName>标点问题</groupName>
      <ability>L2_Punc</ability>
      <abilityName>标点符号检查</abilityName>
      <candidateList/>
      <explain>同一形式括号套用。</explain>
      <paraID>3BAAB85D</paraID>
      <start>86</start>
      <end>87</end>
      <status>unmodified</status>
      <modifiedWord/>
      <trackRevisions>false</trackRevisions>
    </reviewItem>
    <reviewItem>
      <errorID>c07ac64f-5b7a-499d-a06c-60ac637f3130</errorID>
      <errorWord>）</errorWord>
      <group>L1_Punc</group>
      <groupName>标点问题</groupName>
      <ability>L2_Punc</ability>
      <abilityName>标点符号检查</abilityName>
      <candidateList/>
      <explain>同一形式括号套用。</explain>
      <paraID>3BAAB85D</paraID>
      <start>98</start>
      <end>99</end>
      <status>unmodified</status>
      <modifiedWord/>
      <trackRevisions>false</trackRevisions>
    </reviewItem>
    <reviewItem>
      <errorID>500f79ae-215a-44ce-bf89-cc15dc526b47</errorID>
      <errorWord>（</errorWord>
      <group>L1_Punc</group>
      <groupName>标点问题</groupName>
      <ability>L2_Punc</ability>
      <abilityName>标点符号检查</abilityName>
      <candidateList/>
      <explain>同一形式括号套用。</explain>
      <paraID>3BAAB85D</paraID>
      <start>121</start>
      <end>122</end>
      <status>unmodified</status>
      <modifiedWord/>
      <trackRevisions>false</trackRevisions>
    </reviewItem>
    <reviewItem>
      <errorID>6f75ef77-aa70-4691-96f2-0b73e45371be</errorID>
      <errorWord>）</errorWord>
      <group>L1_Punc</group>
      <groupName>标点问题</groupName>
      <ability>L2_Punc</ability>
      <abilityName>标点符号检查</abilityName>
      <candidateList/>
      <explain>同一形式括号套用。</explain>
      <paraID>3BAAB85D</paraID>
      <start>136</start>
      <end>137</end>
      <status>unmodified</status>
      <modifiedWord/>
      <trackRevisions>false</trackRevisions>
    </reviewItem>
    <reviewItem>
      <errorID>20c96f07-44f5-44e8-95af-c24d28a4ebba</errorID>
      <errorWord>污水厂</errorWord>
      <group>L1_Word</group>
      <groupName>字词问题</groupName>
      <ability>L2_Typo</ability>
      <abilityName>字词错误</abilityName>
      <candidateList>
        <item>污水处理厂</item>
      </candidateList>
      <explain/>
      <paraID>725A98B5</paraID>
      <start>2</start>
      <end>5</end>
      <status>unmodified</status>
      <modifiedWord/>
      <trackRevisions>false</trackRevisions>
    </reviewItem>
    <reviewItem>
      <errorID>0559244b-1239-4edf-a854-8f50de67652e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D92EBA5</paraID>
      <start>0</start>
      <end>2</end>
      <status>unmodified</status>
      <modifiedWord/>
      <trackRevisions>false</trackRevisions>
    </reviewItem>
    <reviewItem>
      <errorID>47082c90-cb2e-4475-87ee-de5afe9ead1c</errorID>
      <errorWord>格</errorWord>
      <group>L1_Word</group>
      <groupName>字词问题</groupName>
      <ability>L2_Typo</ability>
      <abilityName>字词错误</abilityName>
      <candidateList>
        <item>格按</item>
      </candidateList>
      <explain/>
      <paraID>598324D4</paraID>
      <start>130</start>
      <end>132</end>
      <status>modified</status>
      <modifiedWord>格按</modifiedWord>
      <trackRevisions>false</trackRevisions>
    </reviewItem>
    <reviewItem>
      <errorID>a9c7f341-a1aa-4af2-90c7-0980de68ba12</errorID>
      <errorWord>抛洒</errorWord>
      <group>L1_Word</group>
      <groupName>字词问题</groupName>
      <ability>L2_Typo</ability>
      <abilityName>字词错误</abilityName>
      <candidateList>
        <item>抛撒</item>
      </candidateList>
      <explain/>
      <paraID>599037C8</paraID>
      <start>29</start>
      <end>31</end>
      <status>unmodified</status>
      <modifiedWord/>
      <trackRevisions>false</trackRevisions>
    </reviewItem>
    <reviewItem>
      <errorID>15b60906-67bc-4e5d-a0fc-c21fe7103127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1735CA97</paraID>
      <start>0</start>
      <end>2</end>
      <status>unmodified</status>
      <modifiedWord/>
      <trackRevisions>false</trackRevisions>
    </reviewItem>
    <reviewItem>
      <errorID>ba62b0c0-657a-4f97-a9d8-24c67e04ba78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767B29B2</paraID>
      <start>0</start>
      <end>2</end>
      <status>unmodified</status>
      <modifiedWord/>
      <trackRevisions>false</trackRevisions>
    </reviewItem>
    <reviewItem>
      <errorID>a018bb2f-b496-413b-9c64-1244a8929ca6</errorID>
      <errorWord>产</errorWord>
      <group>L1_Word</group>
      <groupName>字词问题</groupName>
      <ability>L2_Typo</ability>
      <abilityName>字词错误</abilityName>
      <candidateList>
        <item>产生</item>
      </candidateList>
      <explain/>
      <paraID>17F987AD</paraID>
      <start>60</start>
      <end>61</end>
      <status>unmodified</status>
      <modifiedWord/>
      <trackRevisions>false</trackRevisions>
    </reviewItem>
    <reviewItem>
      <errorID>1e157414-2347-48ee-8aa5-0a8474e841e7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6052C569</paraID>
      <start>0</start>
      <end>2</end>
      <status>unmodified</status>
      <modifiedWord/>
      <trackRevisions>false</trackRevisions>
    </reviewItem>
    <reviewItem>
      <errorID>681c384a-d9d9-4c25-9fb9-b53cd55981c9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2993AE00</paraID>
      <start>0</start>
      <end>2</end>
      <status>unmodified</status>
      <modifiedWord/>
      <trackRevisions>false</trackRevisions>
    </reviewItem>
    <reviewItem>
      <errorID>ec384880-da7a-4b1b-b36a-d601c4a749d5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580D58AD</paraID>
      <start>0</start>
      <end>2</end>
      <status>unmodified</status>
      <modifiedWord/>
      <trackRevisions>false</trackRevisions>
    </reviewItem>
    <reviewItem>
      <errorID>51c198c5-ca04-4870-98f8-e4b2d4570daa</errorID>
      <errorWord>损坏和</errorWord>
      <group>L1_Word</group>
      <groupName>字词问题</groupName>
      <ability>L2_Typo</ability>
      <abilityName>字词错误</abilityName>
      <candidateList>
        <item>损坏</item>
      </candidateList>
      <explain/>
      <paraID>464B834A</paraID>
      <start>420</start>
      <end>422</end>
      <status>modified</status>
      <modifiedWord>损坏</modifiedWord>
      <trackRevisions>false</trackRevisions>
    </reviewItem>
    <reviewItem>
      <errorID>55298106-436a-443a-af75-b8b275459a3d</errorID>
      <errorWord>-</errorWord>
      <group>L1_Format</group>
      <groupName>格式问题</groupName>
      <ability>L2_HalfPunc</ability>
      <abilityName>全半角检查</abilityName>
      <candidateList>
        <item>－</item>
      </candidateList>
      <explain>文本全半角错误。</explain>
      <paraID>1CE90B64</paraID>
      <start>45</start>
      <end>46</end>
      <status>unmodified</status>
      <modifiedWord/>
      <trackRevisions>false</trackRevisions>
    </reviewItem>
    <reviewItem>
      <errorID>950c0278-e46b-473b-a9f1-151d918b80da</errorID>
      <errorWord>颗粒物速</errorWord>
      <group>L1_Word</group>
      <groupName>字词问题</groupName>
      <ability>L2_Typo</ability>
      <abilityName>字词错误</abilityName>
      <candidateList>
        <item>颗粒物</item>
      </candidateList>
      <explain/>
      <paraID>204ACEA0</paraID>
      <start>253</start>
      <end>256</end>
      <status>modified</status>
      <modifiedWord>颗粒物</modifiedWord>
      <trackRevisions>false</trackRevisions>
    </reviewItem>
    <reviewItem>
      <errorID>6debb338-423d-4d2b-a3fd-faaa1ca15d35</errorID>
      <errorWord>-</errorWord>
      <group>L1_Format</group>
      <groupName>格式问题</groupName>
      <ability>L2_HalfPunc</ability>
      <abilityName>全半角检查</abilityName>
      <candidateList>
        <item>－</item>
      </candidateList>
      <explain>文本全半角错误。</explain>
      <paraID> 6AB1496</paraID>
      <start>171</start>
      <end>172</end>
      <status>unmodified</status>
      <modifiedWord/>
      <trackRevisions>false</trackRevisions>
    </reviewItem>
    <reviewItem>
      <errorID>41e17db9-35b6-42bd-a14b-077d9da7e02f</errorID>
      <errorWord>;</errorWord>
      <group>L1_Format</group>
      <groupName>格式问题</groupName>
      <ability>L2_HalfPunc</ability>
      <abilityName>全半角检查</abilityName>
      <candidateList>
        <item>；</item>
      </candidateList>
      <explain>文本全半角错误。</explain>
      <paraID> 6AB1496</paraID>
      <start>182</start>
      <end>183</end>
      <status>unmodified</status>
      <modifiedWord/>
      <trackRevisions>false</trackRevisions>
    </reviewItem>
    <reviewItem>
      <errorID>91f06534-2150-4851-a7b3-9e0bcb40cedd</errorID>
      <errorWord>-</errorWord>
      <group>L1_Format</group>
      <groupName>格式问题</groupName>
      <ability>L2_HalfPunc</ability>
      <abilityName>全半角检查</abilityName>
      <candidateList>
        <item>－</item>
      </candidateList>
      <explain>文本全半角错误。</explain>
      <paraID>14A0265B</paraID>
      <start>58</start>
      <end>59</end>
      <status>unmodified</status>
      <modifiedWord/>
      <trackRevisions>false</trackRevisions>
    </reviewItem>
    <reviewItem>
      <errorID>c85f1320-30fe-44ba-93cb-40a85fac4ec0</errorID>
      <errorWord>-</errorWord>
      <group>L1_Format</group>
      <groupName>格式问题</groupName>
      <ability>L2_HalfPunc</ability>
      <abilityName>全半角检查</abilityName>
      <candidateList>
        <item>－</item>
      </candidateList>
      <explain>文本全半角错误。</explain>
      <paraID>6F2D39E0</paraID>
      <start>2</start>
      <end>3</end>
      <status>unmodified</status>
      <modifiedWord/>
      <trackRevisions>false</trackRevisions>
    </reviewItem>
    <reviewItem>
      <errorID>d44e70b1-f034-48fa-b2f4-509bb8a54dbc</errorID>
      <errorWord>-</errorWord>
      <group>L1_Format</group>
      <groupName>格式问题</groupName>
      <ability>L2_HalfPunc</ability>
      <abilityName>全半角检查</abilityName>
      <candidateList>
        <item>－</item>
      </candidateList>
      <explain>文本全半角错误。</explain>
      <paraID>1BA1F538</paraID>
      <start>2</start>
      <end>3</end>
      <status>unmodified</status>
      <modifiedWord/>
      <trackRevisions>false</trackRevisions>
    </reviewItem>
    <reviewItem>
      <errorID>80311fcd-12f1-4877-b72c-a6c9e2f01db6</errorID>
      <errorWord>~</errorWord>
      <group>L1_Format</group>
      <groupName>格式问题</groupName>
      <ability>L2_HalfPunc</ability>
      <abilityName>全半角检查</abilityName>
      <candidateList>
        <item>～</item>
      </candidateList>
      <explain>文本全半角错误。</explain>
      <paraID>1BA1F538</paraID>
      <start>42</start>
      <end>43</end>
      <status>unmodified</status>
      <modifiedWord/>
      <trackRevisions>false</trackRevisions>
    </reviewItem>
    <reviewItem>
      <errorID>2a6dd146-c3ad-4698-af9a-aea58110986a</errorID>
      <errorWord>-</errorWord>
      <group>L1_Format</group>
      <groupName>格式问题</groupName>
      <ability>L2_HalfPunc</ability>
      <abilityName>全半角检查</abilityName>
      <candidateList>
        <item>－</item>
      </candidateList>
      <explain>文本全半角错误。</explain>
      <paraID>13B192CA</paraID>
      <start>2</start>
      <end>3</end>
      <status>unmodified</status>
      <modifiedWord/>
      <trackRevisions>false</trackRevisions>
    </reviewItem>
    <reviewItem>
      <errorID>c31f1921-fb9e-494d-a219-1f1cc3ea902f</errorID>
      <errorWord>18%-25%</errorWord>
      <group>L1_Knowledge</group>
      <groupName>知识性问题</groupName>
      <ability>L2_Knowledge</ability>
      <abilityName>其他知识</abilityName>
      <candidateList>
        <item>18%—25%</item>
      </candidateList>
      <explain>1. “18%-25%”中的单位“%”仅出现在后一个数字上，容易引起歧义；根据《现代汉语标点符号数字用法规范手册》，数字表示范围两边需要使用统一的格式。2. 根据标点国标 4.13 中的规则，数字、时间或地域连接符应使用（视觉上更长的）“—”或“～”。</explain>
      <paraID>13B192CA</paraID>
      <start>53</start>
      <end>60</end>
      <status>unmodified</status>
      <modifiedWord/>
      <trackRevisions>false</trackRevisions>
    </reviewItem>
    <reviewItem>
      <errorID>aa392e5d-35e2-4eca-97a7-43520ab0ead5</errorID>
      <errorWord>3%~18%</errorWord>
      <group>L1_Knowledge</group>
      <groupName>知识性问题</groupName>
      <ability>L2_Knowledge</ability>
      <abilityName>其他知识</abilityName>
      <candidateList>
        <item>3%～18%</item>
      </candidateList>
      <explain>1. “3%~18%”中的单位“%”仅出现在后一个数字上，容易引起歧义；根据《现代汉语标点符号数字用法规范手册》，数字表示范围两边需要使用统一的格式。2. 根据标点国标 4.13 中的规则，数字、时间或地域连接符应使用（视觉上更长的）“—”或“～”。</explain>
      <paraID>13B192CA</paraID>
      <start>84</start>
      <end>90</end>
      <status>unmodified</status>
      <modifiedWord/>
      <trackRevisions>false</trackRevisions>
    </reviewItem>
    <reviewItem>
      <errorID>00b57bf1-4dd5-4302-abbb-7ae685d5cf7f</errorID>
      <errorWord>盐酸储罐盐酸储罐</errorWord>
      <group>L1_Word</group>
      <groupName>字词问题</groupName>
      <ability>L2_Typo</ability>
      <abilityName>字词错误</abilityName>
      <candidateList>
        <item>盐酸储罐</item>
      </candidateList>
      <explain/>
      <paraID>62E9460C</paraID>
      <start>10</start>
      <end>14</end>
      <status>modified</status>
      <modifiedWord>盐酸储罐</modifiedWord>
      <trackRevisions>false</trackRevisions>
    </reviewItem>
    <reviewItem>
      <errorID>ed2158c5-8c3f-43f4-bf7c-5b8796df8136</errorID>
      <errorWord>饱和蒸气</errorWord>
      <group>L1_Word</group>
      <groupName>字词问题</groupName>
      <ability>L2_Typo</ability>
      <abilityName>字词错误</abilityName>
      <candidateList>
        <item>饱和蒸汽</item>
      </candidateList>
      <explain/>
      <paraID>62E48CDF</paraID>
      <start>5</start>
      <end>9</end>
      <status>modified</status>
      <modifiedWord>饱和蒸汽</modifiedWord>
      <trackRevisions>false</trackRevisions>
    </reviewItem>
    <reviewItem>
      <errorID>133a1ca9-e018-4871-a681-617ee03b6d28</errorID>
      <errorWord>碱</errorWord>
      <group>L1_Word</group>
      <groupName>字词问题</groupName>
      <ability>L2_Typo</ability>
      <abilityName>字词错误</abilityName>
      <candidateList>
        <item>见</item>
      </candidateList>
      <explain/>
      <paraID>53EACB53</paraID>
      <start>13</start>
      <end>14</end>
      <status>modified</status>
      <modifiedWord>见</modifiedWord>
      <trackRevisions>false</trackRevisions>
    </reviewItem>
    <reviewItem>
      <errorID>d7cf2030-9f5d-4a2c-8a52-20eab8dda9b0</errorID>
      <errorWord>-</errorWord>
      <group>L1_Format</group>
      <groupName>格式问题</groupName>
      <ability>L2_HalfPunc</ability>
      <abilityName>全半角检查</abilityName>
      <candidateList>
        <item>－</item>
      </candidateList>
      <explain>文本全半角错误。</explain>
      <paraID> 349998F</paraID>
      <start>234</start>
      <end>235</end>
      <status>unmodified</status>
      <modifiedWord/>
      <trackRevisions>false</trackRevisions>
    </reviewItem>
    <reviewItem>
      <errorID>b7c2fcf8-5703-46ab-8ad6-1c95f49efc8d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4F4B2800</paraID>
      <start>0</start>
      <end>2</end>
      <status>unmodified</status>
      <modifiedWord/>
      <trackRevisions>false</trackRevisions>
    </reviewItem>
    <reviewItem>
      <errorID>69c60e56-89e2-40de-830a-2e87fedee557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E089DAA</paraID>
      <start>0</start>
      <end>2</end>
      <status>unmodified</status>
      <modifiedWord/>
      <trackRevisions>false</trackRevisions>
    </reviewItem>
    <reviewItem>
      <errorID>a2baf61f-a5da-4971-ac41-02d7e6c58947</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75487A2A</paraID>
      <start>0</start>
      <end>2</end>
      <status>unmodified</status>
      <modifiedWord/>
      <trackRevisions>false</trackRevisions>
    </reviewItem>
    <reviewItem>
      <errorID>f0cc749b-73b7-4b94-8144-8189ff3377fb</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3A54D235</paraID>
      <start>0</start>
      <end>2</end>
      <status>unmodified</status>
      <modifiedWord/>
      <trackRevisions>false</trackRevisions>
    </reviewItem>
    <reviewItem>
      <errorID>18231ae4-b84d-4a14-b23f-964bedcf60eb</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3ECFDF5B</paraID>
      <start>0</start>
      <end>2</end>
      <status>unmodified</status>
      <modifiedWord/>
      <trackRevisions>false</trackRevisions>
    </reviewItem>
    <reviewItem>
      <errorID>3e164448-d800-4a22-ae0f-70f8aedc2107</errorID>
      <errorWord>措</errorWord>
      <group>L1_Word</group>
      <groupName>字词问题</groupName>
      <ability>L2_Typo</ability>
      <abilityName>字词错误</abilityName>
      <candidateList>
        <item>措施</item>
      </candidateList>
      <explain>〈名〉针对某种情况而采取的处理办法（用于较大的事情）：计划已经订出，～应该跟上。</explain>
      <paraID>7773C070</paraID>
      <start>11</start>
      <end>13</end>
      <status>modified</status>
      <modifiedWord>措施</modifiedWord>
      <trackRevisions>false</trackRevisions>
    </reviewItem>
    <reviewItem>
      <errorID>c5a30c9c-5ea5-4bb9-a45d-82ffe9012d2b</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44D713C2</paraID>
      <start>0</start>
      <end>2</end>
      <status>unmodified</status>
      <modifiedWord/>
      <trackRevisions>false</trackRevisions>
    </reviewItem>
    <reviewItem>
      <errorID>34bde745-d3cd-46e5-aa3b-0729022f1a8e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D9747DF</paraID>
      <start>0</start>
      <end>2</end>
      <status>unmodified</status>
      <modifiedWord/>
      <trackRevisions>false</trackRevisions>
    </reviewItem>
    <reviewItem>
      <errorID>46a7429b-c67f-49dd-886a-c0e9ea9b26e5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D44A17</paraID>
      <start>0</start>
      <end>2</end>
      <status>unmodified</status>
      <modifiedWord/>
      <trackRevisions>false</trackRevisions>
    </reviewItem>
    <reviewItem>
      <errorID>39d95820-c85f-4747-b572-5001a7c1d027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563A07C0</paraID>
      <start>0</start>
      <end>2</end>
      <status>unmodified</status>
      <modifiedWord/>
      <trackRevisions>false</trackRevisions>
    </reviewItem>
    <reviewItem>
      <errorID>39e49651-ca35-49cf-a23c-6e563be5729d</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5464BCBA</paraID>
      <start>85</start>
      <end>88</end>
      <status>unmodified</status>
      <modifiedWord/>
      <trackRevisions>false</trackRevisions>
    </reviewItem>
    <reviewItem>
      <errorID>a9555dd4-c20a-4396-910c-063ff511906f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1F2C95DC</paraID>
      <start>0</start>
      <end>2</end>
      <status>unmodified</status>
      <modifiedWord/>
      <trackRevisions>false</trackRevisions>
    </reviewItem>
    <reviewItem>
      <errorID>37ee9c64-b708-4c7e-970b-7f6e7ca31baa</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4558E334</paraID>
      <start>0</start>
      <end>2</end>
      <status>unmodified</status>
      <modifiedWord/>
      <trackRevisions>false</trackRevisions>
    </reviewItem>
    <reviewItem>
      <errorID>e9a4e848-039b-4ab5-8999-2c3f76d18ac0</errorID>
      <errorWord>、</errorWord>
      <group>L1_Punc</group>
      <groupName>标点问题</groupName>
      <ability>L2_Punc</ability>
      <abilityName>标点符号检查</abilityName>
      <candidateList/>
      <explain/>
      <paraID>2FE97C0E</paraID>
      <start>0</start>
      <end>1</end>
      <status>unmodified</status>
      <modifiedWord/>
      <trackRevisions>false</trackRevisions>
    </reviewItem>
    <reviewItem>
      <errorID>bfd8a228-1b0e-42d7-b5be-aa8dc0ba8661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1C6E6158</paraID>
      <start>0</start>
      <end>2</end>
      <status>unmodified</status>
      <modifiedWord/>
      <trackRevisions>false</trackRevisions>
    </reviewItem>
    <reviewItem>
      <errorID>fa513501-ad5a-4981-9943-8c261031891d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56DF4F5</paraID>
      <start>0</start>
      <end>2</end>
      <status>unmodified</status>
      <modifiedWord/>
      <trackRevisions>false</trackRevisions>
    </reviewItem>
    <reviewItem>
      <errorID>bf4f84e1-de12-4ef9-8662-9cc560ebebee</errorID>
      <errorWord>（</errorWord>
      <group>L1_Punc</group>
      <groupName>标点问题</groupName>
      <ability>L2_Punc</ability>
      <abilityName>标点符号检查</abilityName>
      <candidateList>
        <item/>
      </candidateList>
      <explain>同一形式括号套用。</explain>
      <paraID>1023C8F7</paraID>
      <start>16</start>
      <end>17</end>
      <status>unmodified</status>
      <modifiedWord/>
      <trackRevisions>false</trackRevisions>
    </reviewItem>
    <reviewItem>
      <errorID>c4038fc3-896f-42cb-834a-329494a4d6fa</errorID>
      <errorWord>）</errorWord>
      <group>L1_Punc</group>
      <groupName>标点问题</groupName>
      <ability>L2_Punc</ability>
      <abilityName>标点符号检查</abilityName>
      <candidateList/>
      <explain>同一形式括号套用。</explain>
      <paraID>1023C8F7</paraID>
      <start>25</start>
      <end>26</end>
      <status>unmodified</status>
      <modifiedWord/>
      <trackRevisions>false</trackRevisions>
    </reviewItem>
    <reviewItem>
      <errorID>cfdfb4dd-6a55-4cd4-8cdc-7a0c77494bdb</errorID>
      <errorWord>站泵</errorWord>
      <group>L1_Word</group>
      <groupName>字词问题</groupName>
      <ability>L2_Typo</ability>
      <abilityName>字词错误</abilityName>
      <candidateList>
        <item>泵站</item>
      </candidateList>
      <explain/>
      <paraID>2E4DE952</paraID>
      <start>4</start>
      <end>6</end>
      <status>unmodified</status>
      <modifiedWord/>
      <trackRevisions>false</trackRevisions>
    </reviewItem>
    <reviewItem>
      <errorID>fa0c5dc9-70fc-48a5-958c-8e77fa6b8717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251796BC</paraID>
      <start>0</start>
      <end>2</end>
      <status>unmodified</status>
      <modifiedWord/>
      <trackRevisions>false</trackRevisions>
    </reviewItem>
    <reviewItem>
      <errorID>8e8d6cbd-5784-4971-a5c0-2cce997d418a</errorID>
      <errorWord>以求</errorWord>
      <group>L1_Word</group>
      <groupName>字词问题</groupName>
      <ability>L2_Typo</ability>
      <abilityName>字词错误</abilityName>
      <candidateList>
        <item>以</item>
      </candidateList>
      <explain>用在单纯的方位词前，组成合成的方位词或方位结构，表示时间、方位、数量的界限：～前｜～上｜三日～后｜县级～上｜长江～南｜五千～内｜二十岁～下。</explain>
      <paraID>7DACAE1F</paraID>
      <start>60</start>
      <end>61</end>
      <status>modified</status>
      <modifiedWord>以</modifiedWord>
      <trackRevisions>false</trackRevisions>
    </reviewItem>
    <reviewItem>
      <errorID>04953129-a6f3-4ef3-b9dc-148406daf9c3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7EA8CBC0</paraID>
      <start>0</start>
      <end>2</end>
      <status>unmodified</status>
      <modifiedWord/>
      <trackRevisions>false</trackRevisions>
    </reviewItem>
    <reviewItem>
      <errorID>eee6c9ab-bb69-4af0-b12a-7947ff826fb9</errorID>
      <errorWord>,</errorWord>
      <group>L1_Format</group>
      <groupName>格式问题</groupName>
      <ability>L2_HalfPunc</ability>
      <abilityName>全半角检查</abilityName>
      <candidateList>
        <item>，</item>
      </candidateList>
      <explain>文本全半角错误。</explain>
      <paraID> 24693AD</paraID>
      <start>4</start>
      <end>5</end>
      <status>unmodified</status>
      <modifiedWord/>
      <trackRevisions>false</trackRevisions>
    </reviewItem>
    <reviewItem>
      <errorID>c5d6faf9-7019-4a99-a9b9-655a1b084b3c</errorID>
      <errorWord>,</errorWord>
      <group>L1_Format</group>
      <groupName>格式问题</groupName>
      <ability>L2_HalfPunc</ability>
      <abilityName>全半角检查</abilityName>
      <candidateList>
        <item>，</item>
      </candidateList>
      <explain>文本全半角错误。</explain>
      <paraID>62196EB8</paraID>
      <start>5</start>
      <end>6</end>
      <status>unmodified</status>
      <modifiedWord/>
      <trackRevisions>false</trackRevisions>
    </reviewItem>
    <reviewItem>
      <errorID>b939b366-f6d7-4606-b6ed-5d0da385190b</errorID>
      <errorWord>,</errorWord>
      <group>L1_Format</group>
      <groupName>格式问题</groupName>
      <ability>L2_HalfPunc</ability>
      <abilityName>全半角检查</abilityName>
      <candidateList>
        <item>，</item>
      </candidateList>
      <explain>文本全半角错误。</explain>
      <paraID>444BA535</paraID>
      <start>3</start>
      <end>4</end>
      <status>unmodified</status>
      <modifiedWord/>
      <trackRevisions>false</trackRevisions>
    </reviewItem>
    <reviewItem>
      <errorID>77c21176-9a23-4fdd-adff-a634827c44be</errorID>
      <errorWord>,</errorWord>
      <group>L1_Format</group>
      <groupName>格式问题</groupName>
      <ability>L2_HalfPunc</ability>
      <abilityName>全半角检查</abilityName>
      <candidateList>
        <item>，</item>
      </candidateList>
      <explain>文本全半角错误。</explain>
      <paraID>2670AAA8</paraID>
      <start>5</start>
      <end>6</end>
      <status>unmodified</status>
      <modifiedWord/>
      <trackRevisions>false</trackRevisions>
    </reviewItem>
    <reviewItem>
      <errorID>3129d78f-e904-4935-9235-118722d85204</errorID>
      <errorWord>,</errorWord>
      <group>L1_Format</group>
      <groupName>格式问题</groupName>
      <ability>L2_HalfPunc</ability>
      <abilityName>全半角检查</abilityName>
      <candidateList>
        <item>，</item>
      </candidateList>
      <explain>文本全半角错误。</explain>
      <paraID> D478B13</paraID>
      <start>2</start>
      <end>3</end>
      <status>unmodified</status>
      <modifiedWord/>
      <trackRevisions>false</trackRevisions>
    </reviewItem>
    <reviewItem>
      <errorID>9603e274-77d4-4272-b4b3-11481da50c29</errorID>
      <errorWord>,</errorWord>
      <group>L1_Format</group>
      <groupName>格式问题</groupName>
      <ability>L2_HalfPunc</ability>
      <abilityName>全半角检查</abilityName>
      <candidateList>
        <item>，</item>
      </candidateList>
      <explain>文本全半角错误。</explain>
      <paraID>7605FE4A</paraID>
      <start>2</start>
      <end>3</end>
      <status>unmodified</status>
      <modifiedWord/>
      <trackRevisions>false</trackRevisions>
    </reviewItem>
    <reviewItem>
      <errorID>5023e4b5-e5f4-4bd2-9e8e-aabbe4521690</errorID>
      <errorWord>,</errorWord>
      <group>L1_Format</group>
      <groupName>格式问题</groupName>
      <ability>L2_HalfPunc</ability>
      <abilityName>全半角检查</abilityName>
      <candidateList>
        <item>，</item>
      </candidateList>
      <explain>文本全半角错误。</explain>
      <paraID> 61EA26B</paraID>
      <start>2</start>
      <end>3</end>
      <status>unmodified</status>
      <modifiedWord/>
      <trackRevisions>false</trackRevisions>
    </reviewItem>
    <reviewItem>
      <errorID>7b9eed47-3a42-4cb0-9f1b-ea06031c3fb7</errorID>
      <errorWord>,</errorWord>
      <group>L1_Format</group>
      <groupName>格式问题</groupName>
      <ability>L2_HalfPunc</ability>
      <abilityName>全半角检查</abilityName>
      <candidateList>
        <item>，</item>
      </candidateList>
      <explain>文本全半角错误。</explain>
      <paraID>2098DFBE</paraID>
      <start>7</start>
      <end>8</end>
      <status>unmodified</status>
      <modifiedWord/>
      <trackRevisions>false</trackRevisions>
    </reviewItem>
    <reviewItem>
      <errorID>8c09c360-fa9e-4fc2-ae1a-85fe545e71c7</errorID>
      <errorWord>,</errorWord>
      <group>L1_Format</group>
      <groupName>格式问题</groupName>
      <ability>L2_HalfPunc</ability>
      <abilityName>全半角检查</abilityName>
      <candidateList>
        <item>，</item>
      </candidateList>
      <explain>文本全半角错误。</explain>
      <paraID>3B3457B2</paraID>
      <start>7</start>
      <end>8</end>
      <status>unmodified</status>
      <modifiedWord/>
      <trackRevisions>false</trackRevisions>
    </reviewItem>
    <reviewItem>
      <errorID>e431fcff-ff92-4d5c-b309-83df9f80eba8</errorID>
      <errorWord>,</errorWord>
      <group>L1_Format</group>
      <groupName>格式问题</groupName>
      <ability>L2_HalfPunc</ability>
      <abilityName>全半角检查</abilityName>
      <candidateList>
        <item>，</item>
      </candidateList>
      <explain>文本全半角错误。</explain>
      <paraID>46F748E7</paraID>
      <start>6</start>
      <end>7</end>
      <status>unmodified</status>
      <modifiedWord/>
      <trackRevisions>false</trackRevisions>
    </reviewItem>
    <reviewItem>
      <errorID>0b18599a-195f-496c-976e-fb027ad40606</errorID>
      <errorWord>,</errorWord>
      <group>L1_Format</group>
      <groupName>格式问题</groupName>
      <ability>L2_HalfPunc</ability>
      <abilityName>全半角检查</abilityName>
      <candidateList>
        <item>，</item>
      </candidateList>
      <explain>文本全半角错误。</explain>
      <paraID>6113C92D</paraID>
      <start>6</start>
      <end>7</end>
      <status>unmodified</status>
      <modifiedWord/>
      <trackRevisions>false</trackRevisions>
    </reviewItem>
    <reviewItem>
      <errorID>33931be8-a050-4dbe-802d-a0eeb54b3c92</errorID>
      <errorWord>,</errorWord>
      <group>L1_Format</group>
      <groupName>格式问题</groupName>
      <ability>L2_HalfPunc</ability>
      <abilityName>全半角检查</abilityName>
      <candidateList>
        <item>，</item>
      </candidateList>
      <explain>文本全半角错误。</explain>
      <paraID>45B399C0</paraID>
      <start>6</start>
      <end>7</end>
      <status>unmodified</status>
      <modifiedWord/>
      <trackRevisions>false</trackRevisions>
    </reviewItem>
    <reviewItem>
      <errorID>6cb2b7bb-e088-4185-b2f2-0a8ece428d69</errorID>
      <errorWord>,</errorWord>
      <group>L1_Format</group>
      <groupName>格式问题</groupName>
      <ability>L2_HalfPunc</ability>
      <abilityName>全半角检查</abilityName>
      <candidateList>
        <item>，</item>
      </candidateList>
      <explain>文本全半角错误。</explain>
      <paraID>26850A69</paraID>
      <start>6</start>
      <end>7</end>
      <status>unmodified</status>
      <modifiedWord/>
      <trackRevisions>false</trackRevisions>
    </reviewItem>
    <reviewItem>
      <errorID>b2a04a5d-e4c1-4d78-98a1-1a3a4b9c3862</errorID>
      <errorWord>,</errorWord>
      <group>L1_Format</group>
      <groupName>格式问题</groupName>
      <ability>L2_HalfPunc</ability>
      <abilityName>全半角检查</abilityName>
      <candidateList>
        <item>，</item>
      </candidateList>
      <explain>文本全半角错误。</explain>
      <paraID>13D1DA5F</paraID>
      <start>7</start>
      <end>8</end>
      <status>unmodified</status>
      <modifiedWord/>
      <trackRevisions>false</trackRevisions>
    </reviewItem>
    <reviewItem>
      <errorID>4b4b1cc3-9eb9-4bec-8027-176223922f36</errorID>
      <errorWord>,</errorWord>
      <group>L1_Format</group>
      <groupName>格式问题</groupName>
      <ability>L2_HalfPunc</ability>
      <abilityName>全半角检查</abilityName>
      <candidateList>
        <item>，</item>
      </candidateList>
      <explain>文本全半角错误。</explain>
      <paraID>7728E99F</paraID>
      <start>6</start>
      <end>7</end>
      <status>unmodified</status>
      <modifiedWord/>
      <trackRevisions>false</trackRevisions>
    </reviewItem>
    <reviewItem>
      <errorID>3ec8a06d-c4f6-4234-82d6-23abf522cac5</errorID>
      <errorWord>,</errorWord>
      <group>L1_Format</group>
      <groupName>格式问题</groupName>
      <ability>L2_HalfPunc</ability>
      <abilityName>全半角检查</abilityName>
      <candidateList>
        <item>，</item>
      </candidateList>
      <explain>文本全半角错误。</explain>
      <paraID>2D7BD851</paraID>
      <start>6</start>
      <end>7</end>
      <status>unmodified</status>
      <modifiedWord/>
      <trackRevisions>false</trackRevisions>
    </reviewItem>
    <reviewItem>
      <errorID>7c8df9fc-9b28-432a-ad44-36bad0ae8912</errorID>
      <errorWord>,</errorWord>
      <group>L1_Format</group>
      <groupName>格式问题</groupName>
      <ability>L2_HalfPunc</ability>
      <abilityName>全半角检查</abilityName>
      <candidateList>
        <item>，</item>
      </candidateList>
      <explain>文本全半角错误。</explain>
      <paraID>2B376014</paraID>
      <start>8</start>
      <end>9</end>
      <status>unmodified</status>
      <modifiedWord/>
      <trackRevisions>false</trackRevisions>
    </reviewItem>
    <reviewItem>
      <errorID>7e856925-90f9-44d9-9d04-7577551c3c08</errorID>
      <errorWord>,</errorWord>
      <group>L1_Format</group>
      <groupName>格式问题</groupName>
      <ability>L2_HalfPunc</ability>
      <abilityName>全半角检查</abilityName>
      <candidateList>
        <item>，</item>
      </candidateList>
      <explain>文本全半角错误。</explain>
      <paraID>68C7E223</paraID>
      <start>7</start>
      <end>8</end>
      <status>unmodified</status>
      <modifiedWord/>
      <trackRevisions>false</trackRevisions>
    </reviewItem>
    <reviewItem>
      <errorID>2c9f55d0-36a3-451d-af41-f9168886efe9</errorID>
      <errorWord>,</errorWord>
      <group>L1_Format</group>
      <groupName>格式问题</groupName>
      <ability>L2_HalfPunc</ability>
      <abilityName>全半角检查</abilityName>
      <candidateList>
        <item>，</item>
      </candidateList>
      <explain>文本全半角错误。</explain>
      <paraID>54FAD26F</paraID>
      <start>4</start>
      <end>5</end>
      <status>unmodified</status>
      <modifiedWord/>
      <trackRevisions>false</trackRevisions>
    </reviewItem>
    <reviewItem>
      <errorID>b0efa21c-84a5-497d-a103-6baca781ff77</errorID>
      <errorWord>,</errorWord>
      <group>L1_Format</group>
      <groupName>格式问题</groupName>
      <ability>L2_HalfPunc</ability>
      <abilityName>全半角检查</abilityName>
      <candidateList>
        <item>，</item>
      </candidateList>
      <explain>文本全半角错误。</explain>
      <paraID>27F1EBD1</paraID>
      <start>2</start>
      <end>3</end>
      <status>unmodified</status>
      <modifiedWord/>
      <trackRevisions>false</trackRevisions>
    </reviewItem>
    <reviewItem>
      <errorID>e9c992dd-eeb9-42fa-92c5-faa0ba42d0c3</errorID>
      <errorWord>（</errorWord>
      <group>L1_Punc</group>
      <groupName>标点问题</groupName>
      <ability>L2_Punc</ability>
      <abilityName>标点符号检查</abilityName>
      <candidateList>
        <item/>
      </candidateList>
      <explain>同一形式括号套用。</explain>
      <paraID>64392F1F</paraID>
      <start>12</start>
      <end>13</end>
      <status>unmodified</status>
      <modifiedWord/>
      <trackRevisions>false</trackRevisions>
    </reviewItem>
    <reviewItem>
      <errorID>34e4aff9-23b6-4dbd-96d4-6bcaf060b7a1</errorID>
      <errorWord>）</errorWord>
      <group>L1_Punc</group>
      <groupName>标点问题</groupName>
      <ability>L2_Punc</ability>
      <abilityName>标点符号检查</abilityName>
      <candidateList/>
      <explain>同一形式括号套用。</explain>
      <paraID>64392F1F</paraID>
      <start>20</start>
      <end>21</end>
      <status>unmodified</status>
      <modifiedWord/>
      <trackRevisions>false</trackRevisions>
    </reviewItem>
    <reviewItem>
      <errorID>d66a0465-81a2-4a90-b3c9-4e13b4bf0ae0</errorID>
      <errorWord>（</errorWord>
      <group>L1_Punc</group>
      <groupName>标点问题</groupName>
      <ability>L2_Punc</ability>
      <abilityName>标点符号检查</abilityName>
      <candidateList>
        <item/>
      </candidateList>
      <explain>同一形式括号套用。</explain>
      <paraID>24639C21</paraID>
      <start>3</start>
      <end>4</end>
      <status>unmodified</status>
      <modifiedWord/>
      <trackRevisions>false</trackRevisions>
    </reviewItem>
    <reviewItem>
      <errorID>e8e2cfd7-d0af-494a-83d8-aeea27fb022d</errorID>
      <errorWord>）</errorWord>
      <group>L1_Punc</group>
      <groupName>标点问题</groupName>
      <ability>L2_Punc</ability>
      <abilityName>标点符号检查</abilityName>
      <candidateList/>
      <explain>同一形式括号套用。</explain>
      <paraID>24639C21</paraID>
      <start>9</start>
      <end>10</end>
      <status>unmodified</status>
      <modifiedWord/>
      <trackRevisions>false</trackRevisions>
    </reviewItem>
    <reviewItem>
      <errorID>38105a88-5eff-4e3b-acdf-07ccf89c33a3</errorID>
      <errorWord>（</errorWord>
      <group>L1_Punc</group>
      <groupName>标点问题</groupName>
      <ability>L2_Punc</ability>
      <abilityName>标点符号检查</abilityName>
      <candidateList>
        <item/>
      </candidateList>
      <explain>同一形式括号套用。</explain>
      <paraID> 48CE857</paraID>
      <start>4</start>
      <end>5</end>
      <status>unmodified</status>
      <modifiedWord/>
      <trackRevisions>false</trackRevisions>
    </reviewItem>
    <reviewItem>
      <errorID>5c3f9dce-3f8d-4ee8-9963-075f5c225278</errorID>
      <errorWord>）</errorWord>
      <group>L1_Punc</group>
      <groupName>标点问题</groupName>
      <ability>L2_Punc</ability>
      <abilityName>标点符号检查</abilityName>
      <candidateList/>
      <explain>同一形式括号套用。</explain>
      <paraID> 48CE857</paraID>
      <start>10</start>
      <end>11</end>
      <status>unmodified</status>
      <modifiedWord/>
      <trackRevisions>false</trackRevisions>
    </reviewItem>
    <reviewItem>
      <errorID>128a4266-d74b-45d4-970f-5389e2ae3acf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45031C52</paraID>
      <start>0</start>
      <end>2</end>
      <status>unmodified</status>
      <modifiedWord/>
      <trackRevisions>false</trackRevisions>
    </reviewItem>
    <reviewItem>
      <errorID>b25a4c3d-d1a5-4f79-883a-f1525d152a2a</errorID>
      <errorWord>、等</errorWord>
      <group>L1_Punc</group>
      <groupName>标点问题</groupName>
      <ability>L2_Punc</ability>
      <abilityName>标点符号检查</abilityName>
      <candidateList>
        <item>等</item>
      </candidateList>
      <explain>“及”“和”“等”连词前不宜使用顿号，建议删除（或使用逗号）。</explain>
      <paraID>24E0787D</paraID>
      <start>101</start>
      <end>102</end>
      <status>modified</status>
      <modifiedWord>等</modifiedWord>
      <trackRevisions>false</trackRevisions>
    </reviewItem>
    <reviewItem>
      <errorID>f559e0a4-c491-444e-9bb2-41b38ec05ea4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797C1B1B</paraID>
      <start>0</start>
      <end>2</end>
      <status>unmodified</status>
      <modifiedWord/>
      <trackRevisions>false</trackRevisions>
    </reviewItem>
    <reviewItem>
      <errorID>25f7bd33-1326-4ac0-b455-409bdd7de92e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658C2987</paraID>
      <start>0</start>
      <end>2</end>
      <status>unmodified</status>
      <modifiedWord/>
      <trackRevisions>false</trackRevisions>
    </reviewItem>
    <reviewItem>
      <errorID>068c7be5-5802-4720-b163-b96ed1ab8c06</errorID>
      <errorWord>其它</errorWord>
      <group>L1_Word</group>
      <groupName>字词问题</groupName>
      <ability>L2_Alias</ability>
      <abilityName>也作/曾用词</abilityName>
      <candidateList>
        <item>其他</item>
      </candidateList>
      <explain>词汇[其它]为不规范表述或旧称，其规范书面表述为[其他]。</explain>
      <paraID>4F768139</paraID>
      <start>7</start>
      <end>9</end>
      <status>unmodified</status>
      <modifiedWord/>
      <trackRevisions>false</trackRevisions>
    </reviewItem>
    <reviewItem>
      <errorID>e1f0a07b-dd38-477c-b467-beae7ac719ce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62A3AE91</paraID>
      <start>0</start>
      <end>2</end>
      <status>unmodified</status>
      <modifiedWord/>
      <trackRevisions>false</trackRevisions>
    </reviewItem>
    <reviewItem>
      <errorID>ddb34c7e-6b03-4797-9fb7-3ffecc9d0aae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7097DF4E</paraID>
      <start>0</start>
      <end>2</end>
      <status>unmodified</status>
      <modifiedWord/>
      <trackRevisions>false</trackRevisions>
    </reviewItem>
    <reviewItem>
      <errorID>6a5f4c18-bde1-4970-aed6-dc8ca88c5ea4</errorID>
      <errorWord>能</errorWord>
      <group>L1_Word</group>
      <groupName>字词问题</groupName>
      <ability>L2_Typo</ability>
      <abilityName>字词错误</abilityName>
      <candidateList>
        <item>能在</item>
      </candidateList>
      <explain/>
      <paraID>70C182F9</paraID>
      <start>179</start>
      <end>181</end>
      <status>modified</status>
      <modifiedWord>能在</modifiedWord>
      <trackRevisions>false</trackRevisions>
    </reviewItem>
    <reviewItem>
      <errorID>fb364c5a-c4b0-4904-9689-c7f442d911dc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65B1855E</paraID>
      <start>0</start>
      <end>2</end>
      <status>unmodified</status>
      <modifiedWord/>
      <trackRevisions>false</trackRevisions>
    </reviewItem>
    <reviewItem>
      <errorID>8116b4f1-ec5c-42ee-9e77-7a23ab10b35d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385A430D</paraID>
      <start>0</start>
      <end>2</end>
      <status>unmodified</status>
      <modifiedWord/>
      <trackRevisions>false</trackRevisions>
    </reviewItem>
    <reviewItem>
      <errorID>2a9d7cc9-0e95-4dfd-bec7-9d75affd600b</errorID>
      <errorWord>底</errorWord>
      <group>L1_Word</group>
      <groupName>字词问题</groupName>
      <ability>L2_Typo</ability>
      <abilityName>字词错误</abilityName>
      <candidateList>
        <item>低</item>
      </candidateList>
      <explain>❶〈形〉从下向上距离小；离地面近（跟“高”相对，▲▲同）：～空｜飞机～飞绕场一周｜水位降～了。❷〈形〉在一般标准或平均程度之下：～地｜声音太～｜眼高手～。❸〈形〉等级在下的：～年级学生｜我比哥哥～一班。❹〈动〉（头）向下垂：～着头。</explain>
      <paraID>18E3145C</paraID>
      <start>0</start>
      <end>1</end>
      <status>modified</status>
      <modifiedWord>低</modifiedWord>
      <trackRevisions>false</trackRevisions>
    </reviewItem>
    <reviewItem>
      <errorID>6fd681e2-a0f8-4484-9653-a5fd28b9ad47</errorID>
      <errorWord>污</errorWord>
      <group>L1_Word</group>
      <groupName>字词问题</groupName>
      <ability>L2_Typo</ability>
      <abilityName>字词错误</abilityName>
      <candidateList>
        <item>污染</item>
      </candidateList>
      <explain/>
      <paraID>62AC9F94</paraID>
      <start>5</start>
      <end>7</end>
      <status>modified</status>
      <modifiedWord>污染</modifiedWord>
      <trackRevisions>false</trackRevisions>
    </reviewItem>
    <reviewItem>
      <errorID>844b9ce4-80e4-4ee5-acfe-e91ee7a0382d</errorID>
      <errorWord>壤</errorWord>
      <group>L1_Word</group>
      <groupName>字词问题</groupName>
      <ability>L2_Typo</ability>
      <abilityName>字词错误</abilityName>
      <candidateList>
        <item>壤污</item>
      </candidateList>
      <explain/>
      <paraID>62AC9F94</paraID>
      <start>9</start>
      <end>11</end>
      <status>modified</status>
      <modifiedWord>壤污</modifiedWord>
      <trackRevisions>false</trackRevisions>
    </reviewItem>
    <reviewItem>
      <errorID>c609e412-4264-477d-b363-5e4d6039e4ff</errorID>
      <errorWord>能</errorWord>
      <group>L1_Word</group>
      <groupName>字词问题</groupName>
      <ability>L2_Typo</ability>
      <abilityName>字词错误</abilityName>
      <candidateList>
        <item>能在</item>
      </candidateList>
      <explain/>
      <paraID>62AC9F94</paraID>
      <start>184</start>
      <end>186</end>
      <status>modified</status>
      <modifiedWord>能在</modifiedWord>
      <trackRevisions>false</trackRevisions>
    </reviewItem>
    <reviewItem>
      <errorID>acf85f3b-8b7c-4307-a930-318fb4eb96de</errorID>
      <errorWord>如</errorWord>
      <group>L1_Word</group>
      <groupName>字词问题</groupName>
      <ability>L2_Typo</ability>
      <abilityName>字词错误</abilityName>
      <candidateList>
        <item>如下</item>
      </candidateList>
      <explain>〈动〉如同下面所叙述或列举的：列举～｜现将应注意的事情说明～。</explain>
      <paraID>323C8B9B</paraID>
      <start>15</start>
      <end>17</end>
      <status>modified</status>
      <modifiedWord>如下</modifiedWord>
      <trackRevisions>false</trackRevisions>
    </reviewItem>
    <reviewItem>
      <errorID>5f5caeca-1887-4c4a-8cf1-6e656115c776</errorID>
      <errorWord>要求对</errorWord>
      <group>L1_Word</group>
      <groupName>字词问题</groupName>
      <ability>L2_Typo</ability>
      <abilityName>字词错误</abilityName>
      <candidateList>
        <item>要求</item>
      </candidateList>
      <explain>❶〈动〉提出具体愿望或条件，希望得到满足或实现：～转学｜～进步｜严格～自己。❷〈名〉所提出的具体愿望或条件：满足了他的～｜符合规定的～。</explain>
      <paraID>61DF5D1C</paraID>
      <start>95</start>
      <end>97</end>
      <status>modified</status>
      <modifiedWord>要求</modifiedWord>
      <trackRevisions>false</trackRevisions>
    </reviewItem>
    <reviewItem>
      <errorID>3fed7d0c-c4b2-4037-83db-cb3a32ff6398</errorID>
      <errorWord>条</errorWord>
      <group>L1_Word</group>
      <groupName>字词问题</groupName>
      <ability>L2_Typo</ability>
      <abilityName>字词错误</abilityName>
      <candidateList>
        <item>条件</item>
      </candidateList>
      <explain/>
      <paraID>4D57E047</paraID>
      <start>61</start>
      <end>63</end>
      <status>modified</status>
      <modifiedWord>条件</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c4bf61f-9877-46b2-a70c-705036668cf2}">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151</Pages>
  <Words>18633</Words>
  <Characters>19771</Characters>
  <Lines>1</Lines>
  <Paragraphs>1</Paragraphs>
  <TotalTime>37</TotalTime>
  <ScaleCrop>false</ScaleCrop>
  <LinksUpToDate>false</LinksUpToDate>
  <CharactersWithSpaces>19784</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山东滨盛</cp:lastModifiedBy>
  <cp:lastPrinted>2023-07-06T03:36:00Z</cp:lastPrinted>
  <dcterms:modified xsi:type="dcterms:W3CDTF">2026-05-26T02:23:10Z</dcterms:modified>
  <dc:title>附件2</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CF5F53DFF2D5454E885AEC4519C62F02_13</vt:lpwstr>
  </property>
  <property fmtid="{D5CDD505-2E9C-101B-9397-08002B2CF9AE}" pid="4" name="KSOTemplateDocerSaveRecord">
    <vt:lpwstr>eyJoZGlkIjoiNzEzYmE4MzUyYWIxMzAwYjcyYTZiYTk0OWFkN2QwNTIiLCJ1c2VySWQiOiIxMDAyODgyOTMzIn0=</vt:lpwstr>
  </property>
</Properties>
</file>